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6"/>
          <w:szCs w:val="26"/>
          <w:lang w:eastAsia="lv-LV"/>
        </w:rPr>
        <w:t>S</w:t>
      </w:r>
      <w:r w:rsidRPr="001961C8" w:rsidR="001961C8">
        <w:rPr>
          <w:rFonts w:ascii="Times New Roman" w:eastAsia="Times New Roman" w:hAnsi="Times New Roman" w:cs="Times New Roman"/>
          <w:b/>
          <w:bCs/>
          <w:color w:val="414142"/>
          <w:sz w:val="26"/>
          <w:szCs w:val="26"/>
          <w:lang w:eastAsia="lv-LV"/>
        </w:rPr>
        <w:t>ākotnējās ietekmes novērtējuma ziņojums (anotācija)</w:t>
      </w:r>
      <w:r>
        <w:rPr>
          <w:rFonts w:ascii="Times New Roman" w:eastAsia="Times New Roman" w:hAnsi="Times New Roman" w:cs="Times New Roman"/>
          <w:b/>
          <w:bCs/>
          <w:color w:val="414142"/>
          <w:sz w:val="26"/>
          <w:szCs w:val="26"/>
          <w:lang w:eastAsia="lv-LV"/>
        </w:rPr>
        <w:t xml:space="preserve"> par n</w:t>
      </w:r>
      <w:r w:rsidRPr="001961C8">
        <w:rPr>
          <w:rFonts w:ascii="Times New Roman" w:eastAsia="Times New Roman" w:hAnsi="Times New Roman" w:cs="Times New Roman"/>
          <w:b/>
          <w:bCs/>
          <w:color w:val="414142"/>
          <w:sz w:val="26"/>
          <w:szCs w:val="26"/>
          <w:lang w:eastAsia="lv-LV"/>
        </w:rPr>
        <w:t>ormatīvo aktu projektu grozījumi</w:t>
      </w:r>
      <w:r>
        <w:rPr>
          <w:rFonts w:ascii="Times New Roman" w:eastAsia="Times New Roman" w:hAnsi="Times New Roman" w:cs="Times New Roman"/>
          <w:b/>
          <w:bCs/>
          <w:color w:val="414142"/>
          <w:sz w:val="26"/>
          <w:szCs w:val="26"/>
          <w:lang w:eastAsia="lv-LV"/>
        </w:rPr>
        <w:t>em</w:t>
      </w:r>
      <w:r w:rsidRPr="001961C8">
        <w:rPr>
          <w:rFonts w:ascii="Times New Roman" w:eastAsia="Times New Roman" w:hAnsi="Times New Roman" w:cs="Times New Roman"/>
          <w:b/>
          <w:bCs/>
          <w:color w:val="414142"/>
          <w:sz w:val="26"/>
          <w:szCs w:val="26"/>
          <w:lang w:eastAsia="lv-LV"/>
        </w:rPr>
        <w:t xml:space="preserve"> saistībā ar SIA “Standartizācijas, akreditācijas un metroloģijas centrs” reorganizēšanas procesā iesaistīto institūciju juridiskā statusa maiņu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17F19" w:rsidP="00FE126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w:t>
            </w:r>
            <w:r w:rsidR="00253379">
              <w:rPr>
                <w:rFonts w:ascii="Times New Roman" w:eastAsia="Times New Roman" w:hAnsi="Times New Roman" w:cs="Times New Roman"/>
                <w:sz w:val="24"/>
                <w:szCs w:val="26"/>
                <w:lang w:eastAsia="lv-LV"/>
              </w:rPr>
              <w:t>8.gada 27.februāra rīkojumu Nr.</w:t>
            </w:r>
            <w:bookmarkStart w:id="0" w:name="_GoBack"/>
            <w:bookmarkEnd w:id="0"/>
            <w:r w:rsidRPr="00A87073">
              <w:rPr>
                <w:rFonts w:ascii="Times New Roman" w:eastAsia="Times New Roman" w:hAnsi="Times New Roman" w:cs="Times New Roman"/>
                <w:sz w:val="24"/>
                <w:szCs w:val="26"/>
                <w:lang w:eastAsia="lv-LV"/>
              </w:rPr>
              <w:t>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w:t>
            </w:r>
            <w:r w:rsidRPr="00A51DC0" w:rsidR="00A51DC0">
              <w:rPr>
                <w:rFonts w:ascii="Times New Roman" w:eastAsia="Times New Roman" w:hAnsi="Times New Roman" w:cs="Times New Roman"/>
                <w:sz w:val="24"/>
                <w:szCs w:val="26"/>
                <w:lang w:eastAsia="lv-LV"/>
              </w:rPr>
              <w:t>ap</w:t>
            </w:r>
            <w:r w:rsidR="00354486">
              <w:rPr>
                <w:rFonts w:ascii="Times New Roman" w:eastAsia="Times New Roman" w:hAnsi="Times New Roman" w:cs="Times New Roman"/>
                <w:sz w:val="24"/>
                <w:szCs w:val="26"/>
                <w:lang w:eastAsia="lv-LV"/>
              </w:rPr>
              <w:t>rakstošu nosaukumu – nacionālā akreditācijas</w:t>
            </w:r>
            <w:r w:rsidRPr="00A51DC0" w:rsidR="00A51DC0">
              <w:rPr>
                <w:rFonts w:ascii="Times New Roman" w:eastAsia="Times New Roman" w:hAnsi="Times New Roman" w:cs="Times New Roman"/>
                <w:sz w:val="24"/>
                <w:szCs w:val="26"/>
                <w:lang w:eastAsia="lv-LV"/>
              </w:rPr>
              <w:t xml:space="preserve"> institūcij</w:t>
            </w:r>
            <w:r w:rsidR="00354486">
              <w:rPr>
                <w:rFonts w:ascii="Times New Roman" w:eastAsia="Times New Roman" w:hAnsi="Times New Roman" w:cs="Times New Roman"/>
                <w:sz w:val="24"/>
                <w:szCs w:val="26"/>
                <w:lang w:eastAsia="lv-LV"/>
              </w:rPr>
              <w:t>a</w:t>
            </w:r>
            <w:r w:rsidRPr="00A87073">
              <w:rPr>
                <w:rFonts w:ascii="Times New Roman" w:eastAsia="Times New Roman" w:hAnsi="Times New Roman" w:cs="Times New Roman"/>
                <w:sz w:val="24"/>
                <w:szCs w:val="26"/>
                <w:lang w:eastAsia="lv-LV"/>
              </w:rPr>
              <w:t>. Šāda pieeja nodrošinās, ka pie turpmākām institūcijas reorganizācijām nebūs jāprecizē normatīvie akti dēļ institūcijas nosaukuma maiņas.</w:t>
            </w:r>
          </w:p>
          <w:p w:rsidR="00A87073" w:rsidRPr="00A87073" w:rsidP="000F5ABA">
            <w:pPr>
              <w:spacing w:before="60"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w:t>
            </w:r>
            <w:r>
              <w:rPr>
                <w:rFonts w:ascii="Times New Roman" w:eastAsia="Times New Roman" w:hAnsi="Times New Roman" w:cs="Times New Roman"/>
                <w:sz w:val="24"/>
                <w:szCs w:val="26"/>
                <w:lang w:eastAsia="lv-LV"/>
              </w:rPr>
              <w:t xml:space="preserve"> </w:t>
            </w:r>
            <w:r w:rsidRPr="00A87073">
              <w:rPr>
                <w:rFonts w:ascii="Times New Roman" w:eastAsia="Times New Roman" w:hAnsi="Times New Roman" w:cs="Times New Roman"/>
                <w:sz w:val="24"/>
                <w:szCs w:val="26"/>
                <w:lang w:eastAsia="lv-LV"/>
              </w:rPr>
              <w:t>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w:t>
            </w:r>
            <w:r w:rsidR="001D4B46">
              <w:rPr>
                <w:rFonts w:ascii="Times New Roman" w:eastAsia="Times New Roman" w:hAnsi="Times New Roman" w:cs="Times New Roman"/>
                <w:sz w:val="24"/>
                <w:szCs w:val="26"/>
                <w:lang w:eastAsia="lv-LV"/>
              </w:rPr>
              <w:t>andartizācijas likuma izstrādes.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w:t>
            </w:r>
            <w:r w:rsidRPr="00A87073">
              <w:rPr>
                <w:rFonts w:ascii="Times New Roman" w:eastAsia="Times New Roman" w:hAnsi="Times New Roman" w:cs="Times New Roman"/>
                <w:sz w:val="24"/>
                <w:szCs w:val="26"/>
                <w:lang w:eastAsia="lv-LV"/>
              </w:rPr>
              <w:t>struktūrvienību nosaukumu ar atsauci uz aprakstošu nosaukumu - nacionālo standartizācijas institūciju. Šāda pieeja nodrošinās, ka pie turpmākām institūcijas reorganizācijām nebūs jāprecizē normatīvie akti dēļ institūcijas nosaukuma maiņas.</w:t>
            </w:r>
          </w:p>
          <w:p w:rsidR="00A87073" w:rsidRPr="00A87073" w:rsidP="00A87073">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00490C1A">
              <w:rPr>
                <w:rFonts w:ascii="Times New Roman" w:eastAsia="Times New Roman" w:hAnsi="Times New Roman" w:cs="Times New Roman"/>
                <w:sz w:val="24"/>
                <w:szCs w:val="26"/>
                <w:lang w:eastAsia="lv-LV"/>
              </w:rPr>
              <w:t>ar to sagatavoti</w:t>
            </w:r>
            <w:r w:rsidR="00C27CCD">
              <w:rPr>
                <w:rFonts w:ascii="Times New Roman" w:eastAsia="Times New Roman" w:hAnsi="Times New Roman" w:cs="Times New Roman"/>
                <w:sz w:val="24"/>
                <w:szCs w:val="26"/>
                <w:lang w:eastAsia="lv-LV"/>
              </w:rPr>
              <w:t xml:space="preserve"> šādi (</w:t>
            </w:r>
            <w:r w:rsidRPr="00FE126D">
              <w:rPr>
                <w:rFonts w:ascii="Times New Roman" w:eastAsia="Times New Roman" w:hAnsi="Times New Roman" w:cs="Times New Roman"/>
                <w:sz w:val="24"/>
                <w:szCs w:val="26"/>
                <w:lang w:eastAsia="lv-LV"/>
              </w:rPr>
              <w:t>kopumā 23</w:t>
            </w:r>
            <w:r w:rsidR="00C27CCD">
              <w:rPr>
                <w:rFonts w:ascii="Times New Roman" w:eastAsia="Times New Roman" w:hAnsi="Times New Roman" w:cs="Times New Roman"/>
                <w:sz w:val="24"/>
                <w:szCs w:val="26"/>
                <w:lang w:eastAsia="lv-LV"/>
              </w:rPr>
              <w:t>)</w:t>
            </w:r>
            <w:r w:rsidR="00490C1A">
              <w:rPr>
                <w:rFonts w:ascii="Times New Roman" w:eastAsia="Times New Roman" w:hAnsi="Times New Roman" w:cs="Times New Roman"/>
                <w:sz w:val="24"/>
                <w:szCs w:val="26"/>
                <w:lang w:eastAsia="lv-LV"/>
              </w:rPr>
              <w:t xml:space="preserve"> noteikumu projekti</w:t>
            </w:r>
            <w:r w:rsidR="00356B3B">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4) Grozījumi Ministru kabineta 2010.gada 16.februāra noteikumos Nr.138 “Noteikumi par katliekārtu tehnisko uzraudzību”;</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12) Grozījums Ministru kabineta 2010.gada 30.marta noteikumos Nr.319 “Noteikumi par kvalitātes prasībām svaigpienam, kas paredzēts siera ražošanai ar nogatavināšanas laiku vismaz 60 dienas”;</w:t>
            </w:r>
          </w:p>
          <w:p w:rsidR="003D10CD" w:rsidRP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F94CE7"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P="003D10CD">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356B3B" w:rsidRPr="00356B3B" w:rsidP="00356B3B">
            <w:pPr>
              <w:spacing w:after="0" w:line="240" w:lineRule="auto"/>
              <w:jc w:val="both"/>
              <w:rPr>
                <w:rFonts w:ascii="Times New Roman" w:eastAsia="Times New Roman" w:hAnsi="Times New Roman" w:cs="Times New Roman"/>
                <w:sz w:val="24"/>
                <w:szCs w:val="26"/>
                <w:lang w:eastAsia="lv-LV"/>
              </w:rPr>
            </w:pPr>
            <w:r w:rsidRPr="00356B3B">
              <w:rPr>
                <w:rFonts w:ascii="Times New Roman" w:eastAsia="Times New Roman" w:hAnsi="Times New Roman" w:cs="Times New Roman"/>
                <w:sz w:val="24"/>
                <w:szCs w:val="26"/>
                <w:lang w:eastAsia="lv-LV"/>
              </w:rPr>
              <w:t>Vienlaikus, lai nodrošinātu skaidrāku noteikumu normu piemērošanu un pietuvinātu tās kopējai Eiropas Savienības tiesīb</w:t>
            </w:r>
            <w:r>
              <w:rPr>
                <w:rFonts w:ascii="Times New Roman" w:eastAsia="Times New Roman" w:hAnsi="Times New Roman" w:cs="Times New Roman"/>
                <w:sz w:val="24"/>
                <w:szCs w:val="26"/>
                <w:lang w:eastAsia="lv-LV"/>
              </w:rPr>
              <w:t>u sistēmai akreditācijas jomā, n</w:t>
            </w:r>
            <w:r w:rsidRPr="00356B3B">
              <w:rPr>
                <w:rFonts w:ascii="Times New Roman" w:eastAsia="Times New Roman" w:hAnsi="Times New Roman" w:cs="Times New Roman"/>
                <w:sz w:val="24"/>
                <w:szCs w:val="26"/>
                <w:lang w:eastAsia="lv-LV"/>
              </w:rPr>
              <w:t>oteikumu projektos tiek aizstāta atsauce uz atbilstības novērtēšanas institūciju akreditācijas standartiem. Ņemot vēr</w:t>
            </w:r>
            <w:r>
              <w:rPr>
                <w:rFonts w:ascii="Times New Roman" w:eastAsia="Times New Roman" w:hAnsi="Times New Roman" w:cs="Times New Roman"/>
                <w:sz w:val="24"/>
                <w:szCs w:val="26"/>
                <w:lang w:eastAsia="lv-LV"/>
              </w:rPr>
              <w:t>ā</w:t>
            </w:r>
            <w:r w:rsidRPr="00356B3B">
              <w:rPr>
                <w:rFonts w:ascii="Times New Roman" w:eastAsia="Times New Roman" w:hAnsi="Times New Roman" w:cs="Times New Roman"/>
                <w:sz w:val="24"/>
                <w:szCs w:val="26"/>
                <w:lang w:eastAsia="lv-LV"/>
              </w:rPr>
              <w:t xml:space="preserve">, ka akreditāciju nacionālā akreditācijas institūcija veic atbilstoši Regulai un tās piemērojamajiem standartiem, nav </w:t>
            </w:r>
            <w:r>
              <w:rPr>
                <w:rFonts w:ascii="Times New Roman" w:eastAsia="Times New Roman" w:hAnsi="Times New Roman" w:cs="Times New Roman"/>
                <w:sz w:val="24"/>
                <w:szCs w:val="26"/>
                <w:lang w:eastAsia="lv-LV"/>
              </w:rPr>
              <w:t>nepieciešams standartus dublēt n</w:t>
            </w:r>
            <w:r w:rsidRPr="00356B3B">
              <w:rPr>
                <w:rFonts w:ascii="Times New Roman" w:eastAsia="Times New Roman" w:hAnsi="Times New Roman" w:cs="Times New Roman"/>
                <w:sz w:val="24"/>
                <w:szCs w:val="26"/>
                <w:lang w:eastAsia="lv-LV"/>
              </w:rPr>
              <w:t xml:space="preserve">oteikumu projektos. </w:t>
            </w:r>
          </w:p>
          <w:p w:rsidR="00356B3B" w:rsidRPr="003D10CD" w:rsidP="00356B3B">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P</w:t>
            </w:r>
            <w:r w:rsidRPr="00356B3B">
              <w:rPr>
                <w:rFonts w:ascii="Times New Roman" w:eastAsia="Times New Roman" w:hAnsi="Times New Roman" w:cs="Times New Roman"/>
                <w:sz w:val="24"/>
                <w:szCs w:val="26"/>
                <w:lang w:eastAsia="lv-LV"/>
              </w:rPr>
              <w:t xml:space="preserve">ašlaik vairākos noteikumos minētie nosacījumi attiecībā uz to, ka Ekonomikas ministrija publicē paziņojumus “Latvijas Vēstnesī” ir neaktuāli, tad </w:t>
            </w:r>
            <w:r w:rsidRPr="00356B3B">
              <w:rPr>
                <w:rFonts w:ascii="Times New Roman" w:eastAsia="Times New Roman" w:hAnsi="Times New Roman" w:cs="Times New Roman"/>
                <w:sz w:val="24"/>
                <w:szCs w:val="26"/>
                <w:lang w:eastAsia="lv-LV"/>
              </w:rPr>
              <w:t>attiecīgajos noteikumos tiks veikti redakcionāli precizējumi.</w:t>
            </w:r>
          </w:p>
          <w:p w:rsidR="00E5323B" w:rsidRPr="00417F19" w:rsidP="00F94CE7">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Sabiedrības </w:t>
            </w:r>
            <w:r w:rsidRPr="00FE126D">
              <w:rPr>
                <w:rFonts w:ascii="Times New Roman" w:eastAsia="Times New Roman" w:hAnsi="Times New Roman" w:cs="Times New Roman"/>
                <w:iCs/>
                <w:color w:val="414142"/>
                <w:sz w:val="24"/>
                <w:szCs w:val="24"/>
                <w:lang w:eastAsia="lv-LV"/>
              </w:rPr>
              <w:t>mērķgrupas</w:t>
            </w:r>
            <w:r w:rsidRPr="00FE126D">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pPr>
        <w:spacing w:after="0" w:line="240" w:lineRule="auto"/>
        <w:rPr>
          <w:rFonts w:ascii="Times New Roman" w:hAnsi="Times New Roman" w:cs="Times New Roman"/>
          <w:sz w:val="28"/>
          <w:szCs w:val="28"/>
        </w:rPr>
      </w:pPr>
    </w:p>
    <w:p w:rsidR="00E5323B" w:rsidRPr="00894C55" w:rsidP="00894C55">
      <w:pPr>
        <w:spacing w:after="0" w:line="240" w:lineRule="auto"/>
        <w:rPr>
          <w:rFonts w:ascii="Times New Roman" w:hAnsi="Times New Roman" w:cs="Times New Roman"/>
          <w:sz w:val="28"/>
          <w:szCs w:val="28"/>
        </w:rPr>
      </w:pPr>
    </w:p>
    <w:p w:rsidR="00C71036" w:rsidRPr="00C71036" w:rsidP="00C71036">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pPr>
        <w:spacing w:after="120" w:line="240" w:lineRule="auto"/>
        <w:rPr>
          <w:rFonts w:ascii="Times New Roman" w:eastAsia="Times New Roman" w:hAnsi="Times New Roman" w:cs="Times New Roman"/>
          <w:sz w:val="26"/>
          <w:szCs w:val="26"/>
          <w:lang w:eastAsia="lv-LV"/>
        </w:rPr>
      </w:pPr>
    </w:p>
    <w:p w:rsidR="00C71036" w:rsidRPr="00C71036" w:rsidP="00C71036">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pPr>
        <w:spacing w:after="0" w:line="240" w:lineRule="auto"/>
        <w:jc w:val="both"/>
        <w:rPr>
          <w:rFonts w:ascii="Times New Roman" w:eastAsia="Calibri" w:hAnsi="Times New Roman" w:cs="Times New Roman"/>
          <w:sz w:val="16"/>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p>
    <w:p w:rsidR="00C71036" w:rsidRPr="00C71036" w:rsidP="00C71036">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pPr>
      <w:pStyle w:val="Footer"/>
      <w:rPr>
        <w:rFonts w:ascii="Times New Roman" w:hAnsi="Times New Roman" w:cs="Times New Roman"/>
        <w:sz w:val="20"/>
        <w:szCs w:val="20"/>
      </w:rPr>
    </w:pPr>
    <w:r>
      <w:rPr>
        <w:rFonts w:ascii="Times New Roman" w:hAnsi="Times New Roman" w:cs="Times New Roman"/>
        <w:sz w:val="20"/>
        <w:szCs w:val="20"/>
      </w:rPr>
      <w:t>EMAnot_2709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pPr>
      <w:pStyle w:val="Footer"/>
      <w:rPr>
        <w:rFonts w:ascii="Times New Roman" w:hAnsi="Times New Roman" w:cs="Times New Roman"/>
        <w:sz w:val="20"/>
        <w:szCs w:val="20"/>
      </w:rPr>
    </w:pPr>
    <w:r>
      <w:rPr>
        <w:rFonts w:ascii="Times New Roman" w:hAnsi="Times New Roman" w:cs="Times New Roman"/>
        <w:sz w:val="20"/>
        <w:szCs w:val="20"/>
      </w:rPr>
      <w:t>EMAnot_270918_Groz_SAMC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11271808"/>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5337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4B46"/>
    <w:rsid w:val="00243426"/>
    <w:rsid w:val="00253379"/>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A2654"/>
    <w:rsid w:val="009C7966"/>
    <w:rsid w:val="00A10FC3"/>
    <w:rsid w:val="00A51AE4"/>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E5657"/>
    <w:rsid w:val="00CF6EF0"/>
    <w:rsid w:val="00D133F8"/>
    <w:rsid w:val="00D14A3E"/>
    <w:rsid w:val="00DF1E34"/>
    <w:rsid w:val="00E31CB8"/>
    <w:rsid w:val="00E3716B"/>
    <w:rsid w:val="00E43782"/>
    <w:rsid w:val="00E5323B"/>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7976</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16</cp:revision>
  <dcterms:created xsi:type="dcterms:W3CDTF">2018-09-27T11:40:00Z</dcterms:created>
  <dcterms:modified xsi:type="dcterms:W3CDTF">2018-10-12T07:57:00Z</dcterms:modified>
</cp:coreProperties>
</file>