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793F7" w14:textId="77777777" w:rsidR="00323F13" w:rsidRPr="002C30C1" w:rsidRDefault="007D1F09" w:rsidP="002712A1">
      <w:pPr>
        <w:pStyle w:val="naislab"/>
        <w:spacing w:before="0" w:after="0"/>
        <w:jc w:val="center"/>
        <w:rPr>
          <w:b/>
          <w:color w:val="000000"/>
          <w:sz w:val="28"/>
          <w:szCs w:val="28"/>
        </w:rPr>
      </w:pPr>
      <w:r w:rsidRPr="002C30C1">
        <w:rPr>
          <w:b/>
          <w:color w:val="000000"/>
          <w:sz w:val="28"/>
          <w:szCs w:val="28"/>
        </w:rPr>
        <w:t xml:space="preserve">Likumprojekta “Grozījumi likumā “Par nodokļiem un nodevām”” </w:t>
      </w:r>
      <w:r w:rsidR="00323F13" w:rsidRPr="002C30C1">
        <w:rPr>
          <w:b/>
          <w:bCs/>
          <w:sz w:val="28"/>
        </w:rPr>
        <w:t>sākotnējās ietekmes novērtējuma ziņojums (anotācija)</w:t>
      </w:r>
    </w:p>
    <w:p w14:paraId="39842D7E" w14:textId="77777777" w:rsidR="00323F13" w:rsidRPr="002C30C1" w:rsidRDefault="00323F13" w:rsidP="002712A1">
      <w:pPr>
        <w:spacing w:after="0" w:line="240" w:lineRule="auto"/>
        <w:jc w:val="center"/>
        <w:rPr>
          <w:rFonts w:ascii="Times New Roman" w:eastAsia="Times New Roman" w:hAnsi="Times New Roman" w:cs="Times New Roman"/>
          <w:b/>
          <w:bCs/>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304"/>
      </w:tblGrid>
      <w:tr w:rsidR="00323F13" w:rsidRPr="002C30C1" w14:paraId="7B84C72E" w14:textId="77777777" w:rsidTr="001F6A69">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1ED20E8C"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Tiesību akta projekta anotācijas kopsavilkums</w:t>
            </w:r>
          </w:p>
        </w:tc>
      </w:tr>
      <w:tr w:rsidR="00323F13" w:rsidRPr="002C30C1" w14:paraId="24572AEF" w14:textId="77777777" w:rsidTr="001F6A69">
        <w:trPr>
          <w:tblCellSpacing w:w="15" w:type="dxa"/>
        </w:trPr>
        <w:tc>
          <w:tcPr>
            <w:tcW w:w="2009" w:type="pct"/>
            <w:tcBorders>
              <w:top w:val="outset" w:sz="6" w:space="0" w:color="auto"/>
              <w:left w:val="outset" w:sz="6" w:space="0" w:color="auto"/>
              <w:bottom w:val="outset" w:sz="6" w:space="0" w:color="auto"/>
              <w:right w:val="outset" w:sz="6" w:space="0" w:color="auto"/>
            </w:tcBorders>
            <w:hideMark/>
          </w:tcPr>
          <w:p w14:paraId="2FDA2400"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Mērķis, risinājums un projekta spēkā stāšanās laiks (500 zīmes bez atstarpēm)</w:t>
            </w:r>
          </w:p>
        </w:tc>
        <w:tc>
          <w:tcPr>
            <w:tcW w:w="2940" w:type="pct"/>
            <w:tcBorders>
              <w:top w:val="outset" w:sz="6" w:space="0" w:color="auto"/>
              <w:left w:val="outset" w:sz="6" w:space="0" w:color="auto"/>
              <w:bottom w:val="outset" w:sz="6" w:space="0" w:color="auto"/>
              <w:right w:val="outset" w:sz="6" w:space="0" w:color="auto"/>
            </w:tcBorders>
            <w:hideMark/>
          </w:tcPr>
          <w:p w14:paraId="7D035C88" w14:textId="5469CA6B" w:rsidR="00C45546" w:rsidRPr="002C30C1" w:rsidRDefault="00C4554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Likumprojekts “Grozījumi likumā “Par nodokļiem un nodevām” (turpmāk – Projekts) ir sagatavots, lai izpildītu Ministru kabineta 2018.gada 7.augusta sēdes protokollēmuma Nr.37 73.§ 5.punktu</w:t>
            </w:r>
            <w:r w:rsidR="00096698" w:rsidRPr="002C30C1">
              <w:rPr>
                <w:rFonts w:ascii="Times New Roman" w:eastAsia="Times New Roman" w:hAnsi="Times New Roman" w:cs="Times New Roman"/>
                <w:iCs/>
                <w:sz w:val="24"/>
                <w:szCs w:val="24"/>
                <w:lang w:eastAsia="lv-LV"/>
              </w:rPr>
              <w:t xml:space="preserve"> </w:t>
            </w:r>
            <w:r w:rsidR="00404E95" w:rsidRPr="002C30C1">
              <w:rPr>
                <w:rFonts w:ascii="Times New Roman" w:eastAsia="Times New Roman" w:hAnsi="Times New Roman" w:cs="Times New Roman"/>
                <w:iCs/>
                <w:sz w:val="24"/>
                <w:szCs w:val="24"/>
                <w:lang w:eastAsia="lv-LV"/>
              </w:rPr>
              <w:t xml:space="preserve">un </w:t>
            </w:r>
            <w:r w:rsidRPr="002C30C1">
              <w:rPr>
                <w:rFonts w:ascii="Times New Roman" w:eastAsia="Times New Roman" w:hAnsi="Times New Roman" w:cs="Times New Roman"/>
                <w:iCs/>
                <w:sz w:val="24"/>
                <w:szCs w:val="24"/>
                <w:lang w:eastAsia="lv-LV"/>
              </w:rPr>
              <w:t>pilnveidot</w:t>
            </w:r>
            <w:r w:rsidR="00404E95" w:rsidRPr="002C30C1">
              <w:rPr>
                <w:rFonts w:ascii="Times New Roman" w:eastAsia="Times New Roman" w:hAnsi="Times New Roman" w:cs="Times New Roman"/>
                <w:iCs/>
                <w:sz w:val="24"/>
                <w:szCs w:val="24"/>
                <w:lang w:eastAsia="lv-LV"/>
              </w:rPr>
              <w:t>u</w:t>
            </w:r>
            <w:r w:rsidRPr="002C30C1">
              <w:rPr>
                <w:rFonts w:ascii="Times New Roman" w:eastAsia="Times New Roman" w:hAnsi="Times New Roman" w:cs="Times New Roman"/>
                <w:iCs/>
                <w:sz w:val="24"/>
                <w:szCs w:val="24"/>
                <w:lang w:eastAsia="lv-LV"/>
              </w:rPr>
              <w:t xml:space="preserve"> likumā “Par nodokļiem un nodevām” ietverto regulējumu attiecībā uz elektroniskās darba laika uzskaites sistēmu (turpmāk – EDLUS) un vienoto elektroniskās darba laika uzskaites datubāzi (turpmāk – VEDLUDB).</w:t>
            </w:r>
          </w:p>
          <w:p w14:paraId="46F6FB03" w14:textId="15B3C5EE" w:rsidR="00096698" w:rsidRPr="002C30C1" w:rsidRDefault="00096698"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Tāpat Projekts paredz pilnveidot tiesisko regulējumu nodokļu administrēšanas jomā, paredzot jaunu nodokļu parāda saistību pastiprināšanas veidu – kredītiestādes izsniegtu garantiju.</w:t>
            </w:r>
          </w:p>
          <w:p w14:paraId="515E28FC" w14:textId="77777777" w:rsidR="00323F13" w:rsidRPr="002C30C1" w:rsidRDefault="00323F1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Regulējums stāsies spēkā 20</w:t>
            </w:r>
            <w:r w:rsidR="009C4A75" w:rsidRPr="002C30C1">
              <w:rPr>
                <w:rFonts w:ascii="Times New Roman" w:eastAsia="Times New Roman" w:hAnsi="Times New Roman" w:cs="Times New Roman"/>
                <w:iCs/>
                <w:sz w:val="24"/>
                <w:szCs w:val="24"/>
                <w:lang w:eastAsia="lv-LV"/>
              </w:rPr>
              <w:t>19</w:t>
            </w:r>
            <w:r w:rsidRPr="002C30C1">
              <w:rPr>
                <w:rFonts w:ascii="Times New Roman" w:eastAsia="Times New Roman" w:hAnsi="Times New Roman" w:cs="Times New Roman"/>
                <w:iCs/>
                <w:sz w:val="24"/>
                <w:szCs w:val="24"/>
                <w:lang w:eastAsia="lv-LV"/>
              </w:rPr>
              <w:t>.gada 1.janvārī.</w:t>
            </w:r>
          </w:p>
        </w:tc>
      </w:tr>
    </w:tbl>
    <w:p w14:paraId="3F16CF11" w14:textId="77777777" w:rsidR="00323F13" w:rsidRPr="002C30C1" w:rsidRDefault="00323F13" w:rsidP="002712A1">
      <w:pPr>
        <w:spacing w:after="0" w:line="240" w:lineRule="auto"/>
        <w:rPr>
          <w:rFonts w:ascii="Times New Roman" w:eastAsia="Times New Roman" w:hAnsi="Times New Roman" w:cs="Times New Roman"/>
          <w:iCs/>
          <w:sz w:val="24"/>
          <w:szCs w:val="24"/>
          <w:lang w:val="sv-SE"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65"/>
        <w:gridCol w:w="5394"/>
      </w:tblGrid>
      <w:tr w:rsidR="00323F13" w:rsidRPr="002C30C1" w14:paraId="09BE7D8B" w14:textId="77777777" w:rsidTr="001F6A69">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69129A83"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I. Tiesību akta projekta izstrādes nepieciešamība</w:t>
            </w:r>
          </w:p>
        </w:tc>
      </w:tr>
      <w:tr w:rsidR="00323F13" w:rsidRPr="002C30C1" w14:paraId="78A7C7E9" w14:textId="77777777" w:rsidTr="001F6A69">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BE2EAD3"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w:t>
            </w:r>
          </w:p>
        </w:tc>
        <w:tc>
          <w:tcPr>
            <w:tcW w:w="1656" w:type="pct"/>
            <w:tcBorders>
              <w:top w:val="outset" w:sz="6" w:space="0" w:color="auto"/>
              <w:left w:val="outset" w:sz="6" w:space="0" w:color="auto"/>
              <w:bottom w:val="outset" w:sz="6" w:space="0" w:color="auto"/>
              <w:right w:val="outset" w:sz="6" w:space="0" w:color="auto"/>
            </w:tcBorders>
            <w:hideMark/>
          </w:tcPr>
          <w:p w14:paraId="7B579CB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Pamatojums</w:t>
            </w:r>
          </w:p>
        </w:tc>
        <w:tc>
          <w:tcPr>
            <w:tcW w:w="2984" w:type="pct"/>
            <w:tcBorders>
              <w:top w:val="outset" w:sz="6" w:space="0" w:color="auto"/>
              <w:left w:val="outset" w:sz="6" w:space="0" w:color="auto"/>
              <w:bottom w:val="outset" w:sz="6" w:space="0" w:color="auto"/>
              <w:right w:val="outset" w:sz="6" w:space="0" w:color="auto"/>
            </w:tcBorders>
          </w:tcPr>
          <w:p w14:paraId="6B24AA57" w14:textId="0815C3DC" w:rsidR="00323F13" w:rsidRPr="002C30C1" w:rsidRDefault="00B20A98"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Ministru kabineta 2018.gada 7.augusta sēdes protokol</w:t>
            </w:r>
            <w:r w:rsidR="00B972C2" w:rsidRPr="002C30C1">
              <w:rPr>
                <w:rFonts w:ascii="Times New Roman" w:eastAsia="Times New Roman" w:hAnsi="Times New Roman" w:cs="Times New Roman"/>
                <w:iCs/>
                <w:sz w:val="24"/>
                <w:szCs w:val="24"/>
                <w:lang w:eastAsia="lv-LV"/>
              </w:rPr>
              <w:t>lēmuma</w:t>
            </w:r>
            <w:r w:rsidRPr="002C30C1">
              <w:rPr>
                <w:rFonts w:ascii="Times New Roman" w:eastAsia="Times New Roman" w:hAnsi="Times New Roman" w:cs="Times New Roman"/>
                <w:iCs/>
                <w:sz w:val="24"/>
                <w:szCs w:val="24"/>
                <w:lang w:eastAsia="lv-LV"/>
              </w:rPr>
              <w:t xml:space="preserve"> Nr.37 73.§ 5.punkts</w:t>
            </w:r>
            <w:r w:rsidR="00096698" w:rsidRPr="002C30C1">
              <w:rPr>
                <w:rFonts w:ascii="Times New Roman" w:eastAsia="Times New Roman" w:hAnsi="Times New Roman" w:cs="Times New Roman"/>
                <w:iCs/>
                <w:sz w:val="24"/>
                <w:szCs w:val="24"/>
                <w:lang w:eastAsia="lv-LV"/>
              </w:rPr>
              <w:t xml:space="preserve"> un </w:t>
            </w:r>
            <w:r w:rsidR="00096698" w:rsidRPr="002C30C1">
              <w:rPr>
                <w:rFonts w:ascii="Times New Roman" w:hAnsi="Times New Roman" w:cs="Times New Roman"/>
                <w:sz w:val="24"/>
                <w:szCs w:val="24"/>
              </w:rPr>
              <w:t xml:space="preserve">Finanšu </w:t>
            </w:r>
            <w:r w:rsidR="008F5673" w:rsidRPr="002C30C1">
              <w:rPr>
                <w:rFonts w:ascii="Times New Roman" w:hAnsi="Times New Roman" w:cs="Times New Roman"/>
                <w:sz w:val="24"/>
                <w:szCs w:val="24"/>
              </w:rPr>
              <w:t>ministrijas</w:t>
            </w:r>
            <w:r w:rsidR="00096698" w:rsidRPr="002C30C1">
              <w:rPr>
                <w:rFonts w:ascii="Times New Roman" w:hAnsi="Times New Roman" w:cs="Times New Roman"/>
                <w:sz w:val="24"/>
                <w:szCs w:val="24"/>
              </w:rPr>
              <w:t xml:space="preserve"> iniciatīva.</w:t>
            </w:r>
          </w:p>
        </w:tc>
      </w:tr>
      <w:tr w:rsidR="00323F13" w:rsidRPr="002C30C1" w14:paraId="33FD43F2" w14:textId="77777777" w:rsidTr="001F6A69">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7AD1CA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w:t>
            </w:r>
          </w:p>
        </w:tc>
        <w:tc>
          <w:tcPr>
            <w:tcW w:w="1656" w:type="pct"/>
            <w:tcBorders>
              <w:top w:val="outset" w:sz="6" w:space="0" w:color="auto"/>
              <w:left w:val="outset" w:sz="6" w:space="0" w:color="auto"/>
              <w:bottom w:val="outset" w:sz="6" w:space="0" w:color="auto"/>
              <w:right w:val="outset" w:sz="6" w:space="0" w:color="auto"/>
            </w:tcBorders>
            <w:hideMark/>
          </w:tcPr>
          <w:p w14:paraId="2731C309"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13EDDC" w14:textId="77777777" w:rsidR="00323F13" w:rsidRPr="002C30C1" w:rsidRDefault="00323F13" w:rsidP="002712A1">
            <w:pPr>
              <w:rPr>
                <w:rFonts w:ascii="Times New Roman" w:eastAsia="Times New Roman" w:hAnsi="Times New Roman" w:cs="Times New Roman"/>
                <w:sz w:val="24"/>
                <w:szCs w:val="24"/>
                <w:lang w:eastAsia="lv-LV"/>
              </w:rPr>
            </w:pPr>
          </w:p>
          <w:p w14:paraId="0698F69A" w14:textId="77777777" w:rsidR="00323F13" w:rsidRPr="002C30C1" w:rsidRDefault="00323F13" w:rsidP="002712A1">
            <w:pPr>
              <w:ind w:firstLine="720"/>
              <w:rPr>
                <w:rFonts w:ascii="Times New Roman" w:eastAsia="Times New Roman" w:hAnsi="Times New Roman" w:cs="Times New Roman"/>
                <w:sz w:val="24"/>
                <w:szCs w:val="24"/>
                <w:lang w:eastAsia="lv-LV"/>
              </w:rPr>
            </w:pPr>
          </w:p>
        </w:tc>
        <w:tc>
          <w:tcPr>
            <w:tcW w:w="2984" w:type="pct"/>
            <w:tcBorders>
              <w:top w:val="outset" w:sz="6" w:space="0" w:color="auto"/>
              <w:left w:val="outset" w:sz="6" w:space="0" w:color="auto"/>
              <w:bottom w:val="outset" w:sz="6" w:space="0" w:color="auto"/>
              <w:right w:val="outset" w:sz="6" w:space="0" w:color="auto"/>
            </w:tcBorders>
            <w:hideMark/>
          </w:tcPr>
          <w:p w14:paraId="15B68213" w14:textId="7332B6D3" w:rsidR="00096698" w:rsidRPr="002C30C1" w:rsidRDefault="00096698" w:rsidP="002712A1">
            <w:pPr>
              <w:spacing w:after="0" w:line="240" w:lineRule="auto"/>
              <w:jc w:val="both"/>
              <w:rPr>
                <w:rFonts w:ascii="Times New Roman" w:eastAsia="Times New Roman" w:hAnsi="Times New Roman" w:cs="Times New Roman"/>
                <w:b/>
                <w:i/>
                <w:iCs/>
                <w:sz w:val="24"/>
                <w:szCs w:val="24"/>
                <w:lang w:eastAsia="lv-LV"/>
              </w:rPr>
            </w:pPr>
            <w:r w:rsidRPr="002C30C1">
              <w:rPr>
                <w:rFonts w:ascii="Times New Roman" w:eastAsia="Times New Roman" w:hAnsi="Times New Roman" w:cs="Times New Roman"/>
                <w:b/>
                <w:i/>
                <w:iCs/>
                <w:sz w:val="24"/>
                <w:szCs w:val="24"/>
                <w:lang w:eastAsia="lv-LV"/>
              </w:rPr>
              <w:t>1. Par regulējumu attiecībā uz EDLUS un VEDLUDB</w:t>
            </w:r>
          </w:p>
          <w:p w14:paraId="35393814" w14:textId="4C0FD04A" w:rsidR="00323F13" w:rsidRPr="002C30C1" w:rsidRDefault="009C4A75"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Saeimā 2017.gada 22.jūnijā tika pieņemts likums “Grozījumi likumā “Par nodokļiem un nodevām””, kas paredz ieviest elektronisko darba laika uzskaiti būvniecīb</w:t>
            </w:r>
            <w:r w:rsidR="00877C9E" w:rsidRPr="002C30C1">
              <w:rPr>
                <w:rFonts w:ascii="Times New Roman" w:eastAsia="Times New Roman" w:hAnsi="Times New Roman" w:cs="Times New Roman"/>
                <w:iCs/>
                <w:sz w:val="24"/>
                <w:szCs w:val="24"/>
                <w:lang w:eastAsia="lv-LV"/>
              </w:rPr>
              <w:t>ā</w:t>
            </w:r>
            <w:r w:rsidRPr="002C30C1">
              <w:rPr>
                <w:rFonts w:ascii="Times New Roman" w:eastAsia="Times New Roman" w:hAnsi="Times New Roman" w:cs="Times New Roman"/>
                <w:iCs/>
                <w:sz w:val="24"/>
                <w:szCs w:val="24"/>
                <w:lang w:eastAsia="lv-LV"/>
              </w:rPr>
              <w:t xml:space="preserve">. </w:t>
            </w:r>
          </w:p>
          <w:p w14:paraId="6F2931B4" w14:textId="5B39FE0C" w:rsidR="00877C9E" w:rsidRPr="002C30C1" w:rsidRDefault="00877C9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Elektroniskās darba laika uzskaites ieviešana paredzēta </w:t>
            </w:r>
            <w:r w:rsidR="00E56965" w:rsidRPr="002C30C1">
              <w:rPr>
                <w:rFonts w:ascii="Times New Roman" w:eastAsia="Times New Roman" w:hAnsi="Times New Roman" w:cs="Times New Roman"/>
                <w:iCs/>
                <w:sz w:val="24"/>
                <w:szCs w:val="24"/>
                <w:lang w:eastAsia="lv-LV"/>
              </w:rPr>
              <w:t xml:space="preserve">šādos </w:t>
            </w:r>
            <w:r w:rsidRPr="002C30C1">
              <w:rPr>
                <w:rFonts w:ascii="Times New Roman" w:eastAsia="Times New Roman" w:hAnsi="Times New Roman" w:cs="Times New Roman"/>
                <w:iCs/>
                <w:sz w:val="24"/>
                <w:szCs w:val="24"/>
                <w:lang w:eastAsia="lv-LV"/>
              </w:rPr>
              <w:t>posmos:</w:t>
            </w:r>
          </w:p>
          <w:p w14:paraId="1A64A973" w14:textId="695A3327" w:rsidR="00877C9E" w:rsidRPr="002C30C1" w:rsidRDefault="00877C9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- 1.posms –</w:t>
            </w:r>
            <w:r w:rsidR="00580FC6" w:rsidRPr="002C30C1">
              <w:rPr>
                <w:rFonts w:ascii="Times New Roman" w:eastAsia="Times New Roman" w:hAnsi="Times New Roman" w:cs="Times New Roman"/>
                <w:iCs/>
                <w:sz w:val="24"/>
                <w:szCs w:val="24"/>
                <w:lang w:eastAsia="lv-LV"/>
              </w:rPr>
              <w:t xml:space="preserve"> EDLUS</w:t>
            </w:r>
            <w:r w:rsidRPr="002C30C1">
              <w:rPr>
                <w:rFonts w:ascii="Times New Roman" w:eastAsia="Times New Roman" w:hAnsi="Times New Roman" w:cs="Times New Roman"/>
                <w:iCs/>
                <w:sz w:val="24"/>
                <w:szCs w:val="24"/>
                <w:lang w:eastAsia="lv-LV"/>
              </w:rPr>
              <w:t xml:space="preserve"> ieviešana būvlaukumos – no 2017.gada 1.oktobra;</w:t>
            </w:r>
          </w:p>
          <w:p w14:paraId="22C5595A" w14:textId="27983373" w:rsidR="00877C9E" w:rsidRPr="002C30C1" w:rsidRDefault="00877C9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- 2.posms – EDLUS uzkrāto datu nodošana glabāšanai centralizēti uz VEDLUDB – no 2019.gada 1.janvāra.</w:t>
            </w:r>
          </w:p>
          <w:p w14:paraId="3E2AD179" w14:textId="779C4CCA" w:rsidR="00877C9E" w:rsidRPr="002C30C1" w:rsidRDefault="00B168EF"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Saskaņā ar l</w:t>
            </w:r>
            <w:r w:rsidR="00877C9E" w:rsidRPr="002C30C1">
              <w:rPr>
                <w:rFonts w:ascii="Times New Roman" w:eastAsia="Times New Roman" w:hAnsi="Times New Roman" w:cs="Times New Roman"/>
                <w:iCs/>
                <w:sz w:val="24"/>
                <w:szCs w:val="24"/>
                <w:lang w:eastAsia="lv-LV"/>
              </w:rPr>
              <w:t>ikuma “Par nodokļiem un nodevām” 112.pant</w:t>
            </w:r>
            <w:r w:rsidRPr="002C30C1">
              <w:rPr>
                <w:rFonts w:ascii="Times New Roman" w:eastAsia="Times New Roman" w:hAnsi="Times New Roman" w:cs="Times New Roman"/>
                <w:iCs/>
                <w:sz w:val="24"/>
                <w:szCs w:val="24"/>
                <w:lang w:eastAsia="lv-LV"/>
              </w:rPr>
              <w:t>a</w:t>
            </w:r>
            <w:r w:rsidR="00877C9E" w:rsidRPr="002C30C1">
              <w:rPr>
                <w:rFonts w:ascii="Times New Roman" w:eastAsia="Times New Roman" w:hAnsi="Times New Roman" w:cs="Times New Roman"/>
                <w:iCs/>
                <w:sz w:val="24"/>
                <w:szCs w:val="24"/>
                <w:lang w:eastAsia="lv-LV"/>
              </w:rPr>
              <w:t xml:space="preserve"> piekt</w:t>
            </w:r>
            <w:r w:rsidRPr="002C30C1">
              <w:rPr>
                <w:rFonts w:ascii="Times New Roman" w:eastAsia="Times New Roman" w:hAnsi="Times New Roman" w:cs="Times New Roman"/>
                <w:iCs/>
                <w:sz w:val="24"/>
                <w:szCs w:val="24"/>
                <w:lang w:eastAsia="lv-LV"/>
              </w:rPr>
              <w:t>o</w:t>
            </w:r>
            <w:r w:rsidR="00877C9E" w:rsidRPr="002C30C1">
              <w:rPr>
                <w:rFonts w:ascii="Times New Roman" w:eastAsia="Times New Roman" w:hAnsi="Times New Roman" w:cs="Times New Roman"/>
                <w:iCs/>
                <w:sz w:val="24"/>
                <w:szCs w:val="24"/>
                <w:lang w:eastAsia="lv-LV"/>
              </w:rPr>
              <w:t xml:space="preserve"> daļ</w:t>
            </w:r>
            <w:r w:rsidRPr="002C30C1">
              <w:rPr>
                <w:rFonts w:ascii="Times New Roman" w:eastAsia="Times New Roman" w:hAnsi="Times New Roman" w:cs="Times New Roman"/>
                <w:iCs/>
                <w:sz w:val="24"/>
                <w:szCs w:val="24"/>
                <w:lang w:eastAsia="lv-LV"/>
              </w:rPr>
              <w:t>u</w:t>
            </w:r>
            <w:r w:rsidR="00877C9E" w:rsidRPr="002C30C1">
              <w:rPr>
                <w:rFonts w:ascii="Times New Roman" w:eastAsia="Times New Roman" w:hAnsi="Times New Roman" w:cs="Times New Roman"/>
                <w:iCs/>
                <w:sz w:val="24"/>
                <w:szCs w:val="24"/>
                <w:lang w:eastAsia="lv-LV"/>
              </w:rPr>
              <w:t xml:space="preserve"> </w:t>
            </w:r>
            <w:r w:rsidR="00822A9D" w:rsidRPr="002C30C1">
              <w:rPr>
                <w:rFonts w:ascii="Times New Roman" w:eastAsia="Times New Roman" w:hAnsi="Times New Roman" w:cs="Times New Roman"/>
                <w:iCs/>
                <w:sz w:val="24"/>
                <w:szCs w:val="24"/>
                <w:lang w:eastAsia="lv-LV"/>
              </w:rPr>
              <w:t>VEDLUDB</w:t>
            </w:r>
            <w:r w:rsidR="00877C9E" w:rsidRPr="002C30C1">
              <w:rPr>
                <w:rFonts w:ascii="Times New Roman" w:eastAsia="Times New Roman" w:hAnsi="Times New Roman" w:cs="Times New Roman"/>
                <w:iCs/>
                <w:sz w:val="24"/>
                <w:szCs w:val="24"/>
                <w:lang w:eastAsia="lv-LV"/>
              </w:rPr>
              <w:t xml:space="preserve"> izveide un uzturēšana var tikt deleģēta privātpersonai, noslēdzot deleģēšanas līgumu atbilstoši Valsts pārvaldes iekārtas likumā noteiktajai kārtībai.</w:t>
            </w:r>
          </w:p>
          <w:p w14:paraId="0BB2F6A9" w14:textId="360CB3F8" w:rsidR="009C4A75" w:rsidRPr="002C30C1" w:rsidRDefault="00877C9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2018.gada 7.augustā Ministru kabinetā</w:t>
            </w:r>
            <w:r w:rsidR="00593D66" w:rsidRPr="002C30C1">
              <w:rPr>
                <w:rFonts w:ascii="Times New Roman" w:eastAsia="Times New Roman" w:hAnsi="Times New Roman" w:cs="Times New Roman"/>
                <w:iCs/>
                <w:sz w:val="24"/>
                <w:szCs w:val="24"/>
                <w:lang w:eastAsia="lv-LV"/>
              </w:rPr>
              <w:t xml:space="preserve"> (protokols Nr.37 73.§) </w:t>
            </w:r>
            <w:r w:rsidRPr="002C30C1">
              <w:rPr>
                <w:rFonts w:ascii="Times New Roman" w:eastAsia="Times New Roman" w:hAnsi="Times New Roman" w:cs="Times New Roman"/>
                <w:iCs/>
                <w:sz w:val="24"/>
                <w:szCs w:val="24"/>
                <w:lang w:eastAsia="lv-LV"/>
              </w:rPr>
              <w:t>tika izskatīs Ekonomikas ministrijas sagatavotais Informatīvais ziņojums “Par Ministru kabineta 2017.gada 22.augusta protokola Nr.40 40.§ 4.punkta atzīšanu par spēku zaudējušu”. Ievērojot minētā protokol</w:t>
            </w:r>
            <w:r w:rsidR="00B972C2" w:rsidRPr="002C30C1">
              <w:rPr>
                <w:rFonts w:ascii="Times New Roman" w:eastAsia="Times New Roman" w:hAnsi="Times New Roman" w:cs="Times New Roman"/>
                <w:iCs/>
                <w:sz w:val="24"/>
                <w:szCs w:val="24"/>
                <w:lang w:eastAsia="lv-LV"/>
              </w:rPr>
              <w:t>lēmum</w:t>
            </w:r>
            <w:r w:rsidRPr="002C30C1">
              <w:rPr>
                <w:rFonts w:ascii="Times New Roman" w:eastAsia="Times New Roman" w:hAnsi="Times New Roman" w:cs="Times New Roman"/>
                <w:iCs/>
                <w:sz w:val="24"/>
                <w:szCs w:val="24"/>
                <w:lang w:eastAsia="lv-LV"/>
              </w:rPr>
              <w:t xml:space="preserve">a 2. un 3.punktu, Būvniecības valsts kontroles birojs </w:t>
            </w:r>
            <w:r w:rsidR="00232449" w:rsidRPr="002C30C1">
              <w:rPr>
                <w:rFonts w:ascii="Times New Roman" w:eastAsia="Times New Roman" w:hAnsi="Times New Roman" w:cs="Times New Roman"/>
                <w:iCs/>
                <w:sz w:val="24"/>
                <w:szCs w:val="24"/>
                <w:lang w:eastAsia="lv-LV"/>
              </w:rPr>
              <w:t xml:space="preserve">(turpmāk – BVKB) </w:t>
            </w:r>
            <w:r w:rsidRPr="002C30C1">
              <w:rPr>
                <w:rFonts w:ascii="Times New Roman" w:eastAsia="Times New Roman" w:hAnsi="Times New Roman" w:cs="Times New Roman"/>
                <w:iCs/>
                <w:sz w:val="24"/>
                <w:szCs w:val="24"/>
                <w:lang w:eastAsia="lv-LV"/>
              </w:rPr>
              <w:t xml:space="preserve">noteikts par VEDLUDB pārzini un turētāju, kā arī Ministru </w:t>
            </w:r>
            <w:r w:rsidRPr="002C30C1">
              <w:rPr>
                <w:rFonts w:ascii="Times New Roman" w:eastAsia="Times New Roman" w:hAnsi="Times New Roman" w:cs="Times New Roman"/>
                <w:iCs/>
                <w:sz w:val="24"/>
                <w:szCs w:val="24"/>
                <w:lang w:eastAsia="lv-LV"/>
              </w:rPr>
              <w:lastRenderedPageBreak/>
              <w:t xml:space="preserve">kabineta 2017.gada 22.augusta protokollēmuma (prot. Nr.40 40.§) 4.punkts </w:t>
            </w:r>
            <w:r w:rsidR="00B972C2" w:rsidRPr="002C30C1">
              <w:rPr>
                <w:rFonts w:ascii="Times New Roman" w:eastAsia="Times New Roman" w:hAnsi="Times New Roman" w:cs="Times New Roman"/>
                <w:iCs/>
                <w:sz w:val="24"/>
                <w:szCs w:val="24"/>
                <w:lang w:eastAsia="lv-LV"/>
              </w:rPr>
              <w:t xml:space="preserve">atzīts </w:t>
            </w:r>
            <w:r w:rsidRPr="002C30C1">
              <w:rPr>
                <w:rFonts w:ascii="Times New Roman" w:eastAsia="Times New Roman" w:hAnsi="Times New Roman" w:cs="Times New Roman"/>
                <w:iCs/>
                <w:sz w:val="24"/>
                <w:szCs w:val="24"/>
                <w:lang w:eastAsia="lv-LV"/>
              </w:rPr>
              <w:t>par</w:t>
            </w:r>
            <w:r w:rsidR="00B972C2" w:rsidRPr="002C30C1">
              <w:rPr>
                <w:rFonts w:ascii="Times New Roman" w:eastAsia="Times New Roman" w:hAnsi="Times New Roman" w:cs="Times New Roman"/>
                <w:iCs/>
                <w:sz w:val="24"/>
                <w:szCs w:val="24"/>
                <w:lang w:eastAsia="lv-LV"/>
              </w:rPr>
              <w:t xml:space="preserve"> aktualitāti zaudējušu.</w:t>
            </w:r>
          </w:p>
          <w:p w14:paraId="6BAD73DB" w14:textId="0944829F" w:rsidR="00877C9E" w:rsidRPr="002C30C1" w:rsidRDefault="004F688A"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Ministru kabineta 2018</w:t>
            </w:r>
            <w:r w:rsidR="00B972C2" w:rsidRPr="002C30C1">
              <w:rPr>
                <w:rFonts w:ascii="Times New Roman" w:eastAsia="Times New Roman" w:hAnsi="Times New Roman" w:cs="Times New Roman"/>
                <w:iCs/>
                <w:sz w:val="24"/>
                <w:szCs w:val="24"/>
                <w:lang w:eastAsia="lv-LV"/>
              </w:rPr>
              <w:t xml:space="preserve">.gada </w:t>
            </w:r>
            <w:r w:rsidRPr="002C30C1">
              <w:rPr>
                <w:rFonts w:ascii="Times New Roman" w:eastAsia="Times New Roman" w:hAnsi="Times New Roman" w:cs="Times New Roman"/>
                <w:iCs/>
                <w:sz w:val="24"/>
                <w:szCs w:val="24"/>
                <w:lang w:eastAsia="lv-LV"/>
              </w:rPr>
              <w:t>7</w:t>
            </w:r>
            <w:r w:rsidR="00B972C2" w:rsidRPr="002C30C1">
              <w:rPr>
                <w:rFonts w:ascii="Times New Roman" w:eastAsia="Times New Roman" w:hAnsi="Times New Roman" w:cs="Times New Roman"/>
                <w:iCs/>
                <w:sz w:val="24"/>
                <w:szCs w:val="24"/>
                <w:lang w:eastAsia="lv-LV"/>
              </w:rPr>
              <w:t>.augusta sēdes</w:t>
            </w:r>
            <w:r w:rsidR="00593D66" w:rsidRPr="002C30C1">
              <w:rPr>
                <w:rFonts w:ascii="Times New Roman" w:eastAsia="Times New Roman" w:hAnsi="Times New Roman" w:cs="Times New Roman"/>
                <w:iCs/>
                <w:sz w:val="24"/>
                <w:szCs w:val="24"/>
                <w:lang w:eastAsia="lv-LV"/>
              </w:rPr>
              <w:t xml:space="preserve"> (protokols Nr.37 73.§)</w:t>
            </w:r>
            <w:r w:rsidR="00B972C2" w:rsidRPr="002C30C1">
              <w:rPr>
                <w:rFonts w:ascii="Times New Roman" w:eastAsia="Times New Roman" w:hAnsi="Times New Roman" w:cs="Times New Roman"/>
                <w:iCs/>
                <w:sz w:val="24"/>
                <w:szCs w:val="24"/>
                <w:lang w:eastAsia="lv-LV"/>
              </w:rPr>
              <w:t xml:space="preserve"> protokollēmuma 5.punkts paredz uzdevumu Finanšu ministrijai sagatavot grozījumus likumā “Par nodokļiem un nodevām”</w:t>
            </w:r>
            <w:r w:rsidR="00E56965" w:rsidRPr="002C30C1">
              <w:rPr>
                <w:rFonts w:ascii="Times New Roman" w:eastAsia="Times New Roman" w:hAnsi="Times New Roman" w:cs="Times New Roman"/>
                <w:iCs/>
                <w:sz w:val="24"/>
                <w:szCs w:val="24"/>
                <w:lang w:eastAsia="lv-LV"/>
              </w:rPr>
              <w:t>,</w:t>
            </w:r>
            <w:r w:rsidR="00B972C2" w:rsidRPr="002C30C1">
              <w:rPr>
                <w:rFonts w:ascii="Times New Roman" w:eastAsia="Times New Roman" w:hAnsi="Times New Roman" w:cs="Times New Roman"/>
                <w:iCs/>
                <w:sz w:val="24"/>
                <w:szCs w:val="24"/>
                <w:lang w:eastAsia="lv-LV"/>
              </w:rPr>
              <w:t xml:space="preserve"> nosakot, ka dati no </w:t>
            </w:r>
            <w:r w:rsidR="00580FC6" w:rsidRPr="002C30C1">
              <w:rPr>
                <w:rFonts w:ascii="Times New Roman" w:eastAsia="Times New Roman" w:hAnsi="Times New Roman" w:cs="Times New Roman"/>
                <w:iCs/>
                <w:sz w:val="24"/>
                <w:szCs w:val="24"/>
                <w:lang w:eastAsia="lv-LV"/>
              </w:rPr>
              <w:t xml:space="preserve">EDLUS </w:t>
            </w:r>
            <w:r w:rsidR="00B972C2" w:rsidRPr="002C30C1">
              <w:rPr>
                <w:rFonts w:ascii="Times New Roman" w:eastAsia="Times New Roman" w:hAnsi="Times New Roman" w:cs="Times New Roman"/>
                <w:iCs/>
                <w:sz w:val="24"/>
                <w:szCs w:val="24"/>
                <w:lang w:eastAsia="lv-LV"/>
              </w:rPr>
              <w:t xml:space="preserve">nododami uz </w:t>
            </w:r>
            <w:r w:rsidR="00580FC6" w:rsidRPr="002C30C1">
              <w:rPr>
                <w:rFonts w:ascii="Times New Roman" w:eastAsia="Times New Roman" w:hAnsi="Times New Roman" w:cs="Times New Roman"/>
                <w:iCs/>
                <w:sz w:val="24"/>
                <w:szCs w:val="24"/>
                <w:lang w:eastAsia="lv-LV"/>
              </w:rPr>
              <w:t>VEDLUDB</w:t>
            </w:r>
            <w:r w:rsidR="00B972C2" w:rsidRPr="002C30C1">
              <w:rPr>
                <w:rFonts w:ascii="Times New Roman" w:eastAsia="Times New Roman" w:hAnsi="Times New Roman" w:cs="Times New Roman"/>
                <w:iCs/>
                <w:sz w:val="24"/>
                <w:szCs w:val="24"/>
                <w:lang w:eastAsia="lv-LV"/>
              </w:rPr>
              <w:t xml:space="preserve"> ar 2019.gada 1.jūliju, precizēt 112.panta trešo daļu, nosakot, ka Centrālajai statistikas pārvaldei nepieciešamie dati statistikas vajadzībām netiek anonimizēti, izslēgt no likuma 112.panta piekto un sesto daļu, noteikt, kādu datu labošana ir atļauta (personas vārds, uzvārds, personas kods), izslēgt likuma 114.panta pirmās daļas prasību par datu dzēšanu pēc to nodošanas </w:t>
            </w:r>
            <w:r w:rsidR="00580FC6" w:rsidRPr="002C30C1">
              <w:rPr>
                <w:rFonts w:ascii="Times New Roman" w:eastAsia="Times New Roman" w:hAnsi="Times New Roman" w:cs="Times New Roman"/>
                <w:iCs/>
                <w:sz w:val="24"/>
                <w:szCs w:val="24"/>
                <w:lang w:eastAsia="lv-LV"/>
              </w:rPr>
              <w:t>VEDLUDB</w:t>
            </w:r>
            <w:r w:rsidR="00B972C2" w:rsidRPr="002C30C1">
              <w:rPr>
                <w:rFonts w:ascii="Times New Roman" w:eastAsia="Times New Roman" w:hAnsi="Times New Roman" w:cs="Times New Roman"/>
                <w:iCs/>
                <w:sz w:val="24"/>
                <w:szCs w:val="24"/>
                <w:lang w:eastAsia="lv-LV"/>
              </w:rPr>
              <w:t>, precizēt 115.panta otro daļu un paredzēt kārtību datu ievietošanai sistēmas darbības pārtraukumu gadījumā, kā arī precizēt iesniedzamos datu laukus.</w:t>
            </w:r>
          </w:p>
          <w:p w14:paraId="5CB63667" w14:textId="77777777" w:rsidR="00AF70A7" w:rsidRPr="002C30C1" w:rsidRDefault="00AF70A7" w:rsidP="002712A1">
            <w:pPr>
              <w:spacing w:after="0" w:line="240" w:lineRule="auto"/>
              <w:jc w:val="both"/>
              <w:rPr>
                <w:rFonts w:ascii="Times New Roman" w:eastAsia="Times New Roman" w:hAnsi="Times New Roman" w:cs="Times New Roman"/>
                <w:iCs/>
                <w:sz w:val="24"/>
                <w:szCs w:val="24"/>
                <w:lang w:eastAsia="lv-LV"/>
              </w:rPr>
            </w:pPr>
          </w:p>
          <w:p w14:paraId="784276D1" w14:textId="22C81A13" w:rsidR="00593D66" w:rsidRPr="002C30C1" w:rsidRDefault="00593D66"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Projektā ietvertie grozījumi likumā “Par nodokļiem un nodevām”</w:t>
            </w:r>
            <w:r w:rsidR="00AF70A7" w:rsidRPr="002C30C1">
              <w:rPr>
                <w:rFonts w:ascii="Times New Roman" w:eastAsia="Times New Roman" w:hAnsi="Times New Roman" w:cs="Times New Roman"/>
                <w:b/>
                <w:iCs/>
                <w:sz w:val="24"/>
                <w:szCs w:val="24"/>
                <w:lang w:eastAsia="lv-LV"/>
              </w:rPr>
              <w:t>:</w:t>
            </w:r>
          </w:p>
          <w:p w14:paraId="719D015F" w14:textId="77777777" w:rsidR="003018EB" w:rsidRPr="002C30C1" w:rsidRDefault="003018EB" w:rsidP="002712A1">
            <w:pPr>
              <w:spacing w:after="0" w:line="240" w:lineRule="auto"/>
              <w:jc w:val="both"/>
              <w:rPr>
                <w:rFonts w:ascii="Times New Roman" w:eastAsia="Times New Roman" w:hAnsi="Times New Roman" w:cs="Times New Roman"/>
                <w:b/>
                <w:iCs/>
                <w:sz w:val="24"/>
                <w:szCs w:val="24"/>
                <w:lang w:eastAsia="lv-LV"/>
              </w:rPr>
            </w:pPr>
          </w:p>
          <w:p w14:paraId="28D51D3F" w14:textId="1946F673" w:rsidR="00593D66" w:rsidRPr="002C30C1" w:rsidRDefault="00593D66"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VEDLUDB turētājs</w:t>
            </w:r>
            <w:r w:rsidR="00056724" w:rsidRPr="002C30C1">
              <w:rPr>
                <w:rFonts w:ascii="Times New Roman" w:eastAsia="Times New Roman" w:hAnsi="Times New Roman" w:cs="Times New Roman"/>
                <w:b/>
                <w:iCs/>
                <w:sz w:val="24"/>
                <w:szCs w:val="24"/>
                <w:lang w:eastAsia="lv-LV"/>
              </w:rPr>
              <w:t xml:space="preserve"> un EDLUS datu nodošana uz VEDUDB</w:t>
            </w:r>
          </w:p>
          <w:p w14:paraId="0713B7DF" w14:textId="0C0F5FDA" w:rsidR="00091A29" w:rsidRPr="002C30C1" w:rsidRDefault="00593D6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Ievērojot to, ka atbilstoši Ministru kabineta 201</w:t>
            </w:r>
            <w:r w:rsidR="00402CFA" w:rsidRPr="002C30C1">
              <w:rPr>
                <w:rFonts w:ascii="Times New Roman" w:eastAsia="Times New Roman" w:hAnsi="Times New Roman" w:cs="Times New Roman"/>
                <w:iCs/>
                <w:sz w:val="24"/>
                <w:szCs w:val="24"/>
                <w:lang w:eastAsia="lv-LV"/>
              </w:rPr>
              <w:t>8</w:t>
            </w:r>
            <w:r w:rsidRPr="002C30C1">
              <w:rPr>
                <w:rFonts w:ascii="Times New Roman" w:eastAsia="Times New Roman" w:hAnsi="Times New Roman" w:cs="Times New Roman"/>
                <w:iCs/>
                <w:sz w:val="24"/>
                <w:szCs w:val="24"/>
                <w:lang w:eastAsia="lv-LV"/>
              </w:rPr>
              <w:t xml:space="preserve">.gada </w:t>
            </w:r>
            <w:r w:rsidR="00402CFA" w:rsidRPr="002C30C1">
              <w:rPr>
                <w:rFonts w:ascii="Times New Roman" w:eastAsia="Times New Roman" w:hAnsi="Times New Roman" w:cs="Times New Roman"/>
                <w:iCs/>
                <w:sz w:val="24"/>
                <w:szCs w:val="24"/>
                <w:lang w:eastAsia="lv-LV"/>
              </w:rPr>
              <w:t>7</w:t>
            </w:r>
            <w:r w:rsidRPr="002C30C1">
              <w:rPr>
                <w:rFonts w:ascii="Times New Roman" w:eastAsia="Times New Roman" w:hAnsi="Times New Roman" w:cs="Times New Roman"/>
                <w:iCs/>
                <w:sz w:val="24"/>
                <w:szCs w:val="24"/>
                <w:lang w:eastAsia="lv-LV"/>
              </w:rPr>
              <w:t xml:space="preserve">.augusta sēdes (protokols Nr.37 73.§) </w:t>
            </w:r>
            <w:r w:rsidR="0039482D" w:rsidRPr="002C30C1">
              <w:rPr>
                <w:rFonts w:ascii="Times New Roman" w:eastAsia="Times New Roman" w:hAnsi="Times New Roman" w:cs="Times New Roman"/>
                <w:iCs/>
                <w:sz w:val="24"/>
                <w:szCs w:val="24"/>
                <w:lang w:eastAsia="lv-LV"/>
              </w:rPr>
              <w:t>protokollēmuma 2.</w:t>
            </w:r>
            <w:r w:rsidRPr="002C30C1">
              <w:rPr>
                <w:rFonts w:ascii="Times New Roman" w:eastAsia="Times New Roman" w:hAnsi="Times New Roman" w:cs="Times New Roman"/>
                <w:iCs/>
                <w:sz w:val="24"/>
                <w:szCs w:val="24"/>
                <w:lang w:eastAsia="lv-LV"/>
              </w:rPr>
              <w:t xml:space="preserve">punktam </w:t>
            </w:r>
            <w:r w:rsidR="00232449" w:rsidRPr="002C30C1">
              <w:rPr>
                <w:rFonts w:ascii="Times New Roman" w:eastAsia="Times New Roman" w:hAnsi="Times New Roman" w:cs="Times New Roman"/>
                <w:iCs/>
                <w:sz w:val="24"/>
                <w:szCs w:val="24"/>
                <w:lang w:eastAsia="lv-LV"/>
              </w:rPr>
              <w:t>BVKB</w:t>
            </w:r>
            <w:r w:rsidRPr="002C30C1">
              <w:rPr>
                <w:rFonts w:ascii="Times New Roman" w:eastAsia="Times New Roman" w:hAnsi="Times New Roman" w:cs="Times New Roman"/>
                <w:iCs/>
                <w:sz w:val="24"/>
                <w:szCs w:val="24"/>
                <w:lang w:eastAsia="lv-LV"/>
              </w:rPr>
              <w:t xml:space="preserve"> noteikts par VEDLUDB pārzini un turētāju, </w:t>
            </w:r>
            <w:r w:rsidR="00BD2BEF" w:rsidRPr="002C30C1">
              <w:rPr>
                <w:rFonts w:ascii="Times New Roman" w:eastAsia="Times New Roman" w:hAnsi="Times New Roman" w:cs="Times New Roman"/>
                <w:iCs/>
                <w:sz w:val="24"/>
                <w:szCs w:val="24"/>
                <w:lang w:eastAsia="lv-LV"/>
              </w:rPr>
              <w:t>ir nepieciešams precizēt</w:t>
            </w:r>
            <w:r w:rsidR="00E56965"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likum</w:t>
            </w:r>
            <w:r w:rsidR="00E56965" w:rsidRPr="002C30C1">
              <w:rPr>
                <w:rFonts w:ascii="Times New Roman" w:eastAsia="Times New Roman" w:hAnsi="Times New Roman" w:cs="Times New Roman"/>
                <w:iCs/>
                <w:sz w:val="24"/>
                <w:szCs w:val="24"/>
                <w:lang w:eastAsia="lv-LV"/>
              </w:rPr>
              <w:t>ā</w:t>
            </w:r>
            <w:r w:rsidRPr="002C30C1">
              <w:rPr>
                <w:rFonts w:ascii="Times New Roman" w:eastAsia="Times New Roman" w:hAnsi="Times New Roman" w:cs="Times New Roman"/>
                <w:iCs/>
                <w:sz w:val="24"/>
                <w:szCs w:val="24"/>
                <w:lang w:eastAsia="lv-LV"/>
              </w:rPr>
              <w:t xml:space="preserve"> “Par nodokļiem un nodevām”</w:t>
            </w:r>
            <w:r w:rsidR="00E56965" w:rsidRPr="002C30C1">
              <w:rPr>
                <w:rFonts w:ascii="Times New Roman" w:eastAsia="Times New Roman" w:hAnsi="Times New Roman" w:cs="Times New Roman"/>
                <w:iCs/>
                <w:sz w:val="24"/>
                <w:szCs w:val="24"/>
                <w:lang w:eastAsia="lv-LV"/>
              </w:rPr>
              <w:t xml:space="preserve"> </w:t>
            </w:r>
            <w:r w:rsidR="00BD2BEF" w:rsidRPr="002C30C1">
              <w:rPr>
                <w:rFonts w:ascii="Times New Roman" w:eastAsia="Times New Roman" w:hAnsi="Times New Roman" w:cs="Times New Roman"/>
                <w:iCs/>
                <w:sz w:val="24"/>
                <w:szCs w:val="24"/>
                <w:lang w:eastAsia="lv-LV"/>
              </w:rPr>
              <w:t>noteikto regulējumu attiecībā uz VEDLUDB izveidi un uzturēšanu</w:t>
            </w:r>
            <w:r w:rsidR="00091A29" w:rsidRPr="002C30C1">
              <w:rPr>
                <w:rFonts w:ascii="Times New Roman" w:eastAsia="Times New Roman" w:hAnsi="Times New Roman" w:cs="Times New Roman"/>
                <w:iCs/>
                <w:sz w:val="24"/>
                <w:szCs w:val="24"/>
                <w:lang w:eastAsia="lv-LV"/>
              </w:rPr>
              <w:t>. Līdz ar to ar projekts paredz:</w:t>
            </w:r>
          </w:p>
          <w:p w14:paraId="3D7EF72A" w14:textId="77777777" w:rsidR="00091A29" w:rsidRPr="002C30C1" w:rsidRDefault="00091A29"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izslēgt likumā “Par nodokļiem un nodevām” normas</w:t>
            </w:r>
            <w:r w:rsidR="00593D66" w:rsidRPr="002C30C1">
              <w:rPr>
                <w:rFonts w:ascii="Times New Roman" w:eastAsia="Times New Roman" w:hAnsi="Times New Roman" w:cs="Times New Roman"/>
                <w:iCs/>
                <w:sz w:val="24"/>
                <w:szCs w:val="24"/>
                <w:lang w:eastAsia="lv-LV"/>
              </w:rPr>
              <w:t>, kas nosaka, ka VEDLUD izveide un uzturēšana var tikt deleģēta privātpersonai</w:t>
            </w:r>
            <w:r w:rsidRPr="002C30C1">
              <w:rPr>
                <w:rFonts w:ascii="Times New Roman" w:eastAsia="Times New Roman" w:hAnsi="Times New Roman" w:cs="Times New Roman"/>
                <w:iCs/>
                <w:sz w:val="24"/>
                <w:szCs w:val="24"/>
                <w:lang w:eastAsia="lv-LV"/>
              </w:rPr>
              <w:t>;</w:t>
            </w:r>
          </w:p>
          <w:p w14:paraId="71B2BDF1" w14:textId="4D8A486D" w:rsidR="00091A29" w:rsidRPr="002C30C1" w:rsidRDefault="00091A29"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izslēgt</w:t>
            </w:r>
            <w:r w:rsidR="00593D66" w:rsidRPr="002C30C1">
              <w:rPr>
                <w:rFonts w:ascii="Times New Roman" w:eastAsia="Times New Roman" w:hAnsi="Times New Roman" w:cs="Times New Roman"/>
                <w:iCs/>
                <w:sz w:val="24"/>
                <w:szCs w:val="24"/>
                <w:lang w:eastAsia="lv-LV"/>
              </w:rPr>
              <w:t xml:space="preserve"> </w:t>
            </w:r>
            <w:r w:rsidR="00822A9D" w:rsidRPr="002C30C1">
              <w:rPr>
                <w:rFonts w:ascii="Times New Roman" w:eastAsia="Times New Roman" w:hAnsi="Times New Roman" w:cs="Times New Roman"/>
                <w:iCs/>
                <w:sz w:val="24"/>
                <w:szCs w:val="24"/>
                <w:lang w:eastAsia="lv-LV"/>
              </w:rPr>
              <w:t>deleģējum</w:t>
            </w:r>
            <w:r w:rsidR="00E56965" w:rsidRPr="002C30C1">
              <w:rPr>
                <w:rFonts w:ascii="Times New Roman" w:eastAsia="Times New Roman" w:hAnsi="Times New Roman" w:cs="Times New Roman"/>
                <w:iCs/>
                <w:sz w:val="24"/>
                <w:szCs w:val="24"/>
                <w:lang w:eastAsia="lv-LV"/>
              </w:rPr>
              <w:t>u</w:t>
            </w:r>
            <w:r w:rsidR="00593D66" w:rsidRPr="002C30C1">
              <w:rPr>
                <w:rFonts w:ascii="Times New Roman" w:eastAsia="Times New Roman" w:hAnsi="Times New Roman" w:cs="Times New Roman"/>
                <w:iCs/>
                <w:sz w:val="24"/>
                <w:szCs w:val="24"/>
                <w:lang w:eastAsia="lv-LV"/>
              </w:rPr>
              <w:t xml:space="preserve"> Ministru kabinetam noteikt kārtību un apmēru, kādā veicama maksa par </w:t>
            </w:r>
            <w:r w:rsidR="00822A9D" w:rsidRPr="002C30C1">
              <w:rPr>
                <w:rFonts w:ascii="Times New Roman" w:eastAsia="Times New Roman" w:hAnsi="Times New Roman" w:cs="Times New Roman"/>
                <w:iCs/>
                <w:sz w:val="24"/>
                <w:szCs w:val="24"/>
                <w:lang w:eastAsia="lv-LV"/>
              </w:rPr>
              <w:t>VEDLUDB</w:t>
            </w:r>
            <w:r w:rsidR="00593D66" w:rsidRPr="002C30C1">
              <w:rPr>
                <w:rFonts w:ascii="Times New Roman" w:eastAsia="Times New Roman" w:hAnsi="Times New Roman" w:cs="Times New Roman"/>
                <w:iCs/>
                <w:sz w:val="24"/>
                <w:szCs w:val="24"/>
                <w:lang w:eastAsia="lv-LV"/>
              </w:rPr>
              <w:t xml:space="preserve"> izmantošanu, un atbrīvojumus no tās, kā arī saņemto līdzekļu izmantošanas kārtību</w:t>
            </w:r>
            <w:r w:rsidRPr="002C30C1">
              <w:rPr>
                <w:rFonts w:ascii="Times New Roman" w:eastAsia="Times New Roman" w:hAnsi="Times New Roman" w:cs="Times New Roman"/>
                <w:iCs/>
                <w:sz w:val="24"/>
                <w:szCs w:val="24"/>
                <w:lang w:eastAsia="lv-LV"/>
              </w:rPr>
              <w:t>;</w:t>
            </w:r>
          </w:p>
          <w:p w14:paraId="44DB7B47" w14:textId="53DF170E" w:rsidR="00091A29" w:rsidRPr="002C30C1" w:rsidRDefault="00091A29"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 </w:t>
            </w:r>
            <w:r w:rsidR="00DB6CB9" w:rsidRPr="002C30C1">
              <w:rPr>
                <w:rFonts w:ascii="Times New Roman" w:eastAsia="Times New Roman" w:hAnsi="Times New Roman" w:cs="Times New Roman"/>
                <w:iCs/>
                <w:sz w:val="24"/>
                <w:szCs w:val="24"/>
                <w:lang w:eastAsia="lv-LV"/>
              </w:rPr>
              <w:t>izslēgt</w:t>
            </w:r>
            <w:r w:rsidRPr="002C30C1">
              <w:rPr>
                <w:rFonts w:ascii="Times New Roman" w:eastAsia="Times New Roman" w:hAnsi="Times New Roman" w:cs="Times New Roman"/>
                <w:iCs/>
                <w:sz w:val="24"/>
                <w:szCs w:val="24"/>
                <w:lang w:eastAsia="lv-LV"/>
              </w:rPr>
              <w:t xml:space="preserve"> deleģējum</w:t>
            </w:r>
            <w:r w:rsidR="00A71CC6" w:rsidRPr="002C30C1">
              <w:rPr>
                <w:rFonts w:ascii="Times New Roman" w:eastAsia="Times New Roman" w:hAnsi="Times New Roman" w:cs="Times New Roman"/>
                <w:iCs/>
                <w:sz w:val="24"/>
                <w:szCs w:val="24"/>
                <w:lang w:eastAsia="lv-LV"/>
              </w:rPr>
              <w:t>u</w:t>
            </w:r>
            <w:r w:rsidRPr="002C30C1">
              <w:rPr>
                <w:rFonts w:ascii="Times New Roman" w:eastAsia="Times New Roman" w:hAnsi="Times New Roman" w:cs="Times New Roman"/>
                <w:iCs/>
                <w:sz w:val="24"/>
                <w:szCs w:val="24"/>
                <w:lang w:eastAsia="lv-LV"/>
              </w:rPr>
              <w:t xml:space="preserve"> Ministru kabinetam noteikt VEDLUDB</w:t>
            </w:r>
            <w:r w:rsidR="001E2F27" w:rsidRPr="002C30C1">
              <w:rPr>
                <w:rFonts w:ascii="Times New Roman" w:eastAsia="Times New Roman" w:hAnsi="Times New Roman" w:cs="Times New Roman"/>
                <w:iCs/>
                <w:sz w:val="24"/>
                <w:szCs w:val="24"/>
                <w:lang w:eastAsia="lv-LV"/>
              </w:rPr>
              <w:t xml:space="preserve"> tehniskās prasības</w:t>
            </w:r>
            <w:r w:rsidR="000F27D4" w:rsidRPr="002C30C1">
              <w:rPr>
                <w:rFonts w:ascii="Times New Roman" w:eastAsia="Times New Roman" w:hAnsi="Times New Roman" w:cs="Times New Roman"/>
                <w:iCs/>
                <w:sz w:val="24"/>
                <w:szCs w:val="24"/>
                <w:lang w:eastAsia="lv-LV"/>
              </w:rPr>
              <w:t>;</w:t>
            </w:r>
          </w:p>
          <w:p w14:paraId="12CFD454" w14:textId="7160B2D8" w:rsidR="00593D66" w:rsidRPr="002C30C1" w:rsidRDefault="00091A29"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pagarināt termiņu</w:t>
            </w:r>
            <w:r w:rsidR="00DB6CB9"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ar kuru tiks uzsākta datu nodošana uz VEDLUDB, proti, ar 2019.gada 1.jūliju</w:t>
            </w:r>
            <w:r w:rsidR="00593D66" w:rsidRPr="002C30C1">
              <w:rPr>
                <w:rFonts w:ascii="Times New Roman" w:eastAsia="Times New Roman" w:hAnsi="Times New Roman" w:cs="Times New Roman"/>
                <w:iCs/>
                <w:sz w:val="24"/>
                <w:szCs w:val="24"/>
                <w:lang w:eastAsia="lv-LV"/>
              </w:rPr>
              <w:t>.</w:t>
            </w:r>
            <w:r w:rsidR="002373C0"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Minētais termiņa pagarinājums ir nepieciešams, lai jaun</w:t>
            </w:r>
            <w:r w:rsidR="00224B17" w:rsidRPr="002C30C1">
              <w:rPr>
                <w:rFonts w:ascii="Times New Roman" w:eastAsia="Times New Roman" w:hAnsi="Times New Roman" w:cs="Times New Roman"/>
                <w:iCs/>
                <w:sz w:val="24"/>
                <w:szCs w:val="24"/>
                <w:lang w:eastAsia="lv-LV"/>
              </w:rPr>
              <w:t>ai</w:t>
            </w:r>
            <w:r w:rsidRPr="002C30C1">
              <w:rPr>
                <w:rFonts w:ascii="Times New Roman" w:eastAsia="Times New Roman" w:hAnsi="Times New Roman" w:cs="Times New Roman"/>
                <w:iCs/>
                <w:sz w:val="24"/>
                <w:szCs w:val="24"/>
                <w:lang w:eastAsia="lv-LV"/>
              </w:rPr>
              <w:t>s VEDLUDB pārzinis un turētājs varētu iestrādāt jaunu moduli esošajā sistēmā (B</w:t>
            </w:r>
            <w:r w:rsidR="00DE0FAF" w:rsidRPr="002C30C1">
              <w:rPr>
                <w:rFonts w:ascii="Times New Roman" w:eastAsia="Times New Roman" w:hAnsi="Times New Roman" w:cs="Times New Roman"/>
                <w:iCs/>
                <w:sz w:val="24"/>
                <w:szCs w:val="24"/>
                <w:lang w:eastAsia="lv-LV"/>
              </w:rPr>
              <w:t>ūvniecības informācijas sistēmā</w:t>
            </w:r>
            <w:r w:rsidRPr="002C30C1">
              <w:rPr>
                <w:rFonts w:ascii="Times New Roman" w:eastAsia="Times New Roman" w:hAnsi="Times New Roman" w:cs="Times New Roman"/>
                <w:iCs/>
                <w:sz w:val="24"/>
                <w:szCs w:val="24"/>
                <w:lang w:eastAsia="lv-LV"/>
              </w:rPr>
              <w:t>)</w:t>
            </w:r>
            <w:r w:rsidR="000F27D4" w:rsidRPr="002C30C1">
              <w:rPr>
                <w:rFonts w:ascii="Times New Roman" w:eastAsia="Times New Roman" w:hAnsi="Times New Roman" w:cs="Times New Roman"/>
                <w:iCs/>
                <w:sz w:val="24"/>
                <w:szCs w:val="24"/>
                <w:lang w:eastAsia="lv-LV"/>
              </w:rPr>
              <w:t xml:space="preserve"> un uzsākt tā darbību</w:t>
            </w:r>
            <w:r w:rsidRPr="002C30C1">
              <w:rPr>
                <w:rFonts w:ascii="Times New Roman" w:eastAsia="Times New Roman" w:hAnsi="Times New Roman" w:cs="Times New Roman"/>
                <w:iCs/>
                <w:sz w:val="24"/>
                <w:szCs w:val="24"/>
                <w:lang w:eastAsia="lv-LV"/>
              </w:rPr>
              <w:t>.</w:t>
            </w:r>
            <w:r w:rsidRPr="002C30C1" w:rsidDel="009252E5">
              <w:rPr>
                <w:rFonts w:ascii="Times New Roman" w:eastAsia="Times New Roman" w:hAnsi="Times New Roman" w:cs="Times New Roman"/>
                <w:iCs/>
                <w:sz w:val="24"/>
                <w:szCs w:val="24"/>
                <w:lang w:eastAsia="lv-LV"/>
              </w:rPr>
              <w:t xml:space="preserve"> </w:t>
            </w:r>
          </w:p>
          <w:p w14:paraId="176EDF4A" w14:textId="77777777" w:rsidR="00AF70A7" w:rsidRPr="002C30C1" w:rsidRDefault="00AF70A7" w:rsidP="002712A1">
            <w:pPr>
              <w:spacing w:after="0" w:line="240" w:lineRule="auto"/>
              <w:jc w:val="both"/>
              <w:rPr>
                <w:rFonts w:ascii="Times New Roman" w:eastAsia="Times New Roman" w:hAnsi="Times New Roman" w:cs="Times New Roman"/>
                <w:b/>
                <w:iCs/>
                <w:sz w:val="24"/>
                <w:szCs w:val="24"/>
                <w:lang w:eastAsia="lv-LV"/>
              </w:rPr>
            </w:pPr>
          </w:p>
          <w:p w14:paraId="164B6B0B" w14:textId="38540833" w:rsidR="00593D66" w:rsidRPr="002C30C1" w:rsidRDefault="00593D66"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Dati</w:t>
            </w:r>
            <w:r w:rsidR="000F27D4" w:rsidRPr="002C30C1">
              <w:rPr>
                <w:rFonts w:ascii="Times New Roman" w:eastAsia="Times New Roman" w:hAnsi="Times New Roman" w:cs="Times New Roman"/>
                <w:b/>
                <w:iCs/>
                <w:sz w:val="24"/>
                <w:szCs w:val="24"/>
                <w:lang w:eastAsia="lv-LV"/>
              </w:rPr>
              <w:t>, kas tiks nodoti</w:t>
            </w:r>
            <w:r w:rsidRPr="002C30C1">
              <w:rPr>
                <w:rFonts w:ascii="Times New Roman" w:eastAsia="Times New Roman" w:hAnsi="Times New Roman" w:cs="Times New Roman"/>
                <w:b/>
                <w:iCs/>
                <w:sz w:val="24"/>
                <w:szCs w:val="24"/>
                <w:lang w:eastAsia="lv-LV"/>
              </w:rPr>
              <w:t xml:space="preserve"> Centrālajai statistikas pārvaldei </w:t>
            </w:r>
          </w:p>
          <w:p w14:paraId="66562FDA" w14:textId="77777777" w:rsidR="00593D66" w:rsidRPr="002C30C1" w:rsidRDefault="00593D6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Saskaņā ar likuma “Par nodokļiem un nodevām” 112.panta trešo daļu VEDLUD dati, kas nesatur fizisko </w:t>
            </w:r>
            <w:r w:rsidRPr="002C30C1">
              <w:rPr>
                <w:rFonts w:ascii="Times New Roman" w:eastAsia="Times New Roman" w:hAnsi="Times New Roman" w:cs="Times New Roman"/>
                <w:iCs/>
                <w:sz w:val="24"/>
                <w:szCs w:val="24"/>
                <w:lang w:eastAsia="lv-LV"/>
              </w:rPr>
              <w:lastRenderedPageBreak/>
              <w:t>personu identificējošu informāciju, var tikt izmantoti būvniecības politikas veidošanai un būvniecības nozares vispārīgās pārraudzības īstenošanai, kā arī oficiālās statistikas nodrošināšanai.</w:t>
            </w:r>
          </w:p>
          <w:p w14:paraId="1376BA81" w14:textId="37FD9781" w:rsidR="00822A9D" w:rsidRPr="002C30C1" w:rsidRDefault="00593D6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Lai </w:t>
            </w:r>
            <w:r w:rsidR="000F27D4" w:rsidRPr="002C30C1">
              <w:rPr>
                <w:rFonts w:ascii="Times New Roman" w:eastAsia="Times New Roman" w:hAnsi="Times New Roman" w:cs="Times New Roman"/>
                <w:iCs/>
                <w:sz w:val="24"/>
                <w:szCs w:val="24"/>
                <w:lang w:eastAsia="lv-LV"/>
              </w:rPr>
              <w:t xml:space="preserve">Centrālā statistikas pārvalde (turpmāk – CSP) </w:t>
            </w:r>
            <w:r w:rsidRPr="002C30C1">
              <w:rPr>
                <w:rFonts w:ascii="Times New Roman" w:eastAsia="Times New Roman" w:hAnsi="Times New Roman" w:cs="Times New Roman"/>
                <w:iCs/>
                <w:sz w:val="24"/>
                <w:szCs w:val="24"/>
                <w:lang w:eastAsia="lv-LV"/>
              </w:rPr>
              <w:t>varētu salīdzināt VEDLUDB datus ar no citām valsts informācijas sistēmām saņemtajiem datiem, piem</w:t>
            </w:r>
            <w:r w:rsidR="00822A9D" w:rsidRPr="002C30C1">
              <w:rPr>
                <w:rFonts w:ascii="Times New Roman" w:eastAsia="Times New Roman" w:hAnsi="Times New Roman" w:cs="Times New Roman"/>
                <w:iCs/>
                <w:sz w:val="24"/>
                <w:szCs w:val="24"/>
                <w:lang w:eastAsia="lv-LV"/>
              </w:rPr>
              <w:t>ēram,</w:t>
            </w:r>
            <w:r w:rsidRPr="002C30C1">
              <w:rPr>
                <w:rFonts w:ascii="Times New Roman" w:eastAsia="Times New Roman" w:hAnsi="Times New Roman" w:cs="Times New Roman"/>
                <w:iCs/>
                <w:sz w:val="24"/>
                <w:szCs w:val="24"/>
                <w:lang w:eastAsia="lv-LV"/>
              </w:rPr>
              <w:t xml:space="preserve"> no V</w:t>
            </w:r>
            <w:r w:rsidR="00110166" w:rsidRPr="002C30C1">
              <w:rPr>
                <w:rFonts w:ascii="Times New Roman" w:eastAsia="Times New Roman" w:hAnsi="Times New Roman" w:cs="Times New Roman"/>
                <w:iCs/>
                <w:sz w:val="24"/>
                <w:szCs w:val="24"/>
                <w:lang w:eastAsia="lv-LV"/>
              </w:rPr>
              <w:t>alsts ieņēmumu dienesta (turpmāk – VID)</w:t>
            </w:r>
            <w:r w:rsidRPr="002C30C1">
              <w:rPr>
                <w:rFonts w:ascii="Times New Roman" w:eastAsia="Times New Roman" w:hAnsi="Times New Roman" w:cs="Times New Roman"/>
                <w:iCs/>
                <w:sz w:val="24"/>
                <w:szCs w:val="24"/>
                <w:lang w:eastAsia="lv-LV"/>
              </w:rPr>
              <w:t xml:space="preserve">, </w:t>
            </w:r>
            <w:r w:rsidR="00822A9D" w:rsidRPr="002C30C1">
              <w:rPr>
                <w:rFonts w:ascii="Times New Roman" w:eastAsia="Times New Roman" w:hAnsi="Times New Roman" w:cs="Times New Roman"/>
                <w:iCs/>
                <w:sz w:val="24"/>
                <w:szCs w:val="24"/>
                <w:lang w:eastAsia="lv-LV"/>
              </w:rPr>
              <w:t>CSP nepieciešamie VEDLUDB dati statistikas vajadzībām nevar tikt anonimizēti.</w:t>
            </w:r>
          </w:p>
          <w:p w14:paraId="4CDDA773" w14:textId="48AE4297" w:rsidR="00822A9D" w:rsidRPr="002C30C1" w:rsidRDefault="00822A9D"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Vienlaikus informācija par darbinieku nostrādātāj</w:t>
            </w:r>
            <w:r w:rsidR="000B41AE" w:rsidRPr="002C30C1">
              <w:rPr>
                <w:rFonts w:ascii="Times New Roman" w:eastAsia="Times New Roman" w:hAnsi="Times New Roman" w:cs="Times New Roman"/>
                <w:iCs/>
                <w:sz w:val="24"/>
                <w:szCs w:val="24"/>
                <w:lang w:eastAsia="lv-LV"/>
              </w:rPr>
              <w:t>a</w:t>
            </w:r>
            <w:r w:rsidRPr="002C30C1">
              <w:rPr>
                <w:rFonts w:ascii="Times New Roman" w:eastAsia="Times New Roman" w:hAnsi="Times New Roman" w:cs="Times New Roman"/>
                <w:iCs/>
                <w:sz w:val="24"/>
                <w:szCs w:val="24"/>
                <w:lang w:eastAsia="lv-LV"/>
              </w:rPr>
              <w:t>m stundām būvlaukumos CSP ir nepieciešama, lai nodrošinātu Oficiālās statistikas programmas pielikuma 1. tabulas 14. sadaļas “Darba samaksas statistika’’ rādītāju apkopošanu un izplatīšanu. Statistiskie rādītāji par darbinieku nostrādātajām stundām un arī citi rādītāji, kuru aprēķiniem tiek izmantotas nostrādātās stundas, tiek apkopoti, pildot Padomes 1998. gada 19. maija Regulas (EK) Nr.1165/98 par īstermiņa statistiku, Eiropas Parlamenta un Padomes 2003. gada 27. februāra Regulas (EK) Nr.450/2003 par darbaspēka izmaksu indeksu, Padomes 1999. gada 9. marta Regula</w:t>
            </w:r>
            <w:r w:rsidR="00517564"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(EK) Nr.530/1999 par strukturālo statistiku attiecībā uz izpeļņu un darbaspēka izmaksām, kā arī Eiropas Parlamenta un Padomes 2013. gada 21. maija Regula</w:t>
            </w:r>
            <w:r w:rsidR="00517564"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(ES) Nr. 549/2013 par Eiropas nacionālo un reģionālo kontu sistēmu Eiropas Savienībā</w:t>
            </w:r>
            <w:r w:rsidR="00517564" w:rsidRPr="002C30C1">
              <w:rPr>
                <w:rFonts w:ascii="Times New Roman" w:eastAsia="Times New Roman" w:hAnsi="Times New Roman" w:cs="Times New Roman"/>
                <w:iCs/>
                <w:sz w:val="24"/>
                <w:szCs w:val="24"/>
                <w:lang w:eastAsia="lv-LV"/>
              </w:rPr>
              <w:t xml:space="preserve"> prasības</w:t>
            </w:r>
            <w:r w:rsidRPr="002C30C1">
              <w:rPr>
                <w:rFonts w:ascii="Times New Roman" w:eastAsia="Times New Roman" w:hAnsi="Times New Roman" w:cs="Times New Roman"/>
                <w:iCs/>
                <w:sz w:val="24"/>
                <w:szCs w:val="24"/>
                <w:lang w:eastAsia="lv-LV"/>
              </w:rPr>
              <w:t xml:space="preserve">. Administratīvie dati tiek izmantoti arī neatbildētības kļūdu minimizēšanai, respondentu iesniegto datu analīzei un rādītāju kvalitātes novērtēšanai un uzlabošanai, kā arī apsekojumu izlašu kalibrēšanai. Nostrādāto stundu rādītāja kvalitāte būtiski ietekmē ceturkšņa darbaspēka izmaksu indeksa, kas ir viens no galvenajiem Eiropas ekonomikas īstermiņa statistikas rādītājiem, kvalitāti, tāpēc CSP ir svarīgi saņemt visu </w:t>
            </w:r>
            <w:r w:rsidR="00B168EF" w:rsidRPr="002C30C1">
              <w:rPr>
                <w:rFonts w:ascii="Times New Roman" w:eastAsia="Times New Roman" w:hAnsi="Times New Roman" w:cs="Times New Roman"/>
                <w:iCs/>
                <w:sz w:val="24"/>
                <w:szCs w:val="24"/>
                <w:lang w:eastAsia="lv-LV"/>
              </w:rPr>
              <w:t xml:space="preserve">nepieciešamo </w:t>
            </w:r>
            <w:r w:rsidRPr="002C30C1">
              <w:rPr>
                <w:rFonts w:ascii="Times New Roman" w:eastAsia="Times New Roman" w:hAnsi="Times New Roman" w:cs="Times New Roman"/>
                <w:iCs/>
                <w:sz w:val="24"/>
                <w:szCs w:val="24"/>
                <w:lang w:eastAsia="lv-LV"/>
              </w:rPr>
              <w:t>informāciju, kas nodrošinātu nostrādāto stundu rādītāja kvalitātes analīzi un kvalitātes uzlabošanu.</w:t>
            </w:r>
          </w:p>
          <w:p w14:paraId="6E6DD6A5" w14:textId="69A83B45" w:rsidR="00822A9D" w:rsidRPr="002C30C1" w:rsidRDefault="00822A9D"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Tādējādi Projekts paredz grozījumus likumā “Par nodokļiem un nodevām”, nosakot, ka CSP izmanto VEDLUDB datus darba samaksas statistikas analīzei un novērtējumam</w:t>
            </w:r>
            <w:r w:rsidR="00C10C1B" w:rsidRPr="002C30C1">
              <w:rPr>
                <w:rFonts w:ascii="Times New Roman" w:eastAsia="Times New Roman" w:hAnsi="Times New Roman" w:cs="Times New Roman"/>
                <w:iCs/>
                <w:sz w:val="24"/>
                <w:szCs w:val="24"/>
                <w:lang w:eastAsia="lv-LV"/>
              </w:rPr>
              <w:t>.</w:t>
            </w:r>
          </w:p>
          <w:p w14:paraId="75F6ACF1" w14:textId="7D4DD881" w:rsidR="00FB6F13" w:rsidRPr="002C30C1" w:rsidRDefault="00FB6F13" w:rsidP="002712A1">
            <w:pPr>
              <w:spacing w:after="0" w:line="240" w:lineRule="auto"/>
              <w:jc w:val="both"/>
              <w:rPr>
                <w:rFonts w:ascii="Times New Roman" w:eastAsia="Times New Roman" w:hAnsi="Times New Roman" w:cs="Times New Roman"/>
                <w:iCs/>
                <w:sz w:val="24"/>
                <w:szCs w:val="24"/>
                <w:lang w:eastAsia="lv-LV"/>
              </w:rPr>
            </w:pPr>
          </w:p>
          <w:p w14:paraId="2E77C0C7" w14:textId="5868F06C" w:rsidR="00FB6F13" w:rsidRPr="002C30C1" w:rsidRDefault="00FB6F13"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EDLUS definīcija</w:t>
            </w:r>
          </w:p>
          <w:p w14:paraId="211D7EDA" w14:textId="3202555D" w:rsidR="00FB6F13" w:rsidRPr="002C30C1" w:rsidRDefault="00FB6F1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Ņemot vērā to, ka EDLUS tiek reģistrēts un uzskaitīts ne tikai laiks, kurā persona veic </w:t>
            </w:r>
            <w:r w:rsidR="000F27D4" w:rsidRPr="002C30C1">
              <w:rPr>
                <w:rFonts w:ascii="Times New Roman" w:eastAsia="Times New Roman" w:hAnsi="Times New Roman" w:cs="Times New Roman"/>
                <w:iCs/>
                <w:sz w:val="24"/>
                <w:szCs w:val="24"/>
                <w:lang w:eastAsia="lv-LV"/>
              </w:rPr>
              <w:t xml:space="preserve">darba pienākumus </w:t>
            </w:r>
            <w:r w:rsidRPr="002C30C1">
              <w:rPr>
                <w:rFonts w:ascii="Times New Roman" w:eastAsia="Times New Roman" w:hAnsi="Times New Roman" w:cs="Times New Roman"/>
                <w:iCs/>
                <w:sz w:val="24"/>
                <w:szCs w:val="24"/>
                <w:lang w:eastAsia="lv-LV"/>
              </w:rPr>
              <w:t xml:space="preserve">būvlaukumā, bet </w:t>
            </w:r>
            <w:r w:rsidR="000F27D4" w:rsidRPr="002C30C1">
              <w:rPr>
                <w:rFonts w:ascii="Times New Roman" w:eastAsia="Times New Roman" w:hAnsi="Times New Roman" w:cs="Times New Roman"/>
                <w:iCs/>
                <w:sz w:val="24"/>
                <w:szCs w:val="24"/>
                <w:lang w:eastAsia="lv-LV"/>
              </w:rPr>
              <w:t xml:space="preserve">arī </w:t>
            </w:r>
            <w:r w:rsidRPr="002C30C1">
              <w:rPr>
                <w:rFonts w:ascii="Times New Roman" w:eastAsia="Times New Roman" w:hAnsi="Times New Roman" w:cs="Times New Roman"/>
                <w:iCs/>
                <w:sz w:val="24"/>
                <w:szCs w:val="24"/>
                <w:lang w:eastAsia="lv-LV"/>
              </w:rPr>
              <w:t>laiks</w:t>
            </w:r>
            <w:r w:rsidR="009252E5" w:rsidRPr="002C30C1">
              <w:rPr>
                <w:rFonts w:ascii="Times New Roman" w:eastAsia="Times New Roman" w:hAnsi="Times New Roman" w:cs="Times New Roman"/>
                <w:iCs/>
                <w:sz w:val="24"/>
                <w:szCs w:val="24"/>
                <w:lang w:eastAsia="lv-LV"/>
              </w:rPr>
              <w:t xml:space="preserve"> no brīža</w:t>
            </w:r>
            <w:r w:rsidRPr="002C30C1">
              <w:rPr>
                <w:rFonts w:ascii="Times New Roman" w:eastAsia="Times New Roman" w:hAnsi="Times New Roman" w:cs="Times New Roman"/>
                <w:iCs/>
                <w:sz w:val="24"/>
                <w:szCs w:val="24"/>
                <w:lang w:eastAsia="lv-LV"/>
              </w:rPr>
              <w:t>, kad persona ieradās būvlaukumā</w:t>
            </w:r>
            <w:r w:rsidR="00EA6D5B" w:rsidRPr="002C30C1">
              <w:rPr>
                <w:rFonts w:ascii="Times New Roman" w:eastAsia="Times New Roman" w:hAnsi="Times New Roman" w:cs="Times New Roman"/>
                <w:iCs/>
                <w:sz w:val="24"/>
                <w:szCs w:val="24"/>
                <w:lang w:eastAsia="lv-LV"/>
              </w:rPr>
              <w:t>,</w:t>
            </w:r>
            <w:r w:rsidR="009252E5" w:rsidRPr="002C30C1">
              <w:rPr>
                <w:rFonts w:ascii="Times New Roman" w:eastAsia="Times New Roman" w:hAnsi="Times New Roman" w:cs="Times New Roman"/>
                <w:iCs/>
                <w:sz w:val="24"/>
                <w:szCs w:val="24"/>
                <w:lang w:eastAsia="lv-LV"/>
              </w:rPr>
              <w:t xml:space="preserve"> līdz brīdim, kad persona to atstāja</w:t>
            </w:r>
            <w:r w:rsidRPr="002C30C1">
              <w:rPr>
                <w:rFonts w:ascii="Times New Roman" w:eastAsia="Times New Roman" w:hAnsi="Times New Roman" w:cs="Times New Roman"/>
                <w:iCs/>
                <w:sz w:val="24"/>
                <w:szCs w:val="24"/>
                <w:lang w:eastAsia="lv-LV"/>
              </w:rPr>
              <w:t xml:space="preserve">, </w:t>
            </w:r>
            <w:r w:rsidR="000F27D4" w:rsidRPr="002C30C1">
              <w:rPr>
                <w:rFonts w:ascii="Times New Roman" w:eastAsia="Times New Roman" w:hAnsi="Times New Roman" w:cs="Times New Roman"/>
                <w:iCs/>
                <w:sz w:val="24"/>
                <w:szCs w:val="24"/>
                <w:lang w:eastAsia="lv-LV"/>
              </w:rPr>
              <w:t>t.sk.</w:t>
            </w:r>
            <w:r w:rsidRPr="002C30C1">
              <w:rPr>
                <w:rFonts w:ascii="Times New Roman" w:eastAsia="Times New Roman" w:hAnsi="Times New Roman" w:cs="Times New Roman"/>
                <w:iCs/>
                <w:sz w:val="24"/>
                <w:szCs w:val="24"/>
                <w:lang w:eastAsia="lv-LV"/>
              </w:rPr>
              <w:t xml:space="preserve"> </w:t>
            </w:r>
            <w:r w:rsidR="000F27D4" w:rsidRPr="002C30C1">
              <w:rPr>
                <w:rFonts w:ascii="Times New Roman" w:eastAsia="Times New Roman" w:hAnsi="Times New Roman" w:cs="Times New Roman"/>
                <w:iCs/>
                <w:sz w:val="24"/>
                <w:szCs w:val="24"/>
                <w:lang w:eastAsia="lv-LV"/>
              </w:rPr>
              <w:t xml:space="preserve">Darba likumā noteiktie </w:t>
            </w:r>
            <w:r w:rsidRPr="002C30C1">
              <w:rPr>
                <w:rFonts w:ascii="Times New Roman" w:eastAsia="Times New Roman" w:hAnsi="Times New Roman" w:cs="Times New Roman"/>
                <w:iCs/>
                <w:sz w:val="24"/>
                <w:szCs w:val="24"/>
                <w:lang w:eastAsia="lv-LV"/>
              </w:rPr>
              <w:t xml:space="preserve">pārtraukumi darbā, </w:t>
            </w:r>
            <w:r w:rsidR="000F27D4" w:rsidRPr="002C30C1">
              <w:rPr>
                <w:rFonts w:ascii="Times New Roman" w:eastAsia="Times New Roman" w:hAnsi="Times New Roman" w:cs="Times New Roman"/>
                <w:iCs/>
                <w:sz w:val="24"/>
                <w:szCs w:val="24"/>
                <w:lang w:eastAsia="lv-LV"/>
              </w:rPr>
              <w:t xml:space="preserve">ar </w:t>
            </w:r>
            <w:r w:rsidRPr="002C30C1">
              <w:rPr>
                <w:rFonts w:ascii="Times New Roman" w:eastAsia="Times New Roman" w:hAnsi="Times New Roman" w:cs="Times New Roman"/>
                <w:iCs/>
                <w:sz w:val="24"/>
                <w:szCs w:val="24"/>
                <w:lang w:eastAsia="lv-LV"/>
              </w:rPr>
              <w:t>Projekt</w:t>
            </w:r>
            <w:r w:rsidR="000F27D4" w:rsidRPr="002C30C1">
              <w:rPr>
                <w:rFonts w:ascii="Times New Roman" w:eastAsia="Times New Roman" w:hAnsi="Times New Roman" w:cs="Times New Roman"/>
                <w:iCs/>
                <w:sz w:val="24"/>
                <w:szCs w:val="24"/>
                <w:lang w:eastAsia="lv-LV"/>
              </w:rPr>
              <w:t>u tiks</w:t>
            </w:r>
            <w:r w:rsidRPr="002C30C1">
              <w:rPr>
                <w:rFonts w:ascii="Times New Roman" w:eastAsia="Times New Roman" w:hAnsi="Times New Roman" w:cs="Times New Roman"/>
                <w:iCs/>
                <w:sz w:val="24"/>
                <w:szCs w:val="24"/>
                <w:lang w:eastAsia="lv-LV"/>
              </w:rPr>
              <w:t xml:space="preserve"> precizēt</w:t>
            </w:r>
            <w:r w:rsidR="000F27D4" w:rsidRPr="002C30C1">
              <w:rPr>
                <w:rFonts w:ascii="Times New Roman" w:eastAsia="Times New Roman" w:hAnsi="Times New Roman" w:cs="Times New Roman"/>
                <w:iCs/>
                <w:sz w:val="24"/>
                <w:szCs w:val="24"/>
                <w:lang w:eastAsia="lv-LV"/>
              </w:rPr>
              <w:t>a</w:t>
            </w:r>
            <w:r w:rsidRPr="002C30C1">
              <w:rPr>
                <w:rFonts w:ascii="Times New Roman" w:eastAsia="Times New Roman" w:hAnsi="Times New Roman" w:cs="Times New Roman"/>
                <w:iCs/>
                <w:sz w:val="24"/>
                <w:szCs w:val="24"/>
                <w:lang w:eastAsia="lv-LV"/>
              </w:rPr>
              <w:t xml:space="preserve"> likumā noteikt</w:t>
            </w:r>
            <w:r w:rsidR="000F27D4" w:rsidRPr="002C30C1">
              <w:rPr>
                <w:rFonts w:ascii="Times New Roman" w:eastAsia="Times New Roman" w:hAnsi="Times New Roman" w:cs="Times New Roman"/>
                <w:iCs/>
                <w:sz w:val="24"/>
                <w:szCs w:val="24"/>
                <w:lang w:eastAsia="lv-LV"/>
              </w:rPr>
              <w:t>ā</w:t>
            </w:r>
            <w:r w:rsidRPr="002C30C1">
              <w:rPr>
                <w:rFonts w:ascii="Times New Roman" w:eastAsia="Times New Roman" w:hAnsi="Times New Roman" w:cs="Times New Roman"/>
                <w:iCs/>
                <w:sz w:val="24"/>
                <w:szCs w:val="24"/>
                <w:lang w:eastAsia="lv-LV"/>
              </w:rPr>
              <w:t xml:space="preserve"> EDLUS definīcij</w:t>
            </w:r>
            <w:r w:rsidR="000F27D4" w:rsidRPr="002C30C1">
              <w:rPr>
                <w:rFonts w:ascii="Times New Roman" w:eastAsia="Times New Roman" w:hAnsi="Times New Roman" w:cs="Times New Roman"/>
                <w:iCs/>
                <w:sz w:val="24"/>
                <w:szCs w:val="24"/>
                <w:lang w:eastAsia="lv-LV"/>
              </w:rPr>
              <w:t>a</w:t>
            </w:r>
            <w:r w:rsidRPr="002C30C1">
              <w:rPr>
                <w:rFonts w:ascii="Times New Roman" w:eastAsia="Times New Roman" w:hAnsi="Times New Roman" w:cs="Times New Roman"/>
                <w:iCs/>
                <w:sz w:val="24"/>
                <w:szCs w:val="24"/>
                <w:lang w:eastAsia="lv-LV"/>
              </w:rPr>
              <w:t xml:space="preserve">, </w:t>
            </w:r>
            <w:r w:rsidR="000F27D4" w:rsidRPr="002C30C1">
              <w:rPr>
                <w:rFonts w:ascii="Times New Roman" w:eastAsia="Times New Roman" w:hAnsi="Times New Roman" w:cs="Times New Roman"/>
                <w:iCs/>
                <w:sz w:val="24"/>
                <w:szCs w:val="24"/>
                <w:lang w:eastAsia="lv-LV"/>
              </w:rPr>
              <w:t xml:space="preserve">kā arī </w:t>
            </w:r>
            <w:r w:rsidR="000F27D4" w:rsidRPr="002C30C1">
              <w:rPr>
                <w:rFonts w:ascii="Times New Roman" w:eastAsia="Times New Roman" w:hAnsi="Times New Roman" w:cs="Times New Roman"/>
                <w:iCs/>
                <w:sz w:val="24"/>
                <w:szCs w:val="24"/>
                <w:lang w:eastAsia="lv-LV"/>
              </w:rPr>
              <w:lastRenderedPageBreak/>
              <w:t>paredzēts, ka EDLUS tiek uzskaitīti dati par</w:t>
            </w:r>
            <w:r w:rsidRPr="002C30C1">
              <w:rPr>
                <w:rFonts w:ascii="Times New Roman" w:eastAsia="Times New Roman" w:hAnsi="Times New Roman" w:cs="Times New Roman"/>
                <w:iCs/>
                <w:sz w:val="24"/>
                <w:szCs w:val="24"/>
                <w:lang w:eastAsia="lv-LV"/>
              </w:rPr>
              <w:t xml:space="preserve"> </w:t>
            </w:r>
            <w:r w:rsidR="009252E5" w:rsidRPr="002C30C1">
              <w:rPr>
                <w:rFonts w:ascii="Times New Roman" w:eastAsia="Times New Roman" w:hAnsi="Times New Roman" w:cs="Times New Roman"/>
                <w:iCs/>
                <w:sz w:val="24"/>
                <w:szCs w:val="24"/>
                <w:lang w:eastAsia="lv-LV"/>
              </w:rPr>
              <w:t>summār</w:t>
            </w:r>
            <w:r w:rsidR="000F27D4" w:rsidRPr="002C30C1">
              <w:rPr>
                <w:rFonts w:ascii="Times New Roman" w:eastAsia="Times New Roman" w:hAnsi="Times New Roman" w:cs="Times New Roman"/>
                <w:iCs/>
                <w:sz w:val="24"/>
                <w:szCs w:val="24"/>
                <w:lang w:eastAsia="lv-LV"/>
              </w:rPr>
              <w:t>o</w:t>
            </w:r>
            <w:r w:rsidR="009252E5" w:rsidRPr="002C30C1">
              <w:rPr>
                <w:rFonts w:ascii="Times New Roman" w:eastAsia="Times New Roman" w:hAnsi="Times New Roman" w:cs="Times New Roman"/>
                <w:iCs/>
                <w:sz w:val="24"/>
                <w:szCs w:val="24"/>
                <w:lang w:eastAsia="lv-LV"/>
              </w:rPr>
              <w:t xml:space="preserve"> laik</w:t>
            </w:r>
            <w:r w:rsidR="000F27D4" w:rsidRPr="002C30C1">
              <w:rPr>
                <w:rFonts w:ascii="Times New Roman" w:eastAsia="Times New Roman" w:hAnsi="Times New Roman" w:cs="Times New Roman"/>
                <w:iCs/>
                <w:sz w:val="24"/>
                <w:szCs w:val="24"/>
                <w:lang w:eastAsia="lv-LV"/>
              </w:rPr>
              <w:t>u</w:t>
            </w:r>
            <w:r w:rsidR="009252E5" w:rsidRPr="002C30C1">
              <w:rPr>
                <w:rFonts w:ascii="Times New Roman" w:eastAsia="Times New Roman" w:hAnsi="Times New Roman" w:cs="Times New Roman"/>
                <w:iCs/>
                <w:sz w:val="24"/>
                <w:szCs w:val="24"/>
                <w:lang w:eastAsia="lv-LV"/>
              </w:rPr>
              <w:t xml:space="preserve">. </w:t>
            </w:r>
            <w:r w:rsidR="000F27D4" w:rsidRPr="002C30C1">
              <w:rPr>
                <w:rFonts w:ascii="Times New Roman" w:eastAsia="Times New Roman" w:hAnsi="Times New Roman" w:cs="Times New Roman"/>
                <w:iCs/>
                <w:sz w:val="24"/>
                <w:szCs w:val="24"/>
                <w:lang w:eastAsia="lv-LV"/>
              </w:rPr>
              <w:t>S</w:t>
            </w:r>
            <w:r w:rsidR="009252E5" w:rsidRPr="002C30C1">
              <w:rPr>
                <w:rFonts w:ascii="Times New Roman" w:eastAsia="Times New Roman" w:hAnsi="Times New Roman" w:cs="Times New Roman"/>
                <w:iCs/>
                <w:sz w:val="24"/>
                <w:szCs w:val="24"/>
                <w:lang w:eastAsia="lv-LV"/>
              </w:rPr>
              <w:t xml:space="preserve">ummārais laiks </w:t>
            </w:r>
            <w:r w:rsidR="00EA6D5B" w:rsidRPr="002C30C1">
              <w:rPr>
                <w:rFonts w:ascii="Times New Roman" w:eastAsia="Times New Roman" w:hAnsi="Times New Roman" w:cs="Times New Roman"/>
                <w:iCs/>
                <w:sz w:val="24"/>
                <w:szCs w:val="24"/>
                <w:lang w:eastAsia="lv-LV"/>
              </w:rPr>
              <w:t>ir</w:t>
            </w:r>
            <w:r w:rsidR="009252E5" w:rsidRPr="002C30C1">
              <w:rPr>
                <w:rFonts w:ascii="Times New Roman" w:eastAsia="Times New Roman" w:hAnsi="Times New Roman" w:cs="Times New Roman"/>
                <w:iCs/>
                <w:sz w:val="24"/>
                <w:szCs w:val="24"/>
                <w:lang w:eastAsia="lv-LV"/>
              </w:rPr>
              <w:t xml:space="preserve"> kalendāra mēneša ietvaros sasummē</w:t>
            </w:r>
            <w:r w:rsidR="00F1615E" w:rsidRPr="002C30C1">
              <w:rPr>
                <w:rFonts w:ascii="Times New Roman" w:eastAsia="Times New Roman" w:hAnsi="Times New Roman" w:cs="Times New Roman"/>
                <w:iCs/>
                <w:sz w:val="24"/>
                <w:szCs w:val="24"/>
                <w:lang w:eastAsia="lv-LV"/>
              </w:rPr>
              <w:t>tais</w:t>
            </w:r>
            <w:r w:rsidR="009252E5" w:rsidRPr="002C30C1">
              <w:rPr>
                <w:rFonts w:ascii="Times New Roman" w:eastAsia="Times New Roman" w:hAnsi="Times New Roman" w:cs="Times New Roman"/>
                <w:iCs/>
                <w:sz w:val="24"/>
                <w:szCs w:val="24"/>
                <w:lang w:eastAsia="lv-LV"/>
              </w:rPr>
              <w:t xml:space="preserve"> laik</w:t>
            </w:r>
            <w:r w:rsidR="00F1615E" w:rsidRPr="002C30C1">
              <w:rPr>
                <w:rFonts w:ascii="Times New Roman" w:eastAsia="Times New Roman" w:hAnsi="Times New Roman" w:cs="Times New Roman"/>
                <w:iCs/>
                <w:sz w:val="24"/>
                <w:szCs w:val="24"/>
                <w:lang w:eastAsia="lv-LV"/>
              </w:rPr>
              <w:t>s,</w:t>
            </w:r>
            <w:r w:rsidR="009252E5" w:rsidRPr="002C30C1">
              <w:rPr>
                <w:rFonts w:ascii="Times New Roman" w:eastAsia="Times New Roman" w:hAnsi="Times New Roman" w:cs="Times New Roman"/>
                <w:iCs/>
                <w:sz w:val="24"/>
                <w:szCs w:val="24"/>
                <w:lang w:eastAsia="lv-LV"/>
              </w:rPr>
              <w:t xml:space="preserve"> ko </w:t>
            </w:r>
            <w:r w:rsidR="00F1615E" w:rsidRPr="002C30C1">
              <w:rPr>
                <w:rFonts w:ascii="Times New Roman" w:eastAsia="Times New Roman" w:hAnsi="Times New Roman" w:cs="Times New Roman"/>
                <w:iCs/>
                <w:sz w:val="24"/>
                <w:szCs w:val="24"/>
                <w:lang w:eastAsia="lv-LV"/>
              </w:rPr>
              <w:t xml:space="preserve">būvlaukumā nodarbinātā </w:t>
            </w:r>
            <w:r w:rsidR="009252E5" w:rsidRPr="002C30C1">
              <w:rPr>
                <w:rFonts w:ascii="Times New Roman" w:eastAsia="Times New Roman" w:hAnsi="Times New Roman" w:cs="Times New Roman"/>
                <w:iCs/>
                <w:sz w:val="24"/>
                <w:szCs w:val="24"/>
                <w:lang w:eastAsia="lv-LV"/>
              </w:rPr>
              <w:t xml:space="preserve">persona pavadījusi būvlaukumā, veicot </w:t>
            </w:r>
            <w:r w:rsidR="00E2446D" w:rsidRPr="002C30C1">
              <w:rPr>
                <w:rFonts w:ascii="Times New Roman" w:eastAsia="Times New Roman" w:hAnsi="Times New Roman" w:cs="Times New Roman"/>
                <w:iCs/>
                <w:sz w:val="24"/>
                <w:szCs w:val="24"/>
                <w:lang w:eastAsia="lv-LV"/>
              </w:rPr>
              <w:t>darba pienākumus</w:t>
            </w:r>
            <w:r w:rsidR="009252E5" w:rsidRPr="002C30C1">
              <w:rPr>
                <w:rFonts w:ascii="Times New Roman" w:eastAsia="Times New Roman" w:hAnsi="Times New Roman" w:cs="Times New Roman"/>
                <w:iCs/>
                <w:sz w:val="24"/>
                <w:szCs w:val="24"/>
                <w:lang w:eastAsia="lv-LV"/>
              </w:rPr>
              <w:t xml:space="preserve"> būvdarbu līguma izpildei</w:t>
            </w:r>
            <w:r w:rsidR="00F1615E" w:rsidRPr="002C30C1">
              <w:rPr>
                <w:rFonts w:ascii="Times New Roman" w:eastAsia="Times New Roman" w:hAnsi="Times New Roman" w:cs="Times New Roman"/>
                <w:iCs/>
                <w:sz w:val="24"/>
                <w:szCs w:val="24"/>
                <w:lang w:eastAsia="lv-LV"/>
              </w:rPr>
              <w:t xml:space="preserve">, </w:t>
            </w:r>
            <w:r w:rsidR="00E2446D" w:rsidRPr="002C30C1">
              <w:rPr>
                <w:rFonts w:ascii="Times New Roman" w:eastAsia="Times New Roman" w:hAnsi="Times New Roman" w:cs="Times New Roman"/>
                <w:iCs/>
                <w:sz w:val="24"/>
                <w:szCs w:val="24"/>
                <w:lang w:eastAsia="lv-LV"/>
              </w:rPr>
              <w:t xml:space="preserve">un </w:t>
            </w:r>
            <w:r w:rsidR="00F1615E" w:rsidRPr="002C30C1">
              <w:rPr>
                <w:rFonts w:ascii="Times New Roman" w:eastAsia="Times New Roman" w:hAnsi="Times New Roman" w:cs="Times New Roman"/>
                <w:iCs/>
                <w:sz w:val="24"/>
                <w:szCs w:val="24"/>
                <w:lang w:eastAsia="lv-LV"/>
              </w:rPr>
              <w:t>laiks</w:t>
            </w:r>
            <w:r w:rsidR="009252E5" w:rsidRPr="002C30C1">
              <w:rPr>
                <w:rFonts w:ascii="Times New Roman" w:eastAsia="Times New Roman" w:hAnsi="Times New Roman" w:cs="Times New Roman"/>
                <w:iCs/>
                <w:sz w:val="24"/>
                <w:szCs w:val="24"/>
                <w:lang w:eastAsia="lv-LV"/>
              </w:rPr>
              <w:t>, ko persona pavadījusi bū</w:t>
            </w:r>
            <w:r w:rsidR="00F1615E" w:rsidRPr="002C30C1">
              <w:rPr>
                <w:rFonts w:ascii="Times New Roman" w:eastAsia="Times New Roman" w:hAnsi="Times New Roman" w:cs="Times New Roman"/>
                <w:iCs/>
                <w:sz w:val="24"/>
                <w:szCs w:val="24"/>
                <w:lang w:eastAsia="lv-LV"/>
              </w:rPr>
              <w:t>v</w:t>
            </w:r>
            <w:r w:rsidR="009252E5" w:rsidRPr="002C30C1">
              <w:rPr>
                <w:rFonts w:ascii="Times New Roman" w:eastAsia="Times New Roman" w:hAnsi="Times New Roman" w:cs="Times New Roman"/>
                <w:iCs/>
                <w:sz w:val="24"/>
                <w:szCs w:val="24"/>
                <w:lang w:eastAsia="lv-LV"/>
              </w:rPr>
              <w:t>la</w:t>
            </w:r>
            <w:r w:rsidR="00F1615E" w:rsidRPr="002C30C1">
              <w:rPr>
                <w:rFonts w:ascii="Times New Roman" w:eastAsia="Times New Roman" w:hAnsi="Times New Roman" w:cs="Times New Roman"/>
                <w:iCs/>
                <w:sz w:val="24"/>
                <w:szCs w:val="24"/>
                <w:lang w:eastAsia="lv-LV"/>
              </w:rPr>
              <w:t>ukumā</w:t>
            </w:r>
            <w:r w:rsidR="00E2446D" w:rsidRPr="002C30C1">
              <w:rPr>
                <w:rFonts w:ascii="Times New Roman" w:eastAsia="Times New Roman" w:hAnsi="Times New Roman" w:cs="Times New Roman"/>
                <w:iCs/>
                <w:sz w:val="24"/>
                <w:szCs w:val="24"/>
                <w:lang w:eastAsia="lv-LV"/>
              </w:rPr>
              <w:t>, nepildot darba pienākumus</w:t>
            </w:r>
            <w:r w:rsidR="00F1615E" w:rsidRPr="002C30C1">
              <w:rPr>
                <w:rFonts w:ascii="Times New Roman" w:eastAsia="Times New Roman" w:hAnsi="Times New Roman" w:cs="Times New Roman"/>
                <w:iCs/>
                <w:sz w:val="24"/>
                <w:szCs w:val="24"/>
                <w:lang w:eastAsia="lv-LV"/>
              </w:rPr>
              <w:t>, piemēram,</w:t>
            </w:r>
            <w:r w:rsidR="009252E5" w:rsidRPr="002C30C1">
              <w:rPr>
                <w:rFonts w:ascii="Times New Roman" w:eastAsia="Times New Roman" w:hAnsi="Times New Roman" w:cs="Times New Roman"/>
                <w:iCs/>
                <w:sz w:val="24"/>
                <w:szCs w:val="24"/>
                <w:lang w:eastAsia="lv-LV"/>
              </w:rPr>
              <w:t xml:space="preserve"> </w:t>
            </w:r>
            <w:r w:rsidR="00F1615E" w:rsidRPr="002C30C1">
              <w:rPr>
                <w:rFonts w:ascii="Times New Roman" w:eastAsia="Times New Roman" w:hAnsi="Times New Roman" w:cs="Times New Roman"/>
                <w:iCs/>
                <w:sz w:val="24"/>
                <w:szCs w:val="24"/>
                <w:lang w:eastAsia="lv-LV"/>
              </w:rPr>
              <w:t>sagatavojoties darbam, kā arī pārtraukum</w:t>
            </w:r>
            <w:r w:rsidR="00E2446D" w:rsidRPr="002C30C1">
              <w:rPr>
                <w:rFonts w:ascii="Times New Roman" w:eastAsia="Times New Roman" w:hAnsi="Times New Roman" w:cs="Times New Roman"/>
                <w:iCs/>
                <w:sz w:val="24"/>
                <w:szCs w:val="24"/>
                <w:lang w:eastAsia="lv-LV"/>
              </w:rPr>
              <w:t>i</w:t>
            </w:r>
            <w:r w:rsidR="00F1615E" w:rsidRPr="002C30C1">
              <w:rPr>
                <w:rFonts w:ascii="Times New Roman" w:eastAsia="Times New Roman" w:hAnsi="Times New Roman" w:cs="Times New Roman"/>
                <w:iCs/>
                <w:sz w:val="24"/>
                <w:szCs w:val="24"/>
                <w:lang w:eastAsia="lv-LV"/>
              </w:rPr>
              <w:t xml:space="preserve"> darbā</w:t>
            </w:r>
            <w:r w:rsidR="00E2446D" w:rsidRPr="002C30C1">
              <w:rPr>
                <w:rFonts w:ascii="Times New Roman" w:eastAsia="Times New Roman" w:hAnsi="Times New Roman" w:cs="Times New Roman"/>
                <w:iCs/>
                <w:sz w:val="24"/>
                <w:szCs w:val="24"/>
                <w:lang w:eastAsia="lv-LV"/>
              </w:rPr>
              <w:t>, ja persona nav atstājusi būvlaukumu pārtraukuma laikā</w:t>
            </w:r>
            <w:r w:rsidR="00F1615E" w:rsidRPr="002C30C1">
              <w:rPr>
                <w:rFonts w:ascii="Times New Roman" w:eastAsia="Times New Roman" w:hAnsi="Times New Roman" w:cs="Times New Roman"/>
                <w:iCs/>
                <w:sz w:val="24"/>
                <w:szCs w:val="24"/>
                <w:lang w:eastAsia="lv-LV"/>
              </w:rPr>
              <w:t>.</w:t>
            </w:r>
          </w:p>
          <w:p w14:paraId="45FF4177" w14:textId="2F13CABE" w:rsidR="00FB6F13" w:rsidRPr="002C30C1" w:rsidRDefault="00FB6F13" w:rsidP="002712A1">
            <w:pPr>
              <w:spacing w:after="0" w:line="240" w:lineRule="auto"/>
              <w:jc w:val="both"/>
              <w:rPr>
                <w:rFonts w:ascii="Times New Roman" w:eastAsia="Times New Roman" w:hAnsi="Times New Roman" w:cs="Times New Roman"/>
                <w:b/>
                <w:iCs/>
                <w:sz w:val="24"/>
                <w:szCs w:val="24"/>
                <w:lang w:eastAsia="lv-LV"/>
              </w:rPr>
            </w:pPr>
          </w:p>
          <w:p w14:paraId="0853549A" w14:textId="77777777" w:rsidR="00C37C4C" w:rsidRPr="002C30C1" w:rsidRDefault="00C37C4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Apakšuzņēmēja definīcija</w:t>
            </w:r>
          </w:p>
          <w:p w14:paraId="7FE14234" w14:textId="11269D1E" w:rsidR="00C37C4C" w:rsidRPr="002C30C1" w:rsidRDefault="00C37C4C"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Ņemot vērā to, ka būvlaukumā atsevišķu </w:t>
            </w:r>
            <w:r w:rsidR="005F4C35" w:rsidRPr="002C30C1">
              <w:rPr>
                <w:rFonts w:ascii="Times New Roman" w:eastAsia="Times New Roman" w:hAnsi="Times New Roman" w:cs="Times New Roman"/>
                <w:iCs/>
                <w:sz w:val="24"/>
                <w:szCs w:val="24"/>
                <w:lang w:eastAsia="lv-LV"/>
              </w:rPr>
              <w:t xml:space="preserve">būvniecības </w:t>
            </w:r>
            <w:r w:rsidRPr="002C30C1">
              <w:rPr>
                <w:rFonts w:ascii="Times New Roman" w:eastAsia="Times New Roman" w:hAnsi="Times New Roman" w:cs="Times New Roman"/>
                <w:iCs/>
                <w:sz w:val="24"/>
                <w:szCs w:val="24"/>
                <w:lang w:eastAsia="lv-LV"/>
              </w:rPr>
              <w:t xml:space="preserve">darbu veikšanai </w:t>
            </w:r>
            <w:r w:rsidR="005F4C35" w:rsidRPr="002C30C1">
              <w:rPr>
                <w:rFonts w:ascii="Times New Roman" w:eastAsia="Times New Roman" w:hAnsi="Times New Roman" w:cs="Times New Roman"/>
                <w:iCs/>
                <w:sz w:val="24"/>
                <w:szCs w:val="24"/>
                <w:lang w:eastAsia="lv-LV"/>
              </w:rPr>
              <w:t xml:space="preserve">komersantu </w:t>
            </w:r>
            <w:r w:rsidRPr="002C30C1">
              <w:rPr>
                <w:rFonts w:ascii="Times New Roman" w:eastAsia="Times New Roman" w:hAnsi="Times New Roman" w:cs="Times New Roman"/>
                <w:iCs/>
                <w:sz w:val="24"/>
                <w:szCs w:val="24"/>
                <w:lang w:eastAsia="lv-LV"/>
              </w:rPr>
              <w:t>piesaista ne</w:t>
            </w:r>
            <w:r w:rsidR="005F4C35" w:rsidRPr="002C30C1">
              <w:rPr>
                <w:rFonts w:ascii="Times New Roman" w:eastAsia="Times New Roman" w:hAnsi="Times New Roman" w:cs="Times New Roman"/>
                <w:iCs/>
                <w:sz w:val="24"/>
                <w:szCs w:val="24"/>
                <w:lang w:eastAsia="lv-LV"/>
              </w:rPr>
              <w:t xml:space="preserve"> tikai</w:t>
            </w:r>
            <w:r w:rsidRPr="002C30C1">
              <w:rPr>
                <w:rFonts w:ascii="Times New Roman" w:eastAsia="Times New Roman" w:hAnsi="Times New Roman" w:cs="Times New Roman"/>
                <w:iCs/>
                <w:sz w:val="24"/>
                <w:szCs w:val="24"/>
                <w:lang w:eastAsia="lv-LV"/>
              </w:rPr>
              <w:t xml:space="preserve"> galvenais būvdarbu veicējs, bet </w:t>
            </w:r>
            <w:r w:rsidR="005F4C35" w:rsidRPr="002C30C1">
              <w:rPr>
                <w:rFonts w:ascii="Times New Roman" w:eastAsia="Times New Roman" w:hAnsi="Times New Roman" w:cs="Times New Roman"/>
                <w:iCs/>
                <w:sz w:val="24"/>
                <w:szCs w:val="24"/>
                <w:lang w:eastAsia="lv-LV"/>
              </w:rPr>
              <w:t xml:space="preserve">arī </w:t>
            </w:r>
            <w:r w:rsidRPr="002C30C1">
              <w:rPr>
                <w:rFonts w:ascii="Times New Roman" w:eastAsia="Times New Roman" w:hAnsi="Times New Roman" w:cs="Times New Roman"/>
                <w:iCs/>
                <w:sz w:val="24"/>
                <w:szCs w:val="24"/>
                <w:lang w:eastAsia="lv-LV"/>
              </w:rPr>
              <w:t>būvniecības ierosinātājs, Projektā precizēta apakšuzņēmēja definīcija, nosakot, ka likuma “Par nodokļiem un nodevām” izpratnē par apakšuzņēmēju uzskata arī būvniecības ierosinātāja nolīgto personu</w:t>
            </w:r>
            <w:r w:rsidR="000B41AE" w:rsidRPr="002C30C1">
              <w:rPr>
                <w:rFonts w:ascii="Times New Roman" w:eastAsia="Times New Roman" w:hAnsi="Times New Roman" w:cs="Times New Roman"/>
                <w:iCs/>
                <w:sz w:val="24"/>
                <w:szCs w:val="24"/>
                <w:lang w:eastAsia="lv-LV"/>
              </w:rPr>
              <w:t xml:space="preserve"> vai savukārt tās </w:t>
            </w:r>
            <w:r w:rsidRPr="002C30C1">
              <w:rPr>
                <w:rFonts w:ascii="Times New Roman" w:eastAsia="Times New Roman" w:hAnsi="Times New Roman" w:cs="Times New Roman"/>
                <w:iCs/>
                <w:sz w:val="24"/>
                <w:szCs w:val="24"/>
                <w:lang w:eastAsia="lv-LV"/>
              </w:rPr>
              <w:t>nolīgto personu. Termins būvniecības ierosinātājs tiek lietots</w:t>
            </w:r>
            <w:r w:rsidR="00733000" w:rsidRPr="002C30C1">
              <w:rPr>
                <w:rFonts w:ascii="Times New Roman" w:eastAsia="Times New Roman" w:hAnsi="Times New Roman" w:cs="Times New Roman"/>
                <w:iCs/>
                <w:sz w:val="24"/>
                <w:szCs w:val="24"/>
                <w:lang w:eastAsia="lv-LV"/>
              </w:rPr>
              <w:t xml:space="preserve"> atbilstoši Būvniecības likumā lietotajai terminoloģijai</w:t>
            </w:r>
            <w:r w:rsidRPr="002C30C1">
              <w:rPr>
                <w:rFonts w:ascii="Times New Roman" w:eastAsia="Times New Roman" w:hAnsi="Times New Roman" w:cs="Times New Roman"/>
                <w:iCs/>
                <w:sz w:val="24"/>
                <w:szCs w:val="24"/>
                <w:lang w:eastAsia="lv-LV"/>
              </w:rPr>
              <w:t>,</w:t>
            </w:r>
            <w:r w:rsidR="00733000" w:rsidRPr="002C30C1">
              <w:rPr>
                <w:rFonts w:ascii="Times New Roman" w:eastAsia="Times New Roman" w:hAnsi="Times New Roman" w:cs="Times New Roman"/>
                <w:iCs/>
                <w:sz w:val="24"/>
                <w:szCs w:val="24"/>
                <w:lang w:eastAsia="lv-LV"/>
              </w:rPr>
              <w:t xml:space="preserve"> proti,</w:t>
            </w:r>
            <w:r w:rsidRPr="002C30C1">
              <w:rPr>
                <w:rFonts w:ascii="Times New Roman" w:eastAsia="Times New Roman" w:hAnsi="Times New Roman" w:cs="Times New Roman"/>
                <w:iCs/>
                <w:sz w:val="24"/>
                <w:szCs w:val="24"/>
                <w:lang w:eastAsia="lv-LV"/>
              </w:rPr>
              <w:t xml:space="preserve"> ievērojot būvniecību reglamentējošajos normatīvajos aktos noteikto attiecībā uz to</w:t>
            </w:r>
            <w:r w:rsidR="00733000" w:rsidRPr="002C30C1">
              <w:rPr>
                <w:rFonts w:ascii="Times New Roman" w:eastAsia="Times New Roman" w:hAnsi="Times New Roman" w:cs="Times New Roman"/>
                <w:iCs/>
                <w:sz w:val="24"/>
                <w:szCs w:val="24"/>
                <w:lang w:eastAsia="lv-LV"/>
              </w:rPr>
              <w:t xml:space="preserve"> personu</w:t>
            </w:r>
            <w:r w:rsidRPr="002C30C1">
              <w:rPr>
                <w:rFonts w:ascii="Times New Roman" w:eastAsia="Times New Roman" w:hAnsi="Times New Roman" w:cs="Times New Roman"/>
                <w:iCs/>
                <w:sz w:val="24"/>
                <w:szCs w:val="24"/>
                <w:lang w:eastAsia="lv-LV"/>
              </w:rPr>
              <w:t>, kas var ierosināt būvniecību.</w:t>
            </w:r>
          </w:p>
          <w:p w14:paraId="2555A8CD" w14:textId="77777777" w:rsidR="00C37C4C" w:rsidRPr="002C30C1" w:rsidRDefault="00C37C4C" w:rsidP="002712A1">
            <w:pPr>
              <w:spacing w:after="0" w:line="240" w:lineRule="auto"/>
              <w:jc w:val="both"/>
              <w:rPr>
                <w:rFonts w:ascii="Times New Roman" w:eastAsia="Times New Roman" w:hAnsi="Times New Roman" w:cs="Times New Roman"/>
                <w:b/>
                <w:iCs/>
                <w:sz w:val="24"/>
                <w:szCs w:val="24"/>
                <w:lang w:eastAsia="lv-LV"/>
              </w:rPr>
            </w:pPr>
          </w:p>
          <w:p w14:paraId="01F50ACA" w14:textId="32C4546C" w:rsidR="00593D66" w:rsidRPr="002C30C1" w:rsidRDefault="00B85331"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 xml:space="preserve">EDLUS datu </w:t>
            </w:r>
            <w:r w:rsidR="00AC4EF2" w:rsidRPr="002C30C1">
              <w:rPr>
                <w:rFonts w:ascii="Times New Roman" w:eastAsia="Times New Roman" w:hAnsi="Times New Roman" w:cs="Times New Roman"/>
                <w:b/>
                <w:iCs/>
                <w:sz w:val="24"/>
                <w:szCs w:val="24"/>
                <w:lang w:eastAsia="lv-LV"/>
              </w:rPr>
              <w:t xml:space="preserve">reģistrēšana </w:t>
            </w:r>
            <w:r w:rsidRPr="002C30C1">
              <w:rPr>
                <w:rFonts w:ascii="Times New Roman" w:eastAsia="Times New Roman" w:hAnsi="Times New Roman" w:cs="Times New Roman"/>
                <w:b/>
                <w:iCs/>
                <w:sz w:val="24"/>
                <w:szCs w:val="24"/>
                <w:lang w:eastAsia="lv-LV"/>
              </w:rPr>
              <w:t xml:space="preserve">un rīcība EDLUS darbības pārtraukuma gadījumā </w:t>
            </w:r>
          </w:p>
          <w:p w14:paraId="323588F4" w14:textId="14627F06" w:rsidR="00C968C5" w:rsidRPr="002C30C1" w:rsidRDefault="00C968C5"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Lai novērstu likumā “Par nodokļiem un nodevām” noteiktā regulējuma atšķirīgu interpretāciju, Projektā tiek precizētas esošās normas, nosakot, ka nedrīkst </w:t>
            </w:r>
            <w:r w:rsidR="00903484" w:rsidRPr="002C30C1">
              <w:rPr>
                <w:rFonts w:ascii="Times New Roman" w:eastAsia="Times New Roman" w:hAnsi="Times New Roman" w:cs="Times New Roman"/>
                <w:iCs/>
                <w:sz w:val="24"/>
                <w:szCs w:val="24"/>
                <w:lang w:eastAsia="lv-LV"/>
              </w:rPr>
              <w:t xml:space="preserve">labot vai </w:t>
            </w:r>
            <w:r w:rsidRPr="002C30C1">
              <w:rPr>
                <w:rFonts w:ascii="Times New Roman" w:eastAsia="Times New Roman" w:hAnsi="Times New Roman" w:cs="Times New Roman"/>
                <w:iCs/>
                <w:sz w:val="24"/>
                <w:szCs w:val="24"/>
                <w:lang w:eastAsia="lv-LV"/>
              </w:rPr>
              <w:t xml:space="preserve">mainīt laiku, kad būvlaukumā nodarbinātā persona ieradusies būvlaukumā un atstājusi to, kā arī </w:t>
            </w:r>
            <w:r w:rsidR="007B43A8" w:rsidRPr="002C30C1">
              <w:rPr>
                <w:rFonts w:ascii="Times New Roman" w:eastAsia="Times New Roman" w:hAnsi="Times New Roman" w:cs="Times New Roman"/>
                <w:iCs/>
                <w:sz w:val="24"/>
                <w:szCs w:val="24"/>
                <w:lang w:eastAsia="lv-LV"/>
              </w:rPr>
              <w:t>summāro</w:t>
            </w:r>
            <w:r w:rsidRPr="002C30C1">
              <w:rPr>
                <w:rFonts w:ascii="Times New Roman" w:eastAsia="Times New Roman" w:hAnsi="Times New Roman" w:cs="Times New Roman"/>
                <w:iCs/>
                <w:sz w:val="24"/>
                <w:szCs w:val="24"/>
                <w:lang w:eastAsia="lv-LV"/>
              </w:rPr>
              <w:t xml:space="preserve"> laik</w:t>
            </w:r>
            <w:r w:rsidR="007B43A8" w:rsidRPr="002C30C1">
              <w:rPr>
                <w:rFonts w:ascii="Times New Roman" w:eastAsia="Times New Roman" w:hAnsi="Times New Roman" w:cs="Times New Roman"/>
                <w:iCs/>
                <w:sz w:val="24"/>
                <w:szCs w:val="24"/>
                <w:lang w:eastAsia="lv-LV"/>
              </w:rPr>
              <w:t>u</w:t>
            </w:r>
            <w:r w:rsidRPr="002C30C1">
              <w:rPr>
                <w:rFonts w:ascii="Times New Roman" w:eastAsia="Times New Roman" w:hAnsi="Times New Roman" w:cs="Times New Roman"/>
                <w:iCs/>
                <w:sz w:val="24"/>
                <w:szCs w:val="24"/>
                <w:lang w:eastAsia="lv-LV"/>
              </w:rPr>
              <w:t xml:space="preserve">. Tāpat nav </w:t>
            </w:r>
            <w:r w:rsidR="00903484" w:rsidRPr="002C30C1">
              <w:rPr>
                <w:rFonts w:ascii="Times New Roman" w:eastAsia="Times New Roman" w:hAnsi="Times New Roman" w:cs="Times New Roman"/>
                <w:iCs/>
                <w:sz w:val="24"/>
                <w:szCs w:val="24"/>
                <w:lang w:eastAsia="lv-LV"/>
              </w:rPr>
              <w:t xml:space="preserve">labojami vai </w:t>
            </w:r>
            <w:r w:rsidRPr="002C30C1">
              <w:rPr>
                <w:rFonts w:ascii="Times New Roman" w:eastAsia="Times New Roman" w:hAnsi="Times New Roman" w:cs="Times New Roman"/>
                <w:iCs/>
                <w:sz w:val="24"/>
                <w:szCs w:val="24"/>
                <w:lang w:eastAsia="lv-LV"/>
              </w:rPr>
              <w:t xml:space="preserve">maināmi EDLUS dati par laiku, kad persona, kas uzturas būvlaukumā un nav nodarbināta būvdarbu veikšanā, ieradusies būvlaukumā, atstājusi to, kā arī nav </w:t>
            </w:r>
            <w:r w:rsidR="00903484" w:rsidRPr="002C30C1">
              <w:rPr>
                <w:rFonts w:ascii="Times New Roman" w:eastAsia="Times New Roman" w:hAnsi="Times New Roman" w:cs="Times New Roman"/>
                <w:iCs/>
                <w:sz w:val="24"/>
                <w:szCs w:val="24"/>
                <w:lang w:eastAsia="lv-LV"/>
              </w:rPr>
              <w:t xml:space="preserve">labojams vai </w:t>
            </w:r>
            <w:r w:rsidRPr="002C30C1">
              <w:rPr>
                <w:rFonts w:ascii="Times New Roman" w:eastAsia="Times New Roman" w:hAnsi="Times New Roman" w:cs="Times New Roman"/>
                <w:iCs/>
                <w:sz w:val="24"/>
                <w:szCs w:val="24"/>
                <w:lang w:eastAsia="lv-LV"/>
              </w:rPr>
              <w:t xml:space="preserve">maināms minētās personas atrašanās laiks būvlaukumā. Nav </w:t>
            </w:r>
            <w:r w:rsidR="00903484" w:rsidRPr="002C30C1">
              <w:rPr>
                <w:rFonts w:ascii="Times New Roman" w:eastAsia="Times New Roman" w:hAnsi="Times New Roman" w:cs="Times New Roman"/>
                <w:iCs/>
                <w:sz w:val="24"/>
                <w:szCs w:val="24"/>
                <w:lang w:eastAsia="lv-LV"/>
              </w:rPr>
              <w:t xml:space="preserve">labojami vai </w:t>
            </w:r>
            <w:r w:rsidR="00BB3140" w:rsidRPr="002C30C1">
              <w:rPr>
                <w:rFonts w:ascii="Times New Roman" w:eastAsia="Times New Roman" w:hAnsi="Times New Roman" w:cs="Times New Roman"/>
                <w:iCs/>
                <w:sz w:val="24"/>
                <w:szCs w:val="24"/>
                <w:lang w:eastAsia="lv-LV"/>
              </w:rPr>
              <w:t>maināmi</w:t>
            </w:r>
            <w:r w:rsidRPr="002C30C1">
              <w:rPr>
                <w:rFonts w:ascii="Times New Roman" w:eastAsia="Times New Roman" w:hAnsi="Times New Roman" w:cs="Times New Roman"/>
                <w:iCs/>
                <w:sz w:val="24"/>
                <w:szCs w:val="24"/>
                <w:lang w:eastAsia="lv-LV"/>
              </w:rPr>
              <w:t xml:space="preserve"> dati par ar būvniecības ierosinātāju noslēgtā līgum</w:t>
            </w:r>
            <w:r w:rsidR="00BB3140" w:rsidRPr="002C30C1">
              <w:rPr>
                <w:rFonts w:ascii="Times New Roman" w:eastAsia="Times New Roman" w:hAnsi="Times New Roman" w:cs="Times New Roman"/>
                <w:iCs/>
                <w:sz w:val="24"/>
                <w:szCs w:val="24"/>
                <w:lang w:eastAsia="lv-LV"/>
              </w:rPr>
              <w:t>a datumu un summu</w:t>
            </w:r>
            <w:r w:rsidRPr="002C30C1">
              <w:rPr>
                <w:rFonts w:ascii="Times New Roman" w:eastAsia="Times New Roman" w:hAnsi="Times New Roman" w:cs="Times New Roman"/>
                <w:iCs/>
                <w:sz w:val="24"/>
                <w:szCs w:val="24"/>
                <w:lang w:eastAsia="lv-LV"/>
              </w:rPr>
              <w:t xml:space="preserve">. Savukārt, ja tiek </w:t>
            </w:r>
            <w:r w:rsidR="00903484" w:rsidRPr="002C30C1">
              <w:rPr>
                <w:rFonts w:ascii="Times New Roman" w:eastAsia="Times New Roman" w:hAnsi="Times New Roman" w:cs="Times New Roman"/>
                <w:iCs/>
                <w:sz w:val="24"/>
                <w:szCs w:val="24"/>
                <w:lang w:eastAsia="lv-LV"/>
              </w:rPr>
              <w:t>koriģēti (</w:t>
            </w:r>
            <w:r w:rsidRPr="002C30C1">
              <w:rPr>
                <w:rFonts w:ascii="Times New Roman" w:eastAsia="Times New Roman" w:hAnsi="Times New Roman" w:cs="Times New Roman"/>
                <w:iCs/>
                <w:sz w:val="24"/>
                <w:szCs w:val="24"/>
                <w:lang w:eastAsia="lv-LV"/>
              </w:rPr>
              <w:t>laboti</w:t>
            </w:r>
            <w:r w:rsidR="00903484"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w:t>
            </w:r>
            <w:r w:rsidR="00903484" w:rsidRPr="002C30C1">
              <w:rPr>
                <w:rFonts w:ascii="Times New Roman" w:eastAsia="Times New Roman" w:hAnsi="Times New Roman" w:cs="Times New Roman"/>
                <w:iCs/>
                <w:sz w:val="24"/>
                <w:szCs w:val="24"/>
                <w:lang w:eastAsia="lv-LV"/>
              </w:rPr>
              <w:t xml:space="preserve">dzēsti,  mainīti vai papildināti) </w:t>
            </w:r>
            <w:r w:rsidRPr="002C30C1">
              <w:rPr>
                <w:rFonts w:ascii="Times New Roman" w:eastAsia="Times New Roman" w:hAnsi="Times New Roman" w:cs="Times New Roman"/>
                <w:iCs/>
                <w:sz w:val="24"/>
                <w:szCs w:val="24"/>
                <w:lang w:eastAsia="lv-LV"/>
              </w:rPr>
              <w:t>citi EDLUS dati, kas nav noteikti kā tādi, kurus labot</w:t>
            </w:r>
            <w:r w:rsidR="00903484" w:rsidRPr="002C30C1">
              <w:rPr>
                <w:rFonts w:ascii="Times New Roman" w:eastAsia="Times New Roman" w:hAnsi="Times New Roman" w:cs="Times New Roman"/>
                <w:iCs/>
                <w:sz w:val="24"/>
                <w:szCs w:val="24"/>
                <w:lang w:eastAsia="lv-LV"/>
              </w:rPr>
              <w:t xml:space="preserve"> vai mainīt</w:t>
            </w:r>
            <w:r w:rsidRPr="002C30C1">
              <w:rPr>
                <w:rFonts w:ascii="Times New Roman" w:eastAsia="Times New Roman" w:hAnsi="Times New Roman" w:cs="Times New Roman"/>
                <w:iCs/>
                <w:sz w:val="24"/>
                <w:szCs w:val="24"/>
                <w:lang w:eastAsia="lv-LV"/>
              </w:rPr>
              <w:t xml:space="preserve"> nedrīkst</w:t>
            </w:r>
            <w:r w:rsidR="00BB3140" w:rsidRPr="002C30C1">
              <w:rPr>
                <w:rFonts w:ascii="Times New Roman" w:eastAsia="Times New Roman" w:hAnsi="Times New Roman" w:cs="Times New Roman"/>
                <w:iCs/>
                <w:sz w:val="24"/>
                <w:szCs w:val="24"/>
                <w:lang w:eastAsia="lv-LV"/>
              </w:rPr>
              <w:t xml:space="preserve"> (t</w:t>
            </w:r>
            <w:r w:rsidR="00BB3140" w:rsidRPr="002C30C1">
              <w:rPr>
                <w:rFonts w:ascii="Times New Roman" w:eastAsia="Times New Roman" w:hAnsi="Times New Roman" w:cs="Times New Roman"/>
                <w:i/>
                <w:iCs/>
                <w:sz w:val="24"/>
                <w:szCs w:val="24"/>
                <w:lang w:eastAsia="lv-LV"/>
              </w:rPr>
              <w:t xml:space="preserve">.i., personas vārds, uzvārds, personas kods (ja personai nav personas koda, — dzimšanas datums, mēnesis un gads vai vīzas vai uzturēšanās atļaujas numurs, kas apliecina, ka ārvalstniekam piešķirtas tiesības uz nodarbinātību), amats, darba devēja nosaukums vai vārds un uzvārds (ja darba devējs ir fiziskā persona), darba devējam piešķirtais Latvijas Republikas Uzņēmumu reģistra vienotais reģistrācijas numurs vai personas kods (ja darba devējs ir fiziskā persona), vai cits identifikācijas numurs (ja darba devējs ir ārvalstī </w:t>
            </w:r>
            <w:r w:rsidR="00BB3140" w:rsidRPr="002C30C1">
              <w:rPr>
                <w:rFonts w:ascii="Times New Roman" w:eastAsia="Times New Roman" w:hAnsi="Times New Roman" w:cs="Times New Roman"/>
                <w:i/>
                <w:iCs/>
                <w:sz w:val="24"/>
                <w:szCs w:val="24"/>
                <w:lang w:eastAsia="lv-LV"/>
              </w:rPr>
              <w:lastRenderedPageBreak/>
              <w:t>reģistrēta juridiskā persona),  būvatļaujas numurs vai nekustamā īpašuma objekta kadastra apzīmējums (ja būvatļauja nav izsniegta)</w:t>
            </w:r>
            <w:r w:rsidR="00BB3140"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tad EDLUS ir jānodrošina</w:t>
            </w:r>
            <w:r w:rsidR="001B5728" w:rsidRPr="002C30C1">
              <w:rPr>
                <w:rFonts w:ascii="Times New Roman" w:eastAsia="Times New Roman" w:hAnsi="Times New Roman" w:cs="Times New Roman"/>
                <w:iCs/>
                <w:sz w:val="24"/>
                <w:szCs w:val="24"/>
                <w:lang w:eastAsia="lv-LV"/>
              </w:rPr>
              <w:t xml:space="preserve"> notikumu</w:t>
            </w:r>
            <w:r w:rsidRPr="002C30C1">
              <w:rPr>
                <w:rFonts w:ascii="Times New Roman" w:eastAsia="Times New Roman" w:hAnsi="Times New Roman" w:cs="Times New Roman"/>
                <w:iCs/>
                <w:sz w:val="24"/>
                <w:szCs w:val="24"/>
                <w:lang w:eastAsia="lv-LV"/>
              </w:rPr>
              <w:t xml:space="preserve"> auditācijas pieraksti ar informāciju par attiecīgajiem </w:t>
            </w:r>
            <w:r w:rsidR="00903484" w:rsidRPr="002C30C1">
              <w:rPr>
                <w:rFonts w:ascii="Times New Roman" w:eastAsia="Times New Roman" w:hAnsi="Times New Roman" w:cs="Times New Roman"/>
                <w:iCs/>
                <w:sz w:val="24"/>
                <w:szCs w:val="24"/>
                <w:lang w:eastAsia="lv-LV"/>
              </w:rPr>
              <w:t>koriģējumiem</w:t>
            </w:r>
            <w:r w:rsidRPr="002C30C1">
              <w:rPr>
                <w:rFonts w:ascii="Times New Roman" w:eastAsia="Times New Roman" w:hAnsi="Times New Roman" w:cs="Times New Roman"/>
                <w:iCs/>
                <w:sz w:val="24"/>
                <w:szCs w:val="24"/>
                <w:lang w:eastAsia="lv-LV"/>
              </w:rPr>
              <w:t xml:space="preserve">, tajā skaitā, </w:t>
            </w:r>
            <w:r w:rsidR="00903484" w:rsidRPr="002C30C1">
              <w:rPr>
                <w:rFonts w:ascii="Times New Roman" w:eastAsia="Times New Roman" w:hAnsi="Times New Roman" w:cs="Times New Roman"/>
                <w:iCs/>
                <w:sz w:val="24"/>
                <w:szCs w:val="24"/>
                <w:lang w:eastAsia="lv-LV"/>
              </w:rPr>
              <w:t>identificējoša informācija par korekcijas veicēju, korekcijas veikšanas datumu un laiku, veikto korekciju (dati dzēsti, laboti, mainīti vai papildināti) un koriģētajiem datiem (vērtība pirms un pēc labošanas vai mainīšanas).</w:t>
            </w:r>
          </w:p>
          <w:p w14:paraId="30AB8A4D" w14:textId="77264787" w:rsidR="00C10C1B" w:rsidRPr="002C30C1" w:rsidRDefault="00AC4EF2"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Vienlaikus, l</w:t>
            </w:r>
            <w:r w:rsidR="00C10C1B" w:rsidRPr="002C30C1">
              <w:rPr>
                <w:rFonts w:ascii="Times New Roman" w:eastAsia="Times New Roman" w:hAnsi="Times New Roman" w:cs="Times New Roman"/>
                <w:iCs/>
                <w:sz w:val="24"/>
                <w:szCs w:val="24"/>
                <w:lang w:eastAsia="lv-LV"/>
              </w:rPr>
              <w:t xml:space="preserve">ai nodrošinātu, ka būvlaukumos tiek ieviestas tādas EDLUS, kas nodrošina EDLUS ieviešanas mērķu sasniegšanu, t.i., reģistrētu, uzskaitītu un glabātu datus par nodarbināto personu nostrādātajām stundām būvlaukumā, un novērstu, ka EDLUS dati tiek </w:t>
            </w:r>
            <w:r w:rsidRPr="002C30C1">
              <w:rPr>
                <w:rFonts w:ascii="Times New Roman" w:eastAsia="Times New Roman" w:hAnsi="Times New Roman" w:cs="Times New Roman"/>
                <w:iCs/>
                <w:sz w:val="24"/>
                <w:szCs w:val="24"/>
                <w:lang w:eastAsia="lv-LV"/>
              </w:rPr>
              <w:t>mainīti</w:t>
            </w:r>
            <w:r w:rsidR="00C10C1B" w:rsidRPr="002C30C1">
              <w:rPr>
                <w:rFonts w:ascii="Times New Roman" w:eastAsia="Times New Roman" w:hAnsi="Times New Roman" w:cs="Times New Roman"/>
                <w:iCs/>
                <w:sz w:val="24"/>
                <w:szCs w:val="24"/>
                <w:lang w:eastAsia="lv-LV"/>
              </w:rPr>
              <w:t>, lai slēptu patieso būvlaukumā nostrādāto laiku, Projektā ietvertas normas, kas precīzi nosaka</w:t>
            </w:r>
            <w:r w:rsidR="001B5728" w:rsidRPr="002C30C1">
              <w:rPr>
                <w:rFonts w:ascii="Times New Roman" w:eastAsia="Times New Roman" w:hAnsi="Times New Roman" w:cs="Times New Roman"/>
                <w:iCs/>
                <w:sz w:val="24"/>
                <w:szCs w:val="24"/>
                <w:lang w:eastAsia="lv-LV"/>
              </w:rPr>
              <w:t xml:space="preserve"> ne tikai to,</w:t>
            </w:r>
            <w:r w:rsidR="00C10C1B" w:rsidRPr="002C30C1">
              <w:rPr>
                <w:rFonts w:ascii="Times New Roman" w:eastAsia="Times New Roman" w:hAnsi="Times New Roman" w:cs="Times New Roman"/>
                <w:iCs/>
                <w:sz w:val="24"/>
                <w:szCs w:val="24"/>
                <w:lang w:eastAsia="lv-LV"/>
              </w:rPr>
              <w:t xml:space="preserve"> </w:t>
            </w:r>
            <w:r w:rsidR="00706DDD" w:rsidRPr="002C30C1">
              <w:rPr>
                <w:rFonts w:ascii="Times New Roman" w:eastAsia="Times New Roman" w:hAnsi="Times New Roman" w:cs="Times New Roman"/>
                <w:iCs/>
                <w:sz w:val="24"/>
                <w:szCs w:val="24"/>
                <w:lang w:eastAsia="lv-LV"/>
              </w:rPr>
              <w:t xml:space="preserve">kādi EDLUS dati var tikt </w:t>
            </w:r>
            <w:r w:rsidR="00903484" w:rsidRPr="002C30C1">
              <w:rPr>
                <w:rFonts w:ascii="Times New Roman" w:eastAsia="Times New Roman" w:hAnsi="Times New Roman" w:cs="Times New Roman"/>
                <w:iCs/>
                <w:sz w:val="24"/>
                <w:szCs w:val="24"/>
                <w:lang w:eastAsia="lv-LV"/>
              </w:rPr>
              <w:t>koriģēti</w:t>
            </w:r>
            <w:r w:rsidR="00706DDD" w:rsidRPr="002C30C1">
              <w:rPr>
                <w:rFonts w:ascii="Times New Roman" w:eastAsia="Times New Roman" w:hAnsi="Times New Roman" w:cs="Times New Roman"/>
                <w:iCs/>
                <w:sz w:val="24"/>
                <w:szCs w:val="24"/>
                <w:lang w:eastAsia="lv-LV"/>
              </w:rPr>
              <w:t xml:space="preserve">, </w:t>
            </w:r>
            <w:r w:rsidR="001B5728" w:rsidRPr="002C30C1">
              <w:rPr>
                <w:rFonts w:ascii="Times New Roman" w:eastAsia="Times New Roman" w:hAnsi="Times New Roman" w:cs="Times New Roman"/>
                <w:iCs/>
                <w:sz w:val="24"/>
                <w:szCs w:val="24"/>
                <w:lang w:eastAsia="lv-LV"/>
              </w:rPr>
              <w:t>bet nosaka arī</w:t>
            </w:r>
            <w:r w:rsidR="00706DDD" w:rsidRPr="002C30C1">
              <w:rPr>
                <w:rFonts w:ascii="Times New Roman" w:eastAsia="Times New Roman" w:hAnsi="Times New Roman" w:cs="Times New Roman"/>
                <w:iCs/>
                <w:sz w:val="24"/>
                <w:szCs w:val="24"/>
                <w:lang w:eastAsia="lv-LV"/>
              </w:rPr>
              <w:t>, ka EDLUS</w:t>
            </w:r>
            <w:r w:rsidR="00BB57D3" w:rsidRPr="002C30C1">
              <w:rPr>
                <w:rFonts w:ascii="Times New Roman" w:eastAsia="Times New Roman" w:hAnsi="Times New Roman" w:cs="Times New Roman"/>
                <w:iCs/>
                <w:sz w:val="24"/>
                <w:szCs w:val="24"/>
                <w:lang w:eastAsia="lv-LV"/>
              </w:rPr>
              <w:t>,</w:t>
            </w:r>
            <w:r w:rsidR="00706DDD" w:rsidRPr="002C30C1">
              <w:rPr>
                <w:rFonts w:ascii="Times New Roman" w:eastAsia="Times New Roman" w:hAnsi="Times New Roman" w:cs="Times New Roman"/>
                <w:iCs/>
                <w:sz w:val="24"/>
                <w:szCs w:val="24"/>
                <w:lang w:eastAsia="lv-LV"/>
              </w:rPr>
              <w:t xml:space="preserve"> tajā skaitā</w:t>
            </w:r>
            <w:r w:rsidR="00BB57D3" w:rsidRPr="002C30C1">
              <w:rPr>
                <w:rFonts w:ascii="Times New Roman" w:eastAsia="Times New Roman" w:hAnsi="Times New Roman" w:cs="Times New Roman"/>
                <w:iCs/>
                <w:sz w:val="24"/>
                <w:szCs w:val="24"/>
                <w:lang w:eastAsia="lv-LV"/>
              </w:rPr>
              <w:t>,</w:t>
            </w:r>
            <w:r w:rsidR="00706DDD" w:rsidRPr="002C30C1">
              <w:rPr>
                <w:rFonts w:ascii="Times New Roman" w:eastAsia="Times New Roman" w:hAnsi="Times New Roman" w:cs="Times New Roman"/>
                <w:iCs/>
                <w:sz w:val="24"/>
                <w:szCs w:val="24"/>
                <w:lang w:eastAsia="lv-LV"/>
              </w:rPr>
              <w:t xml:space="preserve"> tās programmatūrā, nedrīkst iestrādāt tādus risinājumus, kas veic automātiskas vai iepriekš ieprogrammētas darbības attiecībā uz EDLUS reģistrēto datu </w:t>
            </w:r>
            <w:r w:rsidR="00903484" w:rsidRPr="002C30C1">
              <w:rPr>
                <w:rFonts w:ascii="Times New Roman" w:eastAsia="Times New Roman" w:hAnsi="Times New Roman" w:cs="Times New Roman"/>
                <w:iCs/>
                <w:sz w:val="24"/>
                <w:szCs w:val="24"/>
                <w:lang w:eastAsia="lv-LV"/>
              </w:rPr>
              <w:t>mainīšanu, labošanu vai dzēšanu</w:t>
            </w:r>
            <w:r w:rsidR="00706DDD" w:rsidRPr="002C30C1">
              <w:rPr>
                <w:rFonts w:ascii="Times New Roman" w:eastAsia="Times New Roman" w:hAnsi="Times New Roman" w:cs="Times New Roman"/>
                <w:iCs/>
                <w:sz w:val="24"/>
                <w:szCs w:val="24"/>
                <w:lang w:eastAsia="lv-LV"/>
              </w:rPr>
              <w:t>, būvlaukumā nodarbināto personu darba laika reģistrāciju, tajā skaitā automātiski reģistrē laiku, kad persona ieradusies būvlaukumā un atstājusi to, vai atskaita no EDLUS reģistrētajiem datiem darba tiesiskās attiecības reglamentējošajos normatīvajos aktos paredzētos pārtraukumus darbā.</w:t>
            </w:r>
          </w:p>
          <w:p w14:paraId="258DDA1E" w14:textId="2782835A" w:rsidR="002C49CE" w:rsidRPr="002C30C1" w:rsidRDefault="00C10C1B"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Tāpat Projektā ietverts regulējums par rīcību gadījumos, kad EDLUS darbībā bijuši tādi traucējumi, kas liedza datu reģistrāciju vai uzskaiti EDLUS</w:t>
            </w:r>
            <w:r w:rsidR="000C1042" w:rsidRPr="002C30C1">
              <w:rPr>
                <w:rFonts w:ascii="Times New Roman" w:eastAsia="Times New Roman" w:hAnsi="Times New Roman" w:cs="Times New Roman"/>
                <w:iCs/>
                <w:sz w:val="24"/>
                <w:szCs w:val="24"/>
                <w:lang w:eastAsia="lv-LV"/>
              </w:rPr>
              <w:t xml:space="preserve"> vispārējā kārtībā</w:t>
            </w:r>
            <w:r w:rsidRPr="002C30C1">
              <w:rPr>
                <w:rFonts w:ascii="Times New Roman" w:eastAsia="Times New Roman" w:hAnsi="Times New Roman" w:cs="Times New Roman"/>
                <w:iCs/>
                <w:sz w:val="24"/>
                <w:szCs w:val="24"/>
                <w:lang w:eastAsia="lv-LV"/>
              </w:rPr>
              <w:t xml:space="preserve">. Projektā ietvertais regulējums paredz, ka </w:t>
            </w:r>
            <w:r w:rsidR="000C1042" w:rsidRPr="002C30C1">
              <w:rPr>
                <w:rFonts w:ascii="Times New Roman" w:eastAsia="Times New Roman" w:hAnsi="Times New Roman" w:cs="Times New Roman"/>
                <w:iCs/>
                <w:sz w:val="24"/>
                <w:szCs w:val="24"/>
                <w:lang w:eastAsia="lv-LV"/>
              </w:rPr>
              <w:t>šajā gadījumā d</w:t>
            </w:r>
            <w:r w:rsidR="00C273A4" w:rsidRPr="002C30C1">
              <w:rPr>
                <w:rFonts w:ascii="Times New Roman" w:eastAsia="Times New Roman" w:hAnsi="Times New Roman" w:cs="Times New Roman"/>
                <w:iCs/>
                <w:sz w:val="24"/>
                <w:szCs w:val="24"/>
                <w:lang w:eastAsia="lv-LV"/>
              </w:rPr>
              <w:t>atus reģistrē un uzskaita īpaš</w:t>
            </w:r>
            <w:r w:rsidR="000C1042" w:rsidRPr="002C30C1">
              <w:rPr>
                <w:rFonts w:ascii="Times New Roman" w:eastAsia="Times New Roman" w:hAnsi="Times New Roman" w:cs="Times New Roman"/>
                <w:iCs/>
                <w:sz w:val="24"/>
                <w:szCs w:val="24"/>
                <w:lang w:eastAsia="lv-LV"/>
              </w:rPr>
              <w:t xml:space="preserve">ā kārtībā: </w:t>
            </w:r>
            <w:r w:rsidRPr="002C30C1">
              <w:rPr>
                <w:rFonts w:ascii="Times New Roman" w:eastAsia="Times New Roman" w:hAnsi="Times New Roman" w:cs="Times New Roman"/>
                <w:iCs/>
                <w:sz w:val="24"/>
                <w:szCs w:val="24"/>
                <w:lang w:eastAsia="lv-LV"/>
              </w:rPr>
              <w:t>EDLUS reģistrējamā informācija ir uzskaitāma manuāli</w:t>
            </w:r>
            <w:r w:rsidR="00C21746" w:rsidRPr="002C30C1">
              <w:rPr>
                <w:rFonts w:ascii="Times New Roman" w:eastAsia="Times New Roman" w:hAnsi="Times New Roman" w:cs="Times New Roman"/>
                <w:iCs/>
                <w:sz w:val="24"/>
                <w:szCs w:val="24"/>
                <w:lang w:eastAsia="lv-LV"/>
              </w:rPr>
              <w:t xml:space="preserve"> (piemēram, ievadot datus ar roku Word dokumentā)</w:t>
            </w:r>
            <w:r w:rsidR="002871BC" w:rsidRPr="002C30C1">
              <w:rPr>
                <w:rFonts w:ascii="Times New Roman" w:eastAsia="Times New Roman" w:hAnsi="Times New Roman" w:cs="Times New Roman"/>
                <w:iCs/>
                <w:sz w:val="24"/>
                <w:szCs w:val="24"/>
                <w:lang w:eastAsia="lv-LV"/>
              </w:rPr>
              <w:t xml:space="preserve"> </w:t>
            </w:r>
            <w:r w:rsidR="00D2783B" w:rsidRPr="002C30C1">
              <w:rPr>
                <w:rFonts w:ascii="Times New Roman" w:eastAsia="Times New Roman" w:hAnsi="Times New Roman" w:cs="Times New Roman"/>
                <w:iCs/>
                <w:sz w:val="24"/>
                <w:szCs w:val="24"/>
                <w:lang w:eastAsia="lv-LV"/>
              </w:rPr>
              <w:t xml:space="preserve">vai </w:t>
            </w:r>
            <w:r w:rsidR="00C21746" w:rsidRPr="002C30C1">
              <w:rPr>
                <w:rFonts w:ascii="Times New Roman" w:eastAsia="Times New Roman" w:hAnsi="Times New Roman" w:cs="Times New Roman"/>
                <w:iCs/>
                <w:sz w:val="24"/>
                <w:szCs w:val="24"/>
                <w:lang w:eastAsia="lv-LV"/>
              </w:rPr>
              <w:t>ar individuāli pielāgoto ierīci vai informācijas tehnoloģiju risinājumu</w:t>
            </w:r>
            <w:r w:rsidR="002871BC" w:rsidRPr="002C30C1">
              <w:rPr>
                <w:rFonts w:ascii="Times New Roman" w:eastAsia="Times New Roman" w:hAnsi="Times New Roman" w:cs="Times New Roman"/>
                <w:iCs/>
                <w:sz w:val="24"/>
                <w:szCs w:val="24"/>
                <w:lang w:eastAsia="lv-LV"/>
              </w:rPr>
              <w:t xml:space="preserve">, </w:t>
            </w:r>
            <w:r w:rsidR="00D2783B" w:rsidRPr="002C30C1">
              <w:rPr>
                <w:rFonts w:ascii="Times New Roman" w:eastAsia="Times New Roman" w:hAnsi="Times New Roman" w:cs="Times New Roman"/>
                <w:iCs/>
                <w:sz w:val="24"/>
                <w:szCs w:val="24"/>
                <w:lang w:eastAsia="lv-LV"/>
              </w:rPr>
              <w:t xml:space="preserve">ja sistēmas darbības traucējumi neietekmēja datu elektronisku reģistrāciju vai uzskaiti </w:t>
            </w:r>
            <w:r w:rsidR="00C21746" w:rsidRPr="002C30C1">
              <w:rPr>
                <w:rFonts w:ascii="Times New Roman" w:eastAsia="Times New Roman" w:hAnsi="Times New Roman" w:cs="Times New Roman"/>
                <w:iCs/>
                <w:sz w:val="24"/>
                <w:szCs w:val="24"/>
                <w:lang w:eastAsia="lv-LV"/>
              </w:rPr>
              <w:t>(piemēram, dati tiek piefiksēti aplikācijā, bet traucējuma dēļ netiek padoti uz EDLUS)</w:t>
            </w:r>
            <w:r w:rsidR="00D2783B" w:rsidRPr="002C30C1">
              <w:rPr>
                <w:rFonts w:ascii="Times New Roman" w:eastAsia="Times New Roman" w:hAnsi="Times New Roman" w:cs="Times New Roman"/>
                <w:iCs/>
                <w:sz w:val="24"/>
                <w:szCs w:val="24"/>
                <w:lang w:eastAsia="lv-LV"/>
              </w:rPr>
              <w:t>.</w:t>
            </w:r>
            <w:r w:rsidR="00B92703" w:rsidRPr="002C30C1">
              <w:rPr>
                <w:rFonts w:ascii="Times New Roman" w:eastAsia="Times New Roman" w:hAnsi="Times New Roman" w:cs="Times New Roman"/>
                <w:iCs/>
                <w:sz w:val="24"/>
                <w:szCs w:val="24"/>
                <w:lang w:eastAsia="lv-LV"/>
              </w:rPr>
              <w:t xml:space="preserve"> </w:t>
            </w:r>
            <w:r w:rsidR="00C21746" w:rsidRPr="002C30C1">
              <w:rPr>
                <w:rFonts w:ascii="Times New Roman" w:eastAsia="Times New Roman" w:hAnsi="Times New Roman" w:cs="Times New Roman"/>
                <w:iCs/>
                <w:sz w:val="24"/>
                <w:szCs w:val="24"/>
                <w:lang w:eastAsia="lv-LV"/>
              </w:rPr>
              <w:t>P</w:t>
            </w:r>
            <w:r w:rsidR="000C1042" w:rsidRPr="002C30C1">
              <w:rPr>
                <w:rFonts w:ascii="Times New Roman" w:eastAsia="Times New Roman" w:hAnsi="Times New Roman" w:cs="Times New Roman"/>
                <w:iCs/>
                <w:sz w:val="24"/>
                <w:szCs w:val="24"/>
                <w:lang w:eastAsia="lv-LV"/>
              </w:rPr>
              <w:t xml:space="preserve">ēc traucējumu novēršanas </w:t>
            </w:r>
            <w:r w:rsidR="00C21746" w:rsidRPr="002C30C1">
              <w:rPr>
                <w:rFonts w:ascii="Times New Roman" w:eastAsia="Times New Roman" w:hAnsi="Times New Roman" w:cs="Times New Roman"/>
                <w:iCs/>
                <w:sz w:val="24"/>
                <w:szCs w:val="24"/>
                <w:lang w:eastAsia="lv-LV"/>
              </w:rPr>
              <w:t>(</w:t>
            </w:r>
            <w:r w:rsidR="000C1042" w:rsidRPr="002C30C1">
              <w:rPr>
                <w:rFonts w:ascii="Times New Roman" w:eastAsia="Times New Roman" w:hAnsi="Times New Roman" w:cs="Times New Roman"/>
                <w:iCs/>
                <w:sz w:val="24"/>
                <w:szCs w:val="24"/>
                <w:lang w:eastAsia="lv-LV"/>
              </w:rPr>
              <w:t>bet</w:t>
            </w:r>
            <w:r w:rsidR="000C1042" w:rsidRPr="002C30C1" w:rsidDel="007D112D">
              <w:rPr>
                <w:rFonts w:ascii="Times New Roman" w:eastAsia="Times New Roman" w:hAnsi="Times New Roman" w:cs="Times New Roman"/>
                <w:iCs/>
                <w:sz w:val="24"/>
                <w:szCs w:val="24"/>
                <w:lang w:eastAsia="lv-LV"/>
              </w:rPr>
              <w:t xml:space="preserve"> </w:t>
            </w:r>
            <w:r w:rsidR="000C1042" w:rsidRPr="002C30C1">
              <w:rPr>
                <w:rFonts w:ascii="Times New Roman" w:eastAsia="Times New Roman" w:hAnsi="Times New Roman" w:cs="Times New Roman"/>
                <w:iCs/>
                <w:sz w:val="24"/>
                <w:szCs w:val="24"/>
                <w:lang w:eastAsia="lv-LV"/>
              </w:rPr>
              <w:t>ne vēlāk kā trīs darba dienu laikā</w:t>
            </w:r>
            <w:r w:rsidR="00C21746" w:rsidRPr="002C30C1">
              <w:rPr>
                <w:rFonts w:ascii="Times New Roman" w:eastAsia="Times New Roman" w:hAnsi="Times New Roman" w:cs="Times New Roman"/>
                <w:iCs/>
                <w:sz w:val="24"/>
                <w:szCs w:val="24"/>
                <w:lang w:eastAsia="lv-LV"/>
              </w:rPr>
              <w:t>)</w:t>
            </w:r>
            <w:r w:rsidR="000C1042" w:rsidRPr="002C30C1" w:rsidDel="007D112D">
              <w:rPr>
                <w:rFonts w:ascii="Times New Roman" w:eastAsia="Times New Roman" w:hAnsi="Times New Roman" w:cs="Times New Roman"/>
                <w:iCs/>
                <w:sz w:val="24"/>
                <w:szCs w:val="24"/>
                <w:lang w:eastAsia="lv-LV"/>
              </w:rPr>
              <w:t xml:space="preserve"> </w:t>
            </w:r>
            <w:r w:rsidR="000C1042" w:rsidRPr="002C30C1">
              <w:rPr>
                <w:rFonts w:ascii="Times New Roman" w:eastAsia="Times New Roman" w:hAnsi="Times New Roman" w:cs="Times New Roman"/>
                <w:iCs/>
                <w:sz w:val="24"/>
                <w:szCs w:val="24"/>
                <w:lang w:eastAsia="lv-LV"/>
              </w:rPr>
              <w:t>s</w:t>
            </w:r>
            <w:r w:rsidR="007D112D" w:rsidRPr="002C30C1">
              <w:rPr>
                <w:rFonts w:ascii="Times New Roman" w:eastAsia="Times New Roman" w:hAnsi="Times New Roman" w:cs="Times New Roman"/>
                <w:iCs/>
                <w:sz w:val="24"/>
                <w:szCs w:val="24"/>
                <w:lang w:eastAsia="lv-LV"/>
              </w:rPr>
              <w:t>istēmas darbības traucējumu periodā</w:t>
            </w:r>
            <w:r w:rsidR="004D10E9" w:rsidRPr="002C30C1">
              <w:rPr>
                <w:rFonts w:ascii="Times New Roman" w:eastAsia="Times New Roman" w:hAnsi="Times New Roman" w:cs="Times New Roman"/>
                <w:iCs/>
                <w:sz w:val="24"/>
                <w:szCs w:val="24"/>
                <w:lang w:eastAsia="lv-LV"/>
              </w:rPr>
              <w:t xml:space="preserve"> reģistrētie un</w:t>
            </w:r>
            <w:r w:rsidR="007D112D" w:rsidRPr="002C30C1">
              <w:rPr>
                <w:rFonts w:ascii="Times New Roman" w:eastAsia="Times New Roman" w:hAnsi="Times New Roman" w:cs="Times New Roman"/>
                <w:iCs/>
                <w:sz w:val="24"/>
                <w:szCs w:val="24"/>
                <w:lang w:eastAsia="lv-LV"/>
              </w:rPr>
              <w:t xml:space="preserve"> uzskaitītie dati ir jāreģistrē EDLUS</w:t>
            </w:r>
            <w:r w:rsidR="000C1042" w:rsidRPr="002C30C1">
              <w:rPr>
                <w:rFonts w:ascii="Times New Roman" w:eastAsia="Times New Roman" w:hAnsi="Times New Roman" w:cs="Times New Roman"/>
                <w:iCs/>
                <w:sz w:val="24"/>
                <w:szCs w:val="24"/>
                <w:lang w:eastAsia="lv-LV"/>
              </w:rPr>
              <w:t xml:space="preserve"> </w:t>
            </w:r>
            <w:r w:rsidR="007D112D" w:rsidRPr="002C30C1">
              <w:rPr>
                <w:rFonts w:ascii="Times New Roman" w:eastAsia="Times New Roman" w:hAnsi="Times New Roman" w:cs="Times New Roman"/>
                <w:iCs/>
                <w:sz w:val="24"/>
                <w:szCs w:val="24"/>
                <w:lang w:eastAsia="lv-LV"/>
              </w:rPr>
              <w:t>manuāli</w:t>
            </w:r>
            <w:r w:rsidR="000C1042" w:rsidRPr="002C30C1">
              <w:rPr>
                <w:rFonts w:ascii="Times New Roman" w:eastAsia="Times New Roman" w:hAnsi="Times New Roman" w:cs="Times New Roman"/>
                <w:iCs/>
                <w:sz w:val="24"/>
                <w:szCs w:val="24"/>
                <w:lang w:eastAsia="lv-LV"/>
              </w:rPr>
              <w:t xml:space="preserve"> (ja dati tika uzskaitīti manuāli)</w:t>
            </w:r>
            <w:r w:rsidR="007D112D" w:rsidRPr="002C30C1">
              <w:rPr>
                <w:rFonts w:ascii="Times New Roman" w:eastAsia="Times New Roman" w:hAnsi="Times New Roman" w:cs="Times New Roman"/>
                <w:iCs/>
                <w:sz w:val="24"/>
                <w:szCs w:val="24"/>
                <w:lang w:eastAsia="lv-LV"/>
              </w:rPr>
              <w:t xml:space="preserve"> vai</w:t>
            </w:r>
            <w:r w:rsidR="000C1042" w:rsidRPr="002C30C1">
              <w:rPr>
                <w:rFonts w:ascii="Times New Roman" w:eastAsia="Times New Roman" w:hAnsi="Times New Roman" w:cs="Times New Roman"/>
                <w:iCs/>
                <w:sz w:val="24"/>
                <w:szCs w:val="24"/>
                <w:lang w:eastAsia="lv-LV"/>
              </w:rPr>
              <w:t xml:space="preserve"> elektroniski</w:t>
            </w:r>
            <w:r w:rsidR="007D112D" w:rsidRPr="002C30C1">
              <w:rPr>
                <w:rFonts w:ascii="Times New Roman" w:eastAsia="Times New Roman" w:hAnsi="Times New Roman" w:cs="Times New Roman"/>
                <w:iCs/>
                <w:sz w:val="24"/>
                <w:szCs w:val="24"/>
                <w:lang w:eastAsia="lv-LV"/>
              </w:rPr>
              <w:t>, ja sistēmas darbības traucējumi neietekmēja datu elektronisku reģistrāciju vai uzskaiti</w:t>
            </w:r>
            <w:r w:rsidR="000C1042" w:rsidRPr="002C30C1">
              <w:rPr>
                <w:rFonts w:ascii="Times New Roman" w:eastAsia="Times New Roman" w:hAnsi="Times New Roman" w:cs="Times New Roman"/>
                <w:iCs/>
                <w:sz w:val="24"/>
                <w:szCs w:val="24"/>
                <w:lang w:eastAsia="lv-LV"/>
              </w:rPr>
              <w:t xml:space="preserve"> individuāli pielāgotajā ierīcē vai informācijas tehnoloģiju risinājumā</w:t>
            </w:r>
            <w:r w:rsidR="00713EF4" w:rsidRPr="002C30C1">
              <w:rPr>
                <w:rFonts w:ascii="Times New Roman" w:eastAsia="Times New Roman" w:hAnsi="Times New Roman" w:cs="Times New Roman"/>
                <w:iCs/>
                <w:sz w:val="24"/>
                <w:szCs w:val="24"/>
                <w:lang w:eastAsia="lv-LV"/>
              </w:rPr>
              <w:t xml:space="preserve"> (piemēram, ja dati tika piefiksēti aplikācij</w:t>
            </w:r>
            <w:r w:rsidR="004A3F3F" w:rsidRPr="002C30C1">
              <w:rPr>
                <w:rFonts w:ascii="Times New Roman" w:eastAsia="Times New Roman" w:hAnsi="Times New Roman" w:cs="Times New Roman"/>
                <w:iCs/>
                <w:sz w:val="24"/>
                <w:szCs w:val="24"/>
                <w:lang w:eastAsia="lv-LV"/>
              </w:rPr>
              <w:t>ā</w:t>
            </w:r>
            <w:r w:rsidR="00713EF4" w:rsidRPr="002C30C1">
              <w:rPr>
                <w:rFonts w:ascii="Times New Roman" w:eastAsia="Times New Roman" w:hAnsi="Times New Roman" w:cs="Times New Roman"/>
                <w:iCs/>
                <w:sz w:val="24"/>
                <w:szCs w:val="24"/>
                <w:lang w:eastAsia="lv-LV"/>
              </w:rPr>
              <w:t>, tad dati tiek elektroniski padoti no aplikācijas uz EDLUS)</w:t>
            </w:r>
            <w:r w:rsidR="000C1042" w:rsidRPr="002C30C1">
              <w:rPr>
                <w:rFonts w:ascii="Times New Roman" w:eastAsia="Times New Roman" w:hAnsi="Times New Roman" w:cs="Times New Roman"/>
                <w:iCs/>
                <w:sz w:val="24"/>
                <w:szCs w:val="24"/>
                <w:lang w:eastAsia="lv-LV"/>
              </w:rPr>
              <w:t xml:space="preserve">. Reģistrējot datus </w:t>
            </w:r>
            <w:r w:rsidR="00C21746" w:rsidRPr="002C30C1">
              <w:rPr>
                <w:rFonts w:ascii="Times New Roman" w:eastAsia="Times New Roman" w:hAnsi="Times New Roman" w:cs="Times New Roman"/>
                <w:iCs/>
                <w:sz w:val="24"/>
                <w:szCs w:val="24"/>
                <w:lang w:eastAsia="lv-LV"/>
              </w:rPr>
              <w:t>īpašā</w:t>
            </w:r>
            <w:r w:rsidR="000C1042" w:rsidRPr="002C30C1">
              <w:rPr>
                <w:rFonts w:ascii="Times New Roman" w:eastAsia="Times New Roman" w:hAnsi="Times New Roman" w:cs="Times New Roman"/>
                <w:iCs/>
                <w:sz w:val="24"/>
                <w:szCs w:val="24"/>
                <w:lang w:eastAsia="lv-LV"/>
              </w:rPr>
              <w:t xml:space="preserve"> kārtībā</w:t>
            </w:r>
            <w:r w:rsidR="00C21746" w:rsidRPr="002C30C1">
              <w:rPr>
                <w:rFonts w:ascii="Times New Roman" w:eastAsia="Times New Roman" w:hAnsi="Times New Roman" w:cs="Times New Roman"/>
                <w:iCs/>
                <w:sz w:val="24"/>
                <w:szCs w:val="24"/>
                <w:lang w:eastAsia="lv-LV"/>
              </w:rPr>
              <w:t>,</w:t>
            </w:r>
            <w:r w:rsidR="000C1042" w:rsidRPr="002C30C1">
              <w:rPr>
                <w:rFonts w:ascii="Times New Roman" w:eastAsia="Times New Roman" w:hAnsi="Times New Roman" w:cs="Times New Roman"/>
                <w:iCs/>
                <w:sz w:val="24"/>
                <w:szCs w:val="24"/>
                <w:lang w:eastAsia="lv-LV"/>
              </w:rPr>
              <w:t xml:space="preserve"> </w:t>
            </w:r>
            <w:r w:rsidR="000C1042" w:rsidRPr="002C30C1">
              <w:rPr>
                <w:rFonts w:ascii="Times New Roman" w:eastAsia="Times New Roman" w:hAnsi="Times New Roman" w:cs="Times New Roman"/>
                <w:iCs/>
                <w:sz w:val="24"/>
                <w:szCs w:val="24"/>
                <w:lang w:eastAsia="lv-LV"/>
              </w:rPr>
              <w:lastRenderedPageBreak/>
              <w:t>obligāti</w:t>
            </w:r>
            <w:r w:rsidR="00B92703" w:rsidRPr="002C30C1">
              <w:rPr>
                <w:rFonts w:ascii="Times New Roman" w:eastAsia="Times New Roman" w:hAnsi="Times New Roman" w:cs="Times New Roman"/>
                <w:iCs/>
                <w:sz w:val="24"/>
                <w:szCs w:val="24"/>
                <w:lang w:eastAsia="lv-LV"/>
              </w:rPr>
              <w:t xml:space="preserve"> </w:t>
            </w:r>
            <w:r w:rsidR="00C21746" w:rsidRPr="002C30C1">
              <w:rPr>
                <w:rFonts w:ascii="Times New Roman" w:eastAsia="Times New Roman" w:hAnsi="Times New Roman" w:cs="Times New Roman"/>
                <w:iCs/>
                <w:sz w:val="24"/>
                <w:szCs w:val="24"/>
                <w:lang w:eastAsia="lv-LV"/>
              </w:rPr>
              <w:t>jā</w:t>
            </w:r>
            <w:r w:rsidR="00B92703" w:rsidRPr="002C30C1">
              <w:rPr>
                <w:rFonts w:ascii="Times New Roman" w:eastAsia="Times New Roman" w:hAnsi="Times New Roman" w:cs="Times New Roman"/>
                <w:iCs/>
                <w:sz w:val="24"/>
                <w:szCs w:val="24"/>
                <w:lang w:eastAsia="lv-LV"/>
              </w:rPr>
              <w:t>nodrošin</w:t>
            </w:r>
            <w:r w:rsidR="000C1042" w:rsidRPr="002C30C1">
              <w:rPr>
                <w:rFonts w:ascii="Times New Roman" w:eastAsia="Times New Roman" w:hAnsi="Times New Roman" w:cs="Times New Roman"/>
                <w:iCs/>
                <w:sz w:val="24"/>
                <w:szCs w:val="24"/>
                <w:lang w:eastAsia="lv-LV"/>
              </w:rPr>
              <w:t>a</w:t>
            </w:r>
            <w:r w:rsidR="00B92703" w:rsidRPr="002C30C1">
              <w:rPr>
                <w:rFonts w:ascii="Times New Roman" w:eastAsia="Times New Roman" w:hAnsi="Times New Roman" w:cs="Times New Roman"/>
                <w:iCs/>
                <w:sz w:val="24"/>
                <w:szCs w:val="24"/>
                <w:lang w:eastAsia="lv-LV"/>
              </w:rPr>
              <w:t xml:space="preserve"> pazīm</w:t>
            </w:r>
            <w:r w:rsidR="00C21746" w:rsidRPr="002C30C1">
              <w:rPr>
                <w:rFonts w:ascii="Times New Roman" w:eastAsia="Times New Roman" w:hAnsi="Times New Roman" w:cs="Times New Roman"/>
                <w:iCs/>
                <w:sz w:val="24"/>
                <w:szCs w:val="24"/>
                <w:lang w:eastAsia="lv-LV"/>
              </w:rPr>
              <w:t>e</w:t>
            </w:r>
            <w:r w:rsidR="00B92703" w:rsidRPr="002C30C1">
              <w:rPr>
                <w:rFonts w:ascii="Times New Roman" w:eastAsia="Times New Roman" w:hAnsi="Times New Roman" w:cs="Times New Roman"/>
                <w:iCs/>
                <w:sz w:val="24"/>
                <w:szCs w:val="24"/>
                <w:lang w:eastAsia="lv-LV"/>
              </w:rPr>
              <w:t xml:space="preserve"> </w:t>
            </w:r>
            <w:r w:rsidR="00D5154B" w:rsidRPr="002C30C1">
              <w:rPr>
                <w:rFonts w:ascii="Times New Roman" w:eastAsia="Times New Roman" w:hAnsi="Times New Roman" w:cs="Times New Roman"/>
                <w:iCs/>
                <w:sz w:val="24"/>
                <w:szCs w:val="24"/>
                <w:lang w:eastAsia="lv-LV"/>
              </w:rPr>
              <w:t xml:space="preserve">un </w:t>
            </w:r>
            <w:r w:rsidR="00BB57D3" w:rsidRPr="002C30C1">
              <w:rPr>
                <w:rFonts w:ascii="Times New Roman" w:eastAsia="Times New Roman" w:hAnsi="Times New Roman" w:cs="Times New Roman"/>
                <w:iCs/>
                <w:sz w:val="24"/>
                <w:szCs w:val="24"/>
                <w:lang w:eastAsia="lv-LV"/>
              </w:rPr>
              <w:t xml:space="preserve">notikumu </w:t>
            </w:r>
            <w:r w:rsidR="00D5154B" w:rsidRPr="002C30C1">
              <w:rPr>
                <w:rFonts w:ascii="Times New Roman" w:eastAsia="Times New Roman" w:hAnsi="Times New Roman" w:cs="Times New Roman"/>
                <w:iCs/>
                <w:sz w:val="24"/>
                <w:szCs w:val="24"/>
                <w:lang w:eastAsia="lv-LV"/>
              </w:rPr>
              <w:t>auditācijas pierakst</w:t>
            </w:r>
            <w:r w:rsidR="00B24384" w:rsidRPr="002C30C1">
              <w:rPr>
                <w:rFonts w:ascii="Times New Roman" w:eastAsia="Times New Roman" w:hAnsi="Times New Roman" w:cs="Times New Roman"/>
                <w:iCs/>
                <w:sz w:val="24"/>
                <w:szCs w:val="24"/>
                <w:lang w:eastAsia="lv-LV"/>
              </w:rPr>
              <w:t>i</w:t>
            </w:r>
            <w:r w:rsidR="00D5154B" w:rsidRPr="002C30C1">
              <w:rPr>
                <w:rFonts w:ascii="Times New Roman" w:eastAsia="Times New Roman" w:hAnsi="Times New Roman" w:cs="Times New Roman"/>
                <w:iCs/>
                <w:sz w:val="24"/>
                <w:szCs w:val="24"/>
                <w:lang w:eastAsia="lv-LV"/>
              </w:rPr>
              <w:t xml:space="preserve"> par minēto datu uzskaiti un </w:t>
            </w:r>
            <w:r w:rsidR="007D112D" w:rsidRPr="002C30C1">
              <w:rPr>
                <w:rFonts w:ascii="Times New Roman" w:eastAsia="Times New Roman" w:hAnsi="Times New Roman" w:cs="Times New Roman"/>
                <w:iCs/>
                <w:sz w:val="24"/>
                <w:szCs w:val="24"/>
                <w:lang w:eastAsia="lv-LV"/>
              </w:rPr>
              <w:t xml:space="preserve">reģistrāciju </w:t>
            </w:r>
            <w:r w:rsidR="00D5154B" w:rsidRPr="002C30C1">
              <w:rPr>
                <w:rFonts w:ascii="Times New Roman" w:eastAsia="Times New Roman" w:hAnsi="Times New Roman" w:cs="Times New Roman"/>
                <w:iCs/>
                <w:sz w:val="24"/>
                <w:szCs w:val="24"/>
                <w:lang w:eastAsia="lv-LV"/>
              </w:rPr>
              <w:t>EDLUS</w:t>
            </w:r>
            <w:r w:rsidR="000C1042" w:rsidRPr="002C30C1">
              <w:rPr>
                <w:rFonts w:ascii="Times New Roman" w:eastAsia="Times New Roman" w:hAnsi="Times New Roman" w:cs="Times New Roman"/>
                <w:iCs/>
                <w:sz w:val="24"/>
                <w:szCs w:val="24"/>
                <w:lang w:eastAsia="lv-LV"/>
              </w:rPr>
              <w:t xml:space="preserve"> īpašā kārtībā</w:t>
            </w:r>
            <w:r w:rsidR="00D5154B" w:rsidRPr="002C30C1">
              <w:rPr>
                <w:rFonts w:ascii="Times New Roman" w:eastAsia="Times New Roman" w:hAnsi="Times New Roman" w:cs="Times New Roman"/>
                <w:iCs/>
                <w:sz w:val="24"/>
                <w:szCs w:val="24"/>
                <w:lang w:eastAsia="lv-LV"/>
              </w:rPr>
              <w:t>. Šajā gadījumā auditācijas pierakstiem ir jānodrošina vismaz šāda informācija</w:t>
            </w:r>
            <w:r w:rsidR="00BB57D3" w:rsidRPr="002C30C1">
              <w:rPr>
                <w:rFonts w:ascii="Times New Roman" w:eastAsia="Times New Roman" w:hAnsi="Times New Roman" w:cs="Times New Roman"/>
                <w:iCs/>
                <w:sz w:val="24"/>
                <w:szCs w:val="24"/>
                <w:lang w:eastAsia="lv-LV"/>
              </w:rPr>
              <w:t xml:space="preserve"> - </w:t>
            </w:r>
            <w:r w:rsidR="00D5154B" w:rsidRPr="002C30C1">
              <w:rPr>
                <w:rFonts w:ascii="Times New Roman" w:eastAsia="Times New Roman" w:hAnsi="Times New Roman" w:cs="Times New Roman"/>
                <w:iCs/>
                <w:sz w:val="24"/>
                <w:szCs w:val="24"/>
                <w:lang w:eastAsia="lv-LV"/>
              </w:rPr>
              <w:t xml:space="preserve">veikto datu uzskaites un </w:t>
            </w:r>
            <w:r w:rsidR="007D112D" w:rsidRPr="002C30C1">
              <w:rPr>
                <w:rFonts w:ascii="Times New Roman" w:eastAsia="Times New Roman" w:hAnsi="Times New Roman" w:cs="Times New Roman"/>
                <w:iCs/>
                <w:sz w:val="24"/>
                <w:szCs w:val="24"/>
                <w:lang w:eastAsia="lv-LV"/>
              </w:rPr>
              <w:t xml:space="preserve">reģistrācijas </w:t>
            </w:r>
            <w:r w:rsidR="00D5154B" w:rsidRPr="002C30C1">
              <w:rPr>
                <w:rFonts w:ascii="Times New Roman" w:eastAsia="Times New Roman" w:hAnsi="Times New Roman" w:cs="Times New Roman"/>
                <w:iCs/>
                <w:sz w:val="24"/>
                <w:szCs w:val="24"/>
                <w:lang w:eastAsia="lv-LV"/>
              </w:rPr>
              <w:t xml:space="preserve">EDLUS darbības datums un laiks, </w:t>
            </w:r>
            <w:r w:rsidR="00BB57D3" w:rsidRPr="002C30C1">
              <w:rPr>
                <w:rFonts w:ascii="Times New Roman" w:eastAsia="Times New Roman" w:hAnsi="Times New Roman" w:cs="Times New Roman"/>
                <w:iCs/>
                <w:sz w:val="24"/>
                <w:szCs w:val="24"/>
                <w:lang w:eastAsia="lv-LV"/>
              </w:rPr>
              <w:t>veiktā darbība (t.i., EDLUS papildināts ar datiem par to periodu, kad EDLUS nedarbojās</w:t>
            </w:r>
            <w:r w:rsidR="00FB151A" w:rsidRPr="002C30C1">
              <w:rPr>
                <w:rFonts w:ascii="Times New Roman" w:eastAsia="Times New Roman" w:hAnsi="Times New Roman" w:cs="Times New Roman"/>
                <w:iCs/>
                <w:sz w:val="24"/>
                <w:szCs w:val="24"/>
                <w:lang w:eastAsia="lv-LV"/>
              </w:rPr>
              <w:t>), EDLUS reģistrētie dati</w:t>
            </w:r>
            <w:r w:rsidR="00BB57D3" w:rsidRPr="002C30C1">
              <w:rPr>
                <w:rFonts w:ascii="Times New Roman" w:eastAsia="Times New Roman" w:hAnsi="Times New Roman" w:cs="Times New Roman"/>
                <w:iCs/>
                <w:sz w:val="24"/>
                <w:szCs w:val="24"/>
                <w:lang w:eastAsia="lv-LV"/>
              </w:rPr>
              <w:t>, identificējoša informācija par autoru, kas veica minētās darbības EDLUS</w:t>
            </w:r>
            <w:r w:rsidR="002C49CE" w:rsidRPr="002C30C1">
              <w:rPr>
                <w:rFonts w:ascii="Times New Roman" w:eastAsia="Times New Roman" w:hAnsi="Times New Roman" w:cs="Times New Roman"/>
                <w:iCs/>
                <w:sz w:val="24"/>
                <w:szCs w:val="24"/>
                <w:lang w:eastAsia="lv-LV"/>
              </w:rPr>
              <w:t>.</w:t>
            </w:r>
          </w:p>
          <w:p w14:paraId="54202BFA" w14:textId="3B9992E8" w:rsidR="00FB6F13" w:rsidRPr="002C30C1" w:rsidRDefault="00FB6F13" w:rsidP="002712A1">
            <w:pPr>
              <w:spacing w:after="0" w:line="240" w:lineRule="auto"/>
              <w:jc w:val="both"/>
              <w:rPr>
                <w:rFonts w:ascii="Times New Roman" w:eastAsia="Times New Roman" w:hAnsi="Times New Roman" w:cs="Times New Roman"/>
                <w:iCs/>
                <w:sz w:val="24"/>
                <w:szCs w:val="24"/>
                <w:lang w:eastAsia="lv-LV"/>
              </w:rPr>
            </w:pPr>
          </w:p>
          <w:p w14:paraId="6F6AA367" w14:textId="24E8A3F0" w:rsidR="00FB6F13" w:rsidRPr="002C30C1" w:rsidRDefault="00697743"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EDLUS reģistrēto datu novirze</w:t>
            </w:r>
          </w:p>
          <w:p w14:paraId="0F1A23B1" w14:textId="152CED14" w:rsidR="006C1BD2" w:rsidRPr="002C30C1" w:rsidRDefault="00A817C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Ar Projektu ir paredzēts, ka EDLUS reģistrētie dati ietver arī darba tiesiskās attiecības reglamentējošajos normatīvajos aktos paredzētos pārtraukumus darbā. </w:t>
            </w:r>
            <w:r w:rsidR="00071827" w:rsidRPr="002C30C1">
              <w:rPr>
                <w:rFonts w:ascii="Times New Roman" w:eastAsia="Times New Roman" w:hAnsi="Times New Roman" w:cs="Times New Roman"/>
                <w:iCs/>
                <w:sz w:val="24"/>
                <w:szCs w:val="24"/>
                <w:lang w:eastAsia="lv-LV"/>
              </w:rPr>
              <w:t xml:space="preserve">Atbilstoši Darba </w:t>
            </w:r>
            <w:r w:rsidRPr="002C30C1">
              <w:rPr>
                <w:rFonts w:ascii="Times New Roman" w:eastAsia="Times New Roman" w:hAnsi="Times New Roman" w:cs="Times New Roman"/>
                <w:iCs/>
                <w:sz w:val="24"/>
                <w:szCs w:val="24"/>
                <w:lang w:eastAsia="lv-LV"/>
              </w:rPr>
              <w:t xml:space="preserve">likumā noteiktajam regulējumam </w:t>
            </w:r>
            <w:r w:rsidR="00071827" w:rsidRPr="002C30C1">
              <w:rPr>
                <w:rFonts w:ascii="Times New Roman" w:eastAsia="Times New Roman" w:hAnsi="Times New Roman" w:cs="Times New Roman"/>
                <w:iCs/>
                <w:sz w:val="24"/>
                <w:szCs w:val="24"/>
                <w:lang w:eastAsia="lv-LV"/>
              </w:rPr>
              <w:t xml:space="preserve"> darba dēvēji un darba ņēmēji var vienoties par pārtraukumu izmantošanu un ilgumu</w:t>
            </w:r>
            <w:r w:rsidR="006C1BD2" w:rsidRPr="002C30C1">
              <w:rPr>
                <w:rFonts w:ascii="Times New Roman" w:eastAsia="Times New Roman" w:hAnsi="Times New Roman" w:cs="Times New Roman"/>
                <w:iCs/>
                <w:sz w:val="24"/>
                <w:szCs w:val="24"/>
                <w:lang w:eastAsia="lv-LV"/>
              </w:rPr>
              <w:t>.</w:t>
            </w:r>
            <w:r w:rsidR="00697743"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Līdz ar to</w:t>
            </w:r>
            <w:r w:rsidR="00204D9B" w:rsidRPr="002C30C1">
              <w:rPr>
                <w:rFonts w:ascii="Times New Roman" w:eastAsia="Times New Roman" w:hAnsi="Times New Roman" w:cs="Times New Roman"/>
                <w:iCs/>
                <w:sz w:val="24"/>
                <w:szCs w:val="24"/>
                <w:lang w:eastAsia="lv-LV"/>
              </w:rPr>
              <w:t xml:space="preserve"> galvenie būvdarbu veicēji izvēlējās dažādus risinājumus attiecībā uz pārtraukum</w:t>
            </w:r>
            <w:r w:rsidR="006C1BD2" w:rsidRPr="002C30C1">
              <w:rPr>
                <w:rFonts w:ascii="Times New Roman" w:eastAsia="Times New Roman" w:hAnsi="Times New Roman" w:cs="Times New Roman"/>
                <w:iCs/>
                <w:sz w:val="24"/>
                <w:szCs w:val="24"/>
                <w:lang w:eastAsia="lv-LV"/>
              </w:rPr>
              <w:t>u</w:t>
            </w:r>
            <w:r w:rsidR="00204D9B" w:rsidRPr="002C30C1">
              <w:rPr>
                <w:rFonts w:ascii="Times New Roman" w:eastAsia="Times New Roman" w:hAnsi="Times New Roman" w:cs="Times New Roman"/>
                <w:iCs/>
                <w:sz w:val="24"/>
                <w:szCs w:val="24"/>
                <w:lang w:eastAsia="lv-LV"/>
              </w:rPr>
              <w:t xml:space="preserve"> uzskaiti EDLUS – to ietverot vai neietverot EDLUS uzskaitītajos datos</w:t>
            </w:r>
            <w:r w:rsidR="006C1BD2" w:rsidRPr="002C30C1">
              <w:rPr>
                <w:rFonts w:ascii="Times New Roman" w:eastAsia="Times New Roman" w:hAnsi="Times New Roman" w:cs="Times New Roman"/>
                <w:iCs/>
                <w:sz w:val="24"/>
                <w:szCs w:val="24"/>
                <w:lang w:eastAsia="lv-LV"/>
              </w:rPr>
              <w:t>. Pašlaik likums “Par nodokļiem un nodevām” paredz, ka EDLUS reģistrētie dati par būvlaukumā nodarbinātas personas darba stundām kalendāra mēneša ietvaros par 10 procentiem var atšķirties no faktiski uzskaitītajām darba stundām, kas izmantotas darba samaksas aprēķināšanai par darbu būvlaukumā.</w:t>
            </w:r>
          </w:p>
          <w:p w14:paraId="003CEB32" w14:textId="427F2084" w:rsidR="00697743" w:rsidRPr="002C30C1" w:rsidRDefault="0069774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Ņemot vērā, ka</w:t>
            </w:r>
            <w:r w:rsidR="00E56CE5" w:rsidRPr="002C30C1">
              <w:rPr>
                <w:rFonts w:ascii="Times New Roman" w:eastAsia="Times New Roman" w:hAnsi="Times New Roman" w:cs="Times New Roman"/>
                <w:iCs/>
                <w:sz w:val="24"/>
                <w:szCs w:val="24"/>
                <w:lang w:eastAsia="lv-LV"/>
              </w:rPr>
              <w:t xml:space="preserve"> Projekts paredz </w:t>
            </w:r>
            <w:r w:rsidR="00BD6BD6" w:rsidRPr="002C30C1">
              <w:rPr>
                <w:rFonts w:ascii="Times New Roman" w:eastAsia="Times New Roman" w:hAnsi="Times New Roman" w:cs="Times New Roman"/>
                <w:iCs/>
                <w:sz w:val="24"/>
                <w:szCs w:val="24"/>
                <w:lang w:eastAsia="lv-LV"/>
              </w:rPr>
              <w:t xml:space="preserve">EDLUS uzskaitītajos </w:t>
            </w:r>
            <w:r w:rsidRPr="002C30C1">
              <w:rPr>
                <w:rFonts w:ascii="Times New Roman" w:eastAsia="Times New Roman" w:hAnsi="Times New Roman" w:cs="Times New Roman"/>
                <w:iCs/>
                <w:sz w:val="24"/>
                <w:szCs w:val="24"/>
                <w:lang w:eastAsia="lv-LV"/>
              </w:rPr>
              <w:t>dat</w:t>
            </w:r>
            <w:r w:rsidR="00E56CE5" w:rsidRPr="002C30C1">
              <w:rPr>
                <w:rFonts w:ascii="Times New Roman" w:eastAsia="Times New Roman" w:hAnsi="Times New Roman" w:cs="Times New Roman"/>
                <w:iCs/>
                <w:sz w:val="24"/>
                <w:szCs w:val="24"/>
                <w:lang w:eastAsia="lv-LV"/>
              </w:rPr>
              <w:t>os</w:t>
            </w:r>
            <w:r w:rsidRPr="002C30C1">
              <w:rPr>
                <w:rFonts w:ascii="Times New Roman" w:eastAsia="Times New Roman" w:hAnsi="Times New Roman" w:cs="Times New Roman"/>
                <w:iCs/>
                <w:sz w:val="24"/>
                <w:szCs w:val="24"/>
                <w:lang w:eastAsia="lv-LV"/>
              </w:rPr>
              <w:t xml:space="preserve"> ietver</w:t>
            </w:r>
            <w:r w:rsidR="00E56CE5" w:rsidRPr="002C30C1">
              <w:rPr>
                <w:rFonts w:ascii="Times New Roman" w:eastAsia="Times New Roman" w:hAnsi="Times New Roman" w:cs="Times New Roman"/>
                <w:iCs/>
                <w:sz w:val="24"/>
                <w:szCs w:val="24"/>
                <w:lang w:eastAsia="lv-LV"/>
              </w:rPr>
              <w:t>t</w:t>
            </w:r>
            <w:r w:rsidRPr="002C30C1">
              <w:rPr>
                <w:rFonts w:ascii="Times New Roman" w:eastAsia="Times New Roman" w:hAnsi="Times New Roman" w:cs="Times New Roman"/>
                <w:iCs/>
                <w:sz w:val="24"/>
                <w:szCs w:val="24"/>
                <w:lang w:eastAsia="lv-LV"/>
              </w:rPr>
              <w:t xml:space="preserve"> arī darba tiesiskās attiecības reglamentējošajos normatīvajos aktos paredzētos pārtraukumu</w:t>
            </w:r>
            <w:r w:rsidR="00A817C3"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darbā,</w:t>
            </w:r>
            <w:r w:rsidR="00A817C3" w:rsidRPr="002C30C1">
              <w:rPr>
                <w:rFonts w:ascii="Times New Roman" w:eastAsia="Times New Roman" w:hAnsi="Times New Roman" w:cs="Times New Roman"/>
                <w:iCs/>
                <w:sz w:val="24"/>
                <w:szCs w:val="24"/>
                <w:lang w:eastAsia="lv-LV"/>
              </w:rPr>
              <w:t xml:space="preserve"> </w:t>
            </w:r>
            <w:r w:rsidR="00954151" w:rsidRPr="002C30C1">
              <w:rPr>
                <w:rFonts w:ascii="Times New Roman" w:eastAsia="Times New Roman" w:hAnsi="Times New Roman" w:cs="Times New Roman"/>
                <w:iCs/>
                <w:sz w:val="24"/>
                <w:szCs w:val="24"/>
                <w:lang w:eastAsia="lv-LV"/>
              </w:rPr>
              <w:t>kā arī EDLUS uzskaitītajos datos tiek ietverts laiks no</w:t>
            </w:r>
            <w:r w:rsidR="00954151" w:rsidRPr="002C30C1">
              <w:t xml:space="preserve"> </w:t>
            </w:r>
            <w:r w:rsidR="00954151" w:rsidRPr="002C30C1">
              <w:rPr>
                <w:rFonts w:ascii="Times New Roman" w:eastAsia="Times New Roman" w:hAnsi="Times New Roman" w:cs="Times New Roman"/>
                <w:iCs/>
                <w:sz w:val="24"/>
                <w:szCs w:val="24"/>
                <w:lang w:eastAsia="lv-LV"/>
              </w:rPr>
              <w:t xml:space="preserve">brīža, kad persona ieradās būvlaukumā, līdz brīdim, kad persona to atstāja, </w:t>
            </w:r>
            <w:r w:rsidR="00A817C3" w:rsidRPr="002C30C1">
              <w:rPr>
                <w:rFonts w:ascii="Times New Roman" w:eastAsia="Times New Roman" w:hAnsi="Times New Roman" w:cs="Times New Roman"/>
                <w:iCs/>
                <w:sz w:val="24"/>
                <w:szCs w:val="24"/>
                <w:lang w:eastAsia="lv-LV"/>
              </w:rPr>
              <w:t>pieļaujamā novirze (</w:t>
            </w:r>
            <w:r w:rsidR="00120975" w:rsidRPr="002C30C1">
              <w:rPr>
                <w:rFonts w:ascii="Times New Roman" w:eastAsia="Times New Roman" w:hAnsi="Times New Roman" w:cs="Times New Roman"/>
                <w:iCs/>
                <w:sz w:val="24"/>
                <w:szCs w:val="24"/>
                <w:lang w:eastAsia="lv-LV"/>
              </w:rPr>
              <w:t>atšķir</w:t>
            </w:r>
            <w:r w:rsidR="00A817C3" w:rsidRPr="002C30C1">
              <w:rPr>
                <w:rFonts w:ascii="Times New Roman" w:eastAsia="Times New Roman" w:hAnsi="Times New Roman" w:cs="Times New Roman"/>
                <w:iCs/>
                <w:sz w:val="24"/>
                <w:szCs w:val="24"/>
                <w:lang w:eastAsia="lv-LV"/>
              </w:rPr>
              <w:t>ība starp</w:t>
            </w:r>
            <w:r w:rsidR="00120975" w:rsidRPr="002C30C1">
              <w:rPr>
                <w:rFonts w:ascii="Times New Roman" w:eastAsia="Times New Roman" w:hAnsi="Times New Roman" w:cs="Times New Roman"/>
                <w:iCs/>
                <w:sz w:val="24"/>
                <w:szCs w:val="24"/>
                <w:lang w:eastAsia="lv-LV"/>
              </w:rPr>
              <w:t xml:space="preserve"> faktiski uzskaitītā</w:t>
            </w:r>
            <w:r w:rsidR="00A817C3" w:rsidRPr="002C30C1">
              <w:rPr>
                <w:rFonts w:ascii="Times New Roman" w:eastAsia="Times New Roman" w:hAnsi="Times New Roman" w:cs="Times New Roman"/>
                <w:iCs/>
                <w:sz w:val="24"/>
                <w:szCs w:val="24"/>
                <w:lang w:eastAsia="lv-LV"/>
              </w:rPr>
              <w:t>jam</w:t>
            </w:r>
            <w:r w:rsidR="00120975" w:rsidRPr="002C30C1">
              <w:rPr>
                <w:rFonts w:ascii="Times New Roman" w:eastAsia="Times New Roman" w:hAnsi="Times New Roman" w:cs="Times New Roman"/>
                <w:iCs/>
                <w:sz w:val="24"/>
                <w:szCs w:val="24"/>
                <w:lang w:eastAsia="lv-LV"/>
              </w:rPr>
              <w:t xml:space="preserve"> darba stund</w:t>
            </w:r>
            <w:r w:rsidR="00A817C3" w:rsidRPr="002C30C1">
              <w:rPr>
                <w:rFonts w:ascii="Times New Roman" w:eastAsia="Times New Roman" w:hAnsi="Times New Roman" w:cs="Times New Roman"/>
                <w:iCs/>
                <w:sz w:val="24"/>
                <w:szCs w:val="24"/>
                <w:lang w:eastAsia="lv-LV"/>
              </w:rPr>
              <w:t>ām un</w:t>
            </w:r>
            <w:r w:rsidR="00120975" w:rsidRPr="002C30C1">
              <w:rPr>
                <w:rFonts w:ascii="Times New Roman" w:eastAsia="Times New Roman" w:hAnsi="Times New Roman" w:cs="Times New Roman"/>
                <w:iCs/>
                <w:sz w:val="24"/>
                <w:szCs w:val="24"/>
                <w:lang w:eastAsia="lv-LV"/>
              </w:rPr>
              <w:t xml:space="preserve"> </w:t>
            </w:r>
            <w:r w:rsidR="00A817C3" w:rsidRPr="002C30C1">
              <w:rPr>
                <w:rFonts w:ascii="Times New Roman" w:eastAsia="Times New Roman" w:hAnsi="Times New Roman" w:cs="Times New Roman"/>
                <w:iCs/>
                <w:sz w:val="24"/>
                <w:szCs w:val="24"/>
                <w:lang w:eastAsia="lv-LV"/>
              </w:rPr>
              <w:t xml:space="preserve">darba stundām, kas izmantotas </w:t>
            </w:r>
            <w:r w:rsidR="00120975" w:rsidRPr="002C30C1">
              <w:rPr>
                <w:rFonts w:ascii="Times New Roman" w:eastAsia="Times New Roman" w:hAnsi="Times New Roman" w:cs="Times New Roman"/>
                <w:iCs/>
                <w:sz w:val="24"/>
                <w:szCs w:val="24"/>
                <w:lang w:eastAsia="lv-LV"/>
              </w:rPr>
              <w:t>darba samaksas aprēķināšanai par darbu būvlaukumā</w:t>
            </w:r>
            <w:r w:rsidR="00A817C3" w:rsidRPr="002C30C1">
              <w:rPr>
                <w:rFonts w:ascii="Times New Roman" w:eastAsia="Times New Roman" w:hAnsi="Times New Roman" w:cs="Times New Roman"/>
                <w:iCs/>
                <w:sz w:val="24"/>
                <w:szCs w:val="24"/>
                <w:lang w:eastAsia="lv-LV"/>
              </w:rPr>
              <w:t>) ir palielināta no 10% līdz 20%</w:t>
            </w:r>
            <w:r w:rsidR="00871E72" w:rsidRPr="002C30C1">
              <w:rPr>
                <w:rFonts w:ascii="Times New Roman" w:eastAsia="Times New Roman" w:hAnsi="Times New Roman" w:cs="Times New Roman"/>
                <w:iCs/>
                <w:sz w:val="24"/>
                <w:szCs w:val="24"/>
                <w:lang w:eastAsia="lv-LV"/>
              </w:rPr>
              <w:t>.</w:t>
            </w:r>
          </w:p>
          <w:p w14:paraId="797ACF44" w14:textId="44217A50" w:rsidR="00C650C8" w:rsidRPr="002C30C1" w:rsidRDefault="00C650C8"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Ņemot vērā to, ka elektroniskā darba laika uzskaite </w:t>
            </w:r>
            <w:r w:rsidR="00DF699F" w:rsidRPr="002C30C1">
              <w:rPr>
                <w:rFonts w:ascii="Times New Roman" w:eastAsia="Times New Roman" w:hAnsi="Times New Roman" w:cs="Times New Roman"/>
                <w:iCs/>
                <w:sz w:val="24"/>
                <w:szCs w:val="24"/>
                <w:lang w:eastAsia="lv-LV"/>
              </w:rPr>
              <w:t>ir</w:t>
            </w:r>
            <w:r w:rsidRPr="002C30C1">
              <w:rPr>
                <w:rFonts w:ascii="Times New Roman" w:eastAsia="Times New Roman" w:hAnsi="Times New Roman" w:cs="Times New Roman"/>
                <w:iCs/>
                <w:sz w:val="24"/>
                <w:szCs w:val="24"/>
                <w:lang w:eastAsia="lv-LV"/>
              </w:rPr>
              <w:t xml:space="preserve"> jauns risin</w:t>
            </w:r>
            <w:r w:rsidR="00DF699F" w:rsidRPr="002C30C1">
              <w:rPr>
                <w:rFonts w:ascii="Times New Roman" w:eastAsia="Times New Roman" w:hAnsi="Times New Roman" w:cs="Times New Roman"/>
                <w:iCs/>
                <w:sz w:val="24"/>
                <w:szCs w:val="24"/>
                <w:lang w:eastAsia="lv-LV"/>
              </w:rPr>
              <w:t xml:space="preserve">ājums ēnu ekonomikas ierobežošanai būvniecībā, </w:t>
            </w:r>
            <w:r w:rsidR="00A817C3" w:rsidRPr="002C30C1">
              <w:rPr>
                <w:rFonts w:ascii="Times New Roman" w:eastAsia="Times New Roman" w:hAnsi="Times New Roman" w:cs="Times New Roman"/>
                <w:iCs/>
                <w:sz w:val="24"/>
                <w:szCs w:val="24"/>
                <w:lang w:eastAsia="lv-LV"/>
              </w:rPr>
              <w:t xml:space="preserve">pašlaik </w:t>
            </w:r>
            <w:r w:rsidR="00DF699F" w:rsidRPr="002C30C1">
              <w:rPr>
                <w:rFonts w:ascii="Times New Roman" w:eastAsia="Times New Roman" w:hAnsi="Times New Roman" w:cs="Times New Roman"/>
                <w:iCs/>
                <w:sz w:val="24"/>
                <w:szCs w:val="24"/>
                <w:lang w:eastAsia="lv-LV"/>
              </w:rPr>
              <w:t>likuma</w:t>
            </w:r>
            <w:r w:rsidRPr="002C30C1">
              <w:rPr>
                <w:rFonts w:ascii="Times New Roman" w:eastAsia="Times New Roman" w:hAnsi="Times New Roman" w:cs="Times New Roman"/>
                <w:iCs/>
                <w:sz w:val="24"/>
                <w:szCs w:val="24"/>
                <w:lang w:eastAsia="lv-LV"/>
              </w:rPr>
              <w:t xml:space="preserve"> “Par nodokļiem un nodevām” pārejas noteikumu 198.punkts paredz</w:t>
            </w:r>
            <w:r w:rsidR="00A817C3" w:rsidRPr="002C30C1">
              <w:rPr>
                <w:rFonts w:ascii="Times New Roman" w:eastAsia="Times New Roman" w:hAnsi="Times New Roman" w:cs="Times New Roman"/>
                <w:iCs/>
                <w:sz w:val="24"/>
                <w:szCs w:val="24"/>
                <w:lang w:eastAsia="lv-LV"/>
              </w:rPr>
              <w:t>, ka</w:t>
            </w:r>
            <w:r w:rsidRPr="002C30C1">
              <w:rPr>
                <w:rFonts w:ascii="Times New Roman" w:eastAsia="Times New Roman" w:hAnsi="Times New Roman" w:cs="Times New Roman"/>
                <w:iCs/>
                <w:sz w:val="24"/>
                <w:szCs w:val="24"/>
                <w:lang w:eastAsia="lv-LV"/>
              </w:rPr>
              <w:t xml:space="preserve"> periodā no 2018. gada 1. oktobra līdz 2019.gada 30.septembrim </w:t>
            </w:r>
            <w:r w:rsidR="00144226" w:rsidRPr="002C30C1">
              <w:rPr>
                <w:rFonts w:ascii="Times New Roman" w:eastAsia="Times New Roman" w:hAnsi="Times New Roman" w:cs="Times New Roman"/>
                <w:iCs/>
                <w:sz w:val="24"/>
                <w:szCs w:val="24"/>
                <w:lang w:eastAsia="lv-LV"/>
              </w:rPr>
              <w:t xml:space="preserve">šī pieļaujamā novirze var būt </w:t>
            </w:r>
            <w:r w:rsidRPr="002C30C1">
              <w:rPr>
                <w:rFonts w:ascii="Times New Roman" w:eastAsia="Times New Roman" w:hAnsi="Times New Roman" w:cs="Times New Roman"/>
                <w:iCs/>
                <w:sz w:val="24"/>
                <w:szCs w:val="24"/>
                <w:lang w:eastAsia="lv-LV"/>
              </w:rPr>
              <w:t xml:space="preserve">15 </w:t>
            </w:r>
            <w:r w:rsidR="00DF699F" w:rsidRPr="002C30C1">
              <w:rPr>
                <w:rFonts w:ascii="Times New Roman" w:eastAsia="Times New Roman" w:hAnsi="Times New Roman" w:cs="Times New Roman"/>
                <w:iCs/>
                <w:sz w:val="24"/>
                <w:szCs w:val="24"/>
                <w:lang w:eastAsia="lv-LV"/>
              </w:rPr>
              <w:t xml:space="preserve">%. </w:t>
            </w:r>
          </w:p>
          <w:p w14:paraId="534B2A61" w14:textId="209E3430" w:rsidR="00DF699F" w:rsidRPr="002C30C1" w:rsidRDefault="00A817C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 kā</w:t>
            </w:r>
            <w:r w:rsidR="00DF699F" w:rsidRPr="002C30C1">
              <w:rPr>
                <w:rFonts w:ascii="Times New Roman" w:eastAsia="Times New Roman" w:hAnsi="Times New Roman" w:cs="Times New Roman"/>
                <w:iCs/>
                <w:sz w:val="24"/>
                <w:szCs w:val="24"/>
                <w:lang w:eastAsia="lv-LV"/>
              </w:rPr>
              <w:t xml:space="preserve"> Projektā paredzēts palielināt </w:t>
            </w:r>
            <w:r w:rsidRPr="002C30C1">
              <w:rPr>
                <w:rFonts w:ascii="Times New Roman" w:eastAsia="Times New Roman" w:hAnsi="Times New Roman" w:cs="Times New Roman"/>
                <w:iCs/>
                <w:sz w:val="24"/>
                <w:szCs w:val="24"/>
                <w:lang w:eastAsia="lv-LV"/>
              </w:rPr>
              <w:t xml:space="preserve">šo pieļaujamo novirzi </w:t>
            </w:r>
            <w:r w:rsidR="00DF699F" w:rsidRPr="002C30C1">
              <w:rPr>
                <w:rFonts w:ascii="Times New Roman" w:eastAsia="Times New Roman" w:hAnsi="Times New Roman" w:cs="Times New Roman"/>
                <w:iCs/>
                <w:sz w:val="24"/>
                <w:szCs w:val="24"/>
                <w:lang w:eastAsia="lv-LV"/>
              </w:rPr>
              <w:t xml:space="preserve">līdz 20%, </w:t>
            </w:r>
            <w:r w:rsidRPr="002C30C1">
              <w:rPr>
                <w:rFonts w:ascii="Times New Roman" w:eastAsia="Times New Roman" w:hAnsi="Times New Roman" w:cs="Times New Roman"/>
                <w:iCs/>
                <w:sz w:val="24"/>
                <w:szCs w:val="24"/>
                <w:lang w:eastAsia="lv-LV"/>
              </w:rPr>
              <w:t>paredzot</w:t>
            </w:r>
            <w:r w:rsidR="00DF699F" w:rsidRPr="002C30C1">
              <w:rPr>
                <w:rFonts w:ascii="Times New Roman" w:eastAsia="Times New Roman" w:hAnsi="Times New Roman" w:cs="Times New Roman"/>
                <w:iCs/>
                <w:sz w:val="24"/>
                <w:szCs w:val="24"/>
                <w:lang w:eastAsia="lv-LV"/>
              </w:rPr>
              <w:t xml:space="preserve"> labvēlīgāk</w:t>
            </w:r>
            <w:r w:rsidRPr="002C30C1">
              <w:rPr>
                <w:rFonts w:ascii="Times New Roman" w:eastAsia="Times New Roman" w:hAnsi="Times New Roman" w:cs="Times New Roman"/>
                <w:iCs/>
                <w:sz w:val="24"/>
                <w:szCs w:val="24"/>
                <w:lang w:eastAsia="lv-LV"/>
              </w:rPr>
              <w:t>u</w:t>
            </w:r>
            <w:r w:rsidR="00DF699F" w:rsidRPr="002C30C1">
              <w:rPr>
                <w:rFonts w:ascii="Times New Roman" w:eastAsia="Times New Roman" w:hAnsi="Times New Roman" w:cs="Times New Roman"/>
                <w:iCs/>
                <w:sz w:val="24"/>
                <w:szCs w:val="24"/>
                <w:lang w:eastAsia="lv-LV"/>
              </w:rPr>
              <w:t xml:space="preserve"> nosacījum</w:t>
            </w:r>
            <w:r w:rsidRPr="002C30C1">
              <w:rPr>
                <w:rFonts w:ascii="Times New Roman" w:eastAsia="Times New Roman" w:hAnsi="Times New Roman" w:cs="Times New Roman"/>
                <w:iCs/>
                <w:sz w:val="24"/>
                <w:szCs w:val="24"/>
                <w:lang w:eastAsia="lv-LV"/>
              </w:rPr>
              <w:t>u</w:t>
            </w:r>
            <w:r w:rsidR="00144226" w:rsidRPr="002C30C1">
              <w:rPr>
                <w:rFonts w:ascii="Times New Roman" w:eastAsia="Times New Roman" w:hAnsi="Times New Roman" w:cs="Times New Roman"/>
                <w:iCs/>
                <w:sz w:val="24"/>
                <w:szCs w:val="24"/>
                <w:lang w:eastAsia="lv-LV"/>
              </w:rPr>
              <w:t>,</w:t>
            </w:r>
            <w:r w:rsidR="00DF699F" w:rsidRPr="002C30C1">
              <w:rPr>
                <w:rFonts w:ascii="Times New Roman" w:eastAsia="Times New Roman" w:hAnsi="Times New Roman" w:cs="Times New Roman"/>
                <w:iCs/>
                <w:sz w:val="24"/>
                <w:szCs w:val="24"/>
                <w:lang w:eastAsia="lv-LV"/>
              </w:rPr>
              <w:t xml:space="preserve"> un lai to varētu piemērot jau no </w:t>
            </w:r>
            <w:r w:rsidR="00954151" w:rsidRPr="002C30C1">
              <w:rPr>
                <w:rFonts w:ascii="Times New Roman" w:eastAsia="Times New Roman" w:hAnsi="Times New Roman" w:cs="Times New Roman"/>
                <w:iCs/>
                <w:sz w:val="24"/>
                <w:szCs w:val="24"/>
                <w:lang w:eastAsia="lv-LV"/>
              </w:rPr>
              <w:t>grozījumu</w:t>
            </w:r>
            <w:r w:rsidR="00DF699F" w:rsidRPr="002C30C1">
              <w:rPr>
                <w:rFonts w:ascii="Times New Roman" w:eastAsia="Times New Roman" w:hAnsi="Times New Roman" w:cs="Times New Roman"/>
                <w:iCs/>
                <w:sz w:val="24"/>
                <w:szCs w:val="24"/>
                <w:lang w:eastAsia="lv-LV"/>
              </w:rPr>
              <w:t xml:space="preserve"> spēkā stāšanās brīža</w:t>
            </w:r>
            <w:r w:rsidR="00144226" w:rsidRPr="002C30C1">
              <w:rPr>
                <w:rFonts w:ascii="Times New Roman" w:eastAsia="Times New Roman" w:hAnsi="Times New Roman" w:cs="Times New Roman"/>
                <w:iCs/>
                <w:sz w:val="24"/>
                <w:szCs w:val="24"/>
                <w:lang w:eastAsia="lv-LV"/>
              </w:rPr>
              <w:t>,</w:t>
            </w:r>
            <w:r w:rsidR="00DF699F" w:rsidRPr="002C30C1">
              <w:rPr>
                <w:rFonts w:ascii="Times New Roman" w:eastAsia="Times New Roman" w:hAnsi="Times New Roman" w:cs="Times New Roman"/>
                <w:iCs/>
                <w:sz w:val="24"/>
                <w:szCs w:val="24"/>
                <w:lang w:eastAsia="lv-LV"/>
              </w:rPr>
              <w:t xml:space="preserve"> nepieciešams precizēt likuma “Par nodokļiem un nodevām” pārejas noteikumu 197. un 198.punktu</w:t>
            </w:r>
            <w:r w:rsidR="00144226" w:rsidRPr="002C30C1">
              <w:rPr>
                <w:rFonts w:ascii="Times New Roman" w:eastAsia="Times New Roman" w:hAnsi="Times New Roman" w:cs="Times New Roman"/>
                <w:iCs/>
                <w:sz w:val="24"/>
                <w:szCs w:val="24"/>
                <w:lang w:eastAsia="lv-LV"/>
              </w:rPr>
              <w:t>,</w:t>
            </w:r>
            <w:r w:rsidR="00723F77" w:rsidRPr="002C30C1">
              <w:rPr>
                <w:rFonts w:ascii="Times New Roman" w:eastAsia="Times New Roman" w:hAnsi="Times New Roman" w:cs="Times New Roman"/>
                <w:iCs/>
                <w:sz w:val="24"/>
                <w:szCs w:val="24"/>
                <w:lang w:eastAsia="lv-LV"/>
              </w:rPr>
              <w:t xml:space="preserve"> proti,</w:t>
            </w:r>
            <w:r w:rsidR="00144226" w:rsidRPr="002C30C1">
              <w:rPr>
                <w:rFonts w:ascii="Times New Roman" w:eastAsia="Times New Roman" w:hAnsi="Times New Roman" w:cs="Times New Roman"/>
                <w:iCs/>
                <w:sz w:val="24"/>
                <w:szCs w:val="24"/>
                <w:lang w:eastAsia="lv-LV"/>
              </w:rPr>
              <w:t xml:space="preserve"> 197.punktā svītrot atsauci uz likuma “Par nodokļiem un nodevām” 115.panta otro daļu un</w:t>
            </w:r>
            <w:r w:rsidR="00723F77" w:rsidRPr="002C30C1">
              <w:rPr>
                <w:rFonts w:ascii="Times New Roman" w:eastAsia="Times New Roman" w:hAnsi="Times New Roman" w:cs="Times New Roman"/>
                <w:iCs/>
                <w:sz w:val="24"/>
                <w:szCs w:val="24"/>
                <w:lang w:eastAsia="lv-LV"/>
              </w:rPr>
              <w:t xml:space="preserve"> precizēt</w:t>
            </w:r>
            <w:r w:rsidR="00144226" w:rsidRPr="002C30C1">
              <w:rPr>
                <w:rFonts w:ascii="Times New Roman" w:eastAsia="Times New Roman" w:hAnsi="Times New Roman" w:cs="Times New Roman"/>
                <w:iCs/>
                <w:sz w:val="24"/>
                <w:szCs w:val="24"/>
                <w:lang w:eastAsia="lv-LV"/>
              </w:rPr>
              <w:t xml:space="preserve"> 198.punkta 2.apakšpunkt</w:t>
            </w:r>
            <w:r w:rsidR="00723F77" w:rsidRPr="002C30C1">
              <w:rPr>
                <w:rFonts w:ascii="Times New Roman" w:eastAsia="Times New Roman" w:hAnsi="Times New Roman" w:cs="Times New Roman"/>
                <w:iCs/>
                <w:sz w:val="24"/>
                <w:szCs w:val="24"/>
                <w:lang w:eastAsia="lv-LV"/>
              </w:rPr>
              <w:t>u,</w:t>
            </w:r>
            <w:r w:rsidR="00144226"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nosakot</w:t>
            </w:r>
            <w:r w:rsidR="00144226" w:rsidRPr="002C30C1">
              <w:rPr>
                <w:rFonts w:ascii="Times New Roman" w:eastAsia="Times New Roman" w:hAnsi="Times New Roman" w:cs="Times New Roman"/>
                <w:iCs/>
                <w:sz w:val="24"/>
                <w:szCs w:val="24"/>
                <w:lang w:eastAsia="lv-LV"/>
              </w:rPr>
              <w:t xml:space="preserve">, ka  </w:t>
            </w:r>
            <w:r w:rsidR="00144226" w:rsidRPr="002C30C1">
              <w:rPr>
                <w:rFonts w:ascii="Times New Roman" w:eastAsia="Times New Roman" w:hAnsi="Times New Roman" w:cs="Times New Roman"/>
                <w:iCs/>
                <w:sz w:val="24"/>
                <w:szCs w:val="24"/>
                <w:lang w:eastAsia="lv-LV"/>
              </w:rPr>
              <w:lastRenderedPageBreak/>
              <w:t>pieļaujam</w:t>
            </w:r>
            <w:r w:rsidR="00FB151A" w:rsidRPr="002C30C1">
              <w:rPr>
                <w:rFonts w:ascii="Times New Roman" w:eastAsia="Times New Roman" w:hAnsi="Times New Roman" w:cs="Times New Roman"/>
                <w:iCs/>
                <w:sz w:val="24"/>
                <w:szCs w:val="24"/>
                <w:lang w:eastAsia="lv-LV"/>
              </w:rPr>
              <w:t>ā</w:t>
            </w:r>
            <w:r w:rsidR="00144226" w:rsidRPr="002C30C1">
              <w:rPr>
                <w:rFonts w:ascii="Times New Roman" w:eastAsia="Times New Roman" w:hAnsi="Times New Roman" w:cs="Times New Roman"/>
                <w:iCs/>
                <w:sz w:val="24"/>
                <w:szCs w:val="24"/>
                <w:lang w:eastAsia="lv-LV"/>
              </w:rPr>
              <w:t xml:space="preserve"> novirz</w:t>
            </w:r>
            <w:r w:rsidR="00723F77" w:rsidRPr="002C30C1">
              <w:rPr>
                <w:rFonts w:ascii="Times New Roman" w:eastAsia="Times New Roman" w:hAnsi="Times New Roman" w:cs="Times New Roman"/>
                <w:iCs/>
                <w:sz w:val="24"/>
                <w:szCs w:val="24"/>
                <w:lang w:eastAsia="lv-LV"/>
              </w:rPr>
              <w:t>e</w:t>
            </w:r>
            <w:r w:rsidR="00144226" w:rsidRPr="002C30C1">
              <w:rPr>
                <w:rFonts w:ascii="Times New Roman" w:eastAsia="Times New Roman" w:hAnsi="Times New Roman" w:cs="Times New Roman"/>
                <w:iCs/>
                <w:sz w:val="24"/>
                <w:szCs w:val="24"/>
                <w:lang w:eastAsia="lv-LV"/>
              </w:rPr>
              <w:t xml:space="preserve"> </w:t>
            </w:r>
            <w:r w:rsidR="00723F77" w:rsidRPr="002C30C1">
              <w:rPr>
                <w:rFonts w:ascii="Times New Roman" w:eastAsia="Times New Roman" w:hAnsi="Times New Roman" w:cs="Times New Roman"/>
                <w:iCs/>
                <w:sz w:val="24"/>
                <w:szCs w:val="24"/>
                <w:lang w:eastAsia="lv-LV"/>
              </w:rPr>
              <w:t xml:space="preserve">15% apmērā </w:t>
            </w:r>
            <w:r w:rsidR="00144226" w:rsidRPr="002C30C1">
              <w:rPr>
                <w:rFonts w:ascii="Times New Roman" w:eastAsia="Times New Roman" w:hAnsi="Times New Roman" w:cs="Times New Roman"/>
                <w:iCs/>
                <w:sz w:val="24"/>
                <w:szCs w:val="24"/>
                <w:lang w:eastAsia="lv-LV"/>
              </w:rPr>
              <w:t>ir piemērojam</w:t>
            </w:r>
            <w:r w:rsidR="00723F77" w:rsidRPr="002C30C1">
              <w:rPr>
                <w:rFonts w:ascii="Times New Roman" w:eastAsia="Times New Roman" w:hAnsi="Times New Roman" w:cs="Times New Roman"/>
                <w:iCs/>
                <w:sz w:val="24"/>
                <w:szCs w:val="24"/>
                <w:lang w:eastAsia="lv-LV"/>
              </w:rPr>
              <w:t>a</w:t>
            </w:r>
            <w:r w:rsidR="00144226" w:rsidRPr="002C30C1">
              <w:rPr>
                <w:rFonts w:ascii="Times New Roman" w:eastAsia="Times New Roman" w:hAnsi="Times New Roman" w:cs="Times New Roman"/>
                <w:iCs/>
                <w:sz w:val="24"/>
                <w:szCs w:val="24"/>
                <w:lang w:eastAsia="lv-LV"/>
              </w:rPr>
              <w:t xml:space="preserve"> līdz 2018. gada 31. decembrim.</w:t>
            </w:r>
          </w:p>
          <w:p w14:paraId="78685D61" w14:textId="0725DE86" w:rsidR="00B85331" w:rsidRPr="002C30C1" w:rsidRDefault="00B85331"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EDLUS datu glabāšanas termiņš</w:t>
            </w:r>
          </w:p>
          <w:p w14:paraId="740B6EB6" w14:textId="7CF25489" w:rsidR="00170937" w:rsidRPr="002C30C1" w:rsidRDefault="00723F77"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Šobrīd l</w:t>
            </w:r>
            <w:r w:rsidR="00AF70A7" w:rsidRPr="002C30C1">
              <w:rPr>
                <w:rFonts w:ascii="Times New Roman" w:eastAsia="Times New Roman" w:hAnsi="Times New Roman" w:cs="Times New Roman"/>
                <w:iCs/>
                <w:sz w:val="24"/>
                <w:szCs w:val="24"/>
                <w:lang w:eastAsia="lv-LV"/>
              </w:rPr>
              <w:t>ikums “Par nodokļiem un nodevām” paredz, ka</w:t>
            </w:r>
            <w:r w:rsidR="00170937" w:rsidRPr="002C30C1">
              <w:rPr>
                <w:rFonts w:ascii="Times New Roman" w:eastAsia="Times New Roman" w:hAnsi="Times New Roman" w:cs="Times New Roman"/>
                <w:iCs/>
                <w:sz w:val="24"/>
                <w:szCs w:val="24"/>
                <w:lang w:eastAsia="lv-LV"/>
              </w:rPr>
              <w:t xml:space="preserve"> </w:t>
            </w:r>
            <w:r w:rsidR="008E5234" w:rsidRPr="002C30C1">
              <w:rPr>
                <w:rFonts w:ascii="Times New Roman" w:eastAsia="Times New Roman" w:hAnsi="Times New Roman" w:cs="Times New Roman"/>
                <w:iCs/>
                <w:sz w:val="24"/>
                <w:szCs w:val="24"/>
                <w:lang w:eastAsia="lv-LV"/>
              </w:rPr>
              <w:t>EDLUS</w:t>
            </w:r>
            <w:r w:rsidR="00170937" w:rsidRPr="002C30C1">
              <w:rPr>
                <w:rFonts w:ascii="Times New Roman" w:eastAsia="Times New Roman" w:hAnsi="Times New Roman" w:cs="Times New Roman"/>
                <w:iCs/>
                <w:sz w:val="24"/>
                <w:szCs w:val="24"/>
                <w:lang w:eastAsia="lv-LV"/>
              </w:rPr>
              <w:t xml:space="preserve"> reģistrētie un uzkrātie dati pēc to nodošanas iekļaušanai VEDLUDB dzēšami no EDLUS.</w:t>
            </w:r>
            <w:r w:rsidRPr="002C30C1">
              <w:rPr>
                <w:rFonts w:ascii="Times New Roman" w:eastAsia="Times New Roman" w:hAnsi="Times New Roman" w:cs="Times New Roman"/>
                <w:iCs/>
                <w:sz w:val="24"/>
                <w:szCs w:val="24"/>
                <w:lang w:eastAsia="lv-LV"/>
              </w:rPr>
              <w:t xml:space="preserve"> </w:t>
            </w:r>
            <w:r w:rsidR="00170937" w:rsidRPr="002C30C1">
              <w:rPr>
                <w:rFonts w:ascii="Times New Roman" w:eastAsia="Times New Roman" w:hAnsi="Times New Roman" w:cs="Times New Roman"/>
                <w:iCs/>
                <w:sz w:val="24"/>
                <w:szCs w:val="24"/>
                <w:lang w:eastAsia="lv-LV"/>
              </w:rPr>
              <w:t>Vienlaikus likums “Par nodokļiem un nodevām” paredz</w:t>
            </w:r>
            <w:r w:rsidR="00FB151A" w:rsidRPr="002C30C1">
              <w:rPr>
                <w:rFonts w:ascii="Times New Roman" w:eastAsia="Times New Roman" w:hAnsi="Times New Roman" w:cs="Times New Roman"/>
                <w:iCs/>
                <w:sz w:val="24"/>
                <w:szCs w:val="24"/>
                <w:lang w:eastAsia="lv-LV"/>
              </w:rPr>
              <w:t>, ka</w:t>
            </w:r>
            <w:r w:rsidR="00170937" w:rsidRPr="002C30C1">
              <w:rPr>
                <w:rFonts w:ascii="Times New Roman" w:eastAsia="Times New Roman" w:hAnsi="Times New Roman" w:cs="Times New Roman"/>
                <w:iCs/>
                <w:sz w:val="24"/>
                <w:szCs w:val="24"/>
                <w:lang w:eastAsia="lv-LV"/>
              </w:rPr>
              <w:t xml:space="preserve"> VEDLUDB turētājs nodrošina galvenā būvdarbu veicēja nodoto datu uzkrāšanu, glabāšanu, izsniegšanu un tiešsaistes piekļuvi kontrolējošām institūcijām trīs gadus no būvlaukumā nodarbināto personu darba laika uzskaites datu reģistrēšanas brīža </w:t>
            </w:r>
            <w:r w:rsidR="00BA67A1" w:rsidRPr="002C30C1">
              <w:rPr>
                <w:rFonts w:ascii="Times New Roman" w:eastAsia="Times New Roman" w:hAnsi="Times New Roman" w:cs="Times New Roman"/>
                <w:iCs/>
                <w:sz w:val="24"/>
                <w:szCs w:val="24"/>
                <w:lang w:eastAsia="lv-LV"/>
              </w:rPr>
              <w:t>EDLUS</w:t>
            </w:r>
            <w:r w:rsidR="00170937" w:rsidRPr="002C30C1">
              <w:rPr>
                <w:rFonts w:ascii="Times New Roman" w:eastAsia="Times New Roman" w:hAnsi="Times New Roman" w:cs="Times New Roman"/>
                <w:iCs/>
                <w:sz w:val="24"/>
                <w:szCs w:val="24"/>
                <w:lang w:eastAsia="lv-LV"/>
              </w:rPr>
              <w:t>.</w:t>
            </w:r>
          </w:p>
          <w:p w14:paraId="4963B550" w14:textId="77A2181B" w:rsidR="00170937" w:rsidRPr="002C30C1" w:rsidRDefault="00170937"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Savukārt </w:t>
            </w:r>
            <w:r w:rsidR="00723F77" w:rsidRPr="002C30C1">
              <w:rPr>
                <w:rFonts w:ascii="Times New Roman" w:eastAsia="Times New Roman" w:hAnsi="Times New Roman" w:cs="Times New Roman"/>
                <w:iCs/>
                <w:sz w:val="24"/>
                <w:szCs w:val="24"/>
                <w:lang w:eastAsia="lv-LV"/>
              </w:rPr>
              <w:t xml:space="preserve">ar </w:t>
            </w:r>
            <w:r w:rsidRPr="002C30C1">
              <w:rPr>
                <w:rFonts w:ascii="Times New Roman" w:eastAsia="Times New Roman" w:hAnsi="Times New Roman" w:cs="Times New Roman"/>
                <w:iCs/>
                <w:sz w:val="24"/>
                <w:szCs w:val="24"/>
                <w:lang w:eastAsia="lv-LV"/>
              </w:rPr>
              <w:t>Projekt</w:t>
            </w:r>
            <w:r w:rsidR="00723F77" w:rsidRPr="002C30C1">
              <w:rPr>
                <w:rFonts w:ascii="Times New Roman" w:eastAsia="Times New Roman" w:hAnsi="Times New Roman" w:cs="Times New Roman"/>
                <w:iCs/>
                <w:sz w:val="24"/>
                <w:szCs w:val="24"/>
                <w:lang w:eastAsia="lv-LV"/>
              </w:rPr>
              <w:t>u ir</w:t>
            </w:r>
            <w:r w:rsidRPr="002C30C1">
              <w:rPr>
                <w:rFonts w:ascii="Times New Roman" w:eastAsia="Times New Roman" w:hAnsi="Times New Roman" w:cs="Times New Roman"/>
                <w:iCs/>
                <w:sz w:val="24"/>
                <w:szCs w:val="24"/>
                <w:lang w:eastAsia="lv-LV"/>
              </w:rPr>
              <w:t xml:space="preserve"> paredz</w:t>
            </w:r>
            <w:r w:rsidR="00723F77" w:rsidRPr="002C30C1">
              <w:rPr>
                <w:rFonts w:ascii="Times New Roman" w:eastAsia="Times New Roman" w:hAnsi="Times New Roman" w:cs="Times New Roman"/>
                <w:iCs/>
                <w:sz w:val="24"/>
                <w:szCs w:val="24"/>
                <w:lang w:eastAsia="lv-LV"/>
              </w:rPr>
              <w:t>ēts</w:t>
            </w:r>
            <w:r w:rsidRPr="002C30C1">
              <w:rPr>
                <w:rFonts w:ascii="Times New Roman" w:eastAsia="Times New Roman" w:hAnsi="Times New Roman" w:cs="Times New Roman"/>
                <w:iCs/>
                <w:sz w:val="24"/>
                <w:szCs w:val="24"/>
                <w:lang w:eastAsia="lv-LV"/>
              </w:rPr>
              <w:t xml:space="preserve">, ka galvenajam būvdarbu veicējam jānodrošina </w:t>
            </w:r>
            <w:r w:rsidR="00BA67A1" w:rsidRPr="002C30C1">
              <w:rPr>
                <w:rFonts w:ascii="Times New Roman" w:eastAsia="Times New Roman" w:hAnsi="Times New Roman" w:cs="Times New Roman"/>
                <w:iCs/>
                <w:sz w:val="24"/>
                <w:szCs w:val="24"/>
                <w:lang w:eastAsia="lv-LV"/>
              </w:rPr>
              <w:t xml:space="preserve">EDLUS </w:t>
            </w:r>
            <w:r w:rsidRPr="002C30C1">
              <w:rPr>
                <w:rFonts w:ascii="Times New Roman" w:eastAsia="Times New Roman" w:hAnsi="Times New Roman" w:cs="Times New Roman"/>
                <w:iCs/>
                <w:sz w:val="24"/>
                <w:szCs w:val="24"/>
                <w:lang w:eastAsia="lv-LV"/>
              </w:rPr>
              <w:t xml:space="preserve">reģistrēto un uzkrāto datu glabāšanu Latvijas teritorijā izvietotajos energoneatkarīgajos datu nesējos, tajā skaitā datu centru serveros, trīs gadus no būvlaukumā nodarbināto personu darba laika uzskaites datu reģistrēšanas brīža </w:t>
            </w:r>
            <w:r w:rsidR="00BA67A1" w:rsidRPr="002C30C1">
              <w:rPr>
                <w:rFonts w:ascii="Times New Roman" w:eastAsia="Times New Roman" w:hAnsi="Times New Roman" w:cs="Times New Roman"/>
                <w:iCs/>
                <w:sz w:val="24"/>
                <w:szCs w:val="24"/>
                <w:lang w:eastAsia="lv-LV"/>
              </w:rPr>
              <w:t>EDLUS</w:t>
            </w:r>
            <w:r w:rsidRPr="002C30C1">
              <w:rPr>
                <w:rFonts w:ascii="Times New Roman" w:eastAsia="Times New Roman" w:hAnsi="Times New Roman" w:cs="Times New Roman"/>
                <w:iCs/>
                <w:sz w:val="24"/>
                <w:szCs w:val="24"/>
                <w:lang w:eastAsia="lv-LV"/>
              </w:rPr>
              <w:t xml:space="preserve">, un tikai pēc minētā termiņa dati no </w:t>
            </w:r>
            <w:r w:rsidR="008E5234" w:rsidRPr="002C30C1">
              <w:rPr>
                <w:rFonts w:ascii="Times New Roman" w:eastAsia="Times New Roman" w:hAnsi="Times New Roman" w:cs="Times New Roman"/>
                <w:iCs/>
                <w:sz w:val="24"/>
                <w:szCs w:val="24"/>
                <w:lang w:eastAsia="lv-LV"/>
              </w:rPr>
              <w:t>EDLUS</w:t>
            </w:r>
            <w:r w:rsidRPr="002C30C1">
              <w:rPr>
                <w:rFonts w:ascii="Times New Roman" w:eastAsia="Times New Roman" w:hAnsi="Times New Roman" w:cs="Times New Roman"/>
                <w:iCs/>
                <w:sz w:val="24"/>
                <w:szCs w:val="24"/>
                <w:lang w:eastAsia="lv-LV"/>
              </w:rPr>
              <w:t xml:space="preserve"> dzēšami. </w:t>
            </w:r>
          </w:p>
          <w:p w14:paraId="04D8E627" w14:textId="1BA7308A" w:rsidR="00AD40B2" w:rsidRPr="002C30C1" w:rsidRDefault="00AD40B2"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Saskaņā ar likum</w:t>
            </w:r>
            <w:r w:rsidR="00723F77" w:rsidRPr="002C30C1">
              <w:rPr>
                <w:rFonts w:ascii="Times New Roman" w:eastAsia="Times New Roman" w:hAnsi="Times New Roman" w:cs="Times New Roman"/>
                <w:iCs/>
                <w:sz w:val="24"/>
                <w:szCs w:val="24"/>
                <w:lang w:eastAsia="lv-LV"/>
              </w:rPr>
              <w:t>a</w:t>
            </w:r>
            <w:r w:rsidRPr="002C30C1">
              <w:rPr>
                <w:rFonts w:ascii="Times New Roman" w:eastAsia="Times New Roman" w:hAnsi="Times New Roman" w:cs="Times New Roman"/>
                <w:iCs/>
                <w:sz w:val="24"/>
                <w:szCs w:val="24"/>
                <w:lang w:eastAsia="lv-LV"/>
              </w:rPr>
              <w:t xml:space="preserve"> “Par nodokļiem un nodevām”</w:t>
            </w:r>
            <w:r w:rsidR="00723F77" w:rsidRPr="002C30C1">
              <w:rPr>
                <w:rFonts w:ascii="Times New Roman" w:eastAsia="Times New Roman" w:hAnsi="Times New Roman" w:cs="Times New Roman"/>
                <w:iCs/>
                <w:sz w:val="24"/>
                <w:szCs w:val="24"/>
                <w:lang w:eastAsia="lv-LV"/>
              </w:rPr>
              <w:t xml:space="preserve"> 18.panta pirmās daļas </w:t>
            </w:r>
            <w:r w:rsidR="00790873" w:rsidRPr="002C30C1">
              <w:rPr>
                <w:rFonts w:ascii="Times New Roman" w:eastAsia="Times New Roman" w:hAnsi="Times New Roman" w:cs="Times New Roman"/>
                <w:iCs/>
                <w:sz w:val="24"/>
                <w:szCs w:val="24"/>
                <w:lang w:eastAsia="lv-LV"/>
              </w:rPr>
              <w:t>2.</w:t>
            </w:r>
            <w:r w:rsidR="00723F77" w:rsidRPr="002C30C1">
              <w:rPr>
                <w:rFonts w:ascii="Times New Roman" w:eastAsia="Times New Roman" w:hAnsi="Times New Roman" w:cs="Times New Roman"/>
                <w:iCs/>
                <w:sz w:val="24"/>
                <w:szCs w:val="24"/>
                <w:lang w:eastAsia="lv-LV"/>
              </w:rPr>
              <w:t>punktu VID ir pienākums kontrolēt nodokļu, nodevu, kā arī citu valsts noteikto maksājumu aprēķināšanas un maksāšanas pareizību. Turklāt, ņemot vērā likuma “Par nodokļiem un nodevām” 23.panta pirmajā daļā noteikto</w:t>
            </w:r>
            <w:r w:rsidR="00FB151A" w:rsidRPr="002C30C1">
              <w:rPr>
                <w:rFonts w:ascii="Times New Roman" w:eastAsia="Times New Roman" w:hAnsi="Times New Roman" w:cs="Times New Roman"/>
                <w:iCs/>
                <w:sz w:val="24"/>
                <w:szCs w:val="24"/>
                <w:lang w:eastAsia="lv-LV"/>
              </w:rPr>
              <w:t>,</w:t>
            </w:r>
            <w:r w:rsidR="00723F77" w:rsidRPr="002C30C1">
              <w:rPr>
                <w:rFonts w:ascii="Times New Roman" w:eastAsia="Times New Roman" w:hAnsi="Times New Roman" w:cs="Times New Roman"/>
                <w:iCs/>
                <w:sz w:val="24"/>
                <w:szCs w:val="24"/>
                <w:lang w:eastAsia="lv-LV"/>
              </w:rPr>
              <w:t xml:space="preserve"> </w:t>
            </w:r>
            <w:r w:rsidR="00412A06" w:rsidRPr="002C30C1">
              <w:rPr>
                <w:rFonts w:ascii="Times New Roman" w:eastAsia="Times New Roman" w:hAnsi="Times New Roman" w:cs="Times New Roman"/>
                <w:iCs/>
                <w:sz w:val="24"/>
                <w:szCs w:val="24"/>
                <w:lang w:eastAsia="lv-LV"/>
              </w:rPr>
              <w:t>kontrolējamais periods ir trīs gadi pēc normatīvajos aktos noteiktā maksāšanas termiņa.</w:t>
            </w:r>
            <w:r w:rsidRPr="002C30C1">
              <w:rPr>
                <w:rFonts w:ascii="Times New Roman" w:eastAsia="Times New Roman" w:hAnsi="Times New Roman" w:cs="Times New Roman"/>
                <w:iCs/>
                <w:sz w:val="24"/>
                <w:szCs w:val="24"/>
                <w:lang w:eastAsia="lv-LV"/>
              </w:rPr>
              <w:t xml:space="preserve"> </w:t>
            </w:r>
            <w:r w:rsidR="00412A06" w:rsidRPr="002C30C1">
              <w:rPr>
                <w:rFonts w:ascii="Times New Roman" w:eastAsia="Times New Roman" w:hAnsi="Times New Roman" w:cs="Times New Roman"/>
                <w:iCs/>
                <w:sz w:val="24"/>
                <w:szCs w:val="24"/>
                <w:lang w:eastAsia="lv-LV"/>
              </w:rPr>
              <w:t>Ņemot vērā minēto</w:t>
            </w:r>
            <w:r w:rsidR="00FB151A" w:rsidRPr="002C30C1">
              <w:rPr>
                <w:rFonts w:ascii="Times New Roman" w:eastAsia="Times New Roman" w:hAnsi="Times New Roman" w:cs="Times New Roman"/>
                <w:iCs/>
                <w:sz w:val="24"/>
                <w:szCs w:val="24"/>
                <w:lang w:eastAsia="lv-LV"/>
              </w:rPr>
              <w:t>,</w:t>
            </w:r>
            <w:r w:rsidR="00412A06" w:rsidRPr="002C30C1">
              <w:rPr>
                <w:rFonts w:ascii="Times New Roman" w:eastAsia="Times New Roman" w:hAnsi="Times New Roman" w:cs="Times New Roman"/>
                <w:iCs/>
                <w:sz w:val="24"/>
                <w:szCs w:val="24"/>
                <w:lang w:eastAsia="lv-LV"/>
              </w:rPr>
              <w:t xml:space="preserve"> un lai nodrošinātu VID iespēju </w:t>
            </w:r>
            <w:r w:rsidRPr="002C30C1">
              <w:rPr>
                <w:rFonts w:ascii="Times New Roman" w:eastAsia="Times New Roman" w:hAnsi="Times New Roman" w:cs="Times New Roman"/>
                <w:iCs/>
                <w:sz w:val="24"/>
                <w:szCs w:val="24"/>
                <w:lang w:eastAsia="lv-LV"/>
              </w:rPr>
              <w:t>EDLUS reģistrētos datus izmantot ar nodokļiem un nodevām apliekamā objekta noteikšanai</w:t>
            </w:r>
            <w:r w:rsidR="00412A06" w:rsidRPr="002C30C1">
              <w:rPr>
                <w:rFonts w:ascii="Times New Roman" w:eastAsia="Times New Roman" w:hAnsi="Times New Roman" w:cs="Times New Roman"/>
                <w:iCs/>
                <w:sz w:val="24"/>
                <w:szCs w:val="24"/>
                <w:lang w:eastAsia="lv-LV"/>
              </w:rPr>
              <w:t xml:space="preserve"> un kontrolei, nepieciešams noteikt, ka dati ir uzglabājami trīs gadu</w:t>
            </w:r>
            <w:r w:rsidR="00FB151A"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w:t>
            </w:r>
            <w:r w:rsidR="00723F77"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 xml:space="preserve">Savukārt likuma “Par nodokļiem un nodevām” 16.panta pirmās daļas 6.punktā </w:t>
            </w:r>
            <w:r w:rsidR="00412A06" w:rsidRPr="002C30C1">
              <w:rPr>
                <w:rFonts w:ascii="Times New Roman" w:eastAsia="Times New Roman" w:hAnsi="Times New Roman" w:cs="Times New Roman"/>
                <w:iCs/>
                <w:sz w:val="24"/>
                <w:szCs w:val="24"/>
                <w:lang w:eastAsia="lv-LV"/>
              </w:rPr>
              <w:t xml:space="preserve">arī nodokļu maksātājiem </w:t>
            </w:r>
            <w:r w:rsidRPr="002C30C1">
              <w:rPr>
                <w:rFonts w:ascii="Times New Roman" w:eastAsia="Times New Roman" w:hAnsi="Times New Roman" w:cs="Times New Roman"/>
                <w:iCs/>
                <w:sz w:val="24"/>
                <w:szCs w:val="24"/>
                <w:lang w:eastAsia="lv-LV"/>
              </w:rPr>
              <w:t>ir ietvertas tiesības iesniegt iesniegumu par nodevu samaksas pārskatīšanu, nodokļu deklarācijas labojumu vai precizējumu triju gadu laikā pēc konkrētajos likumos noteiktā maksāšanas termiņa</w:t>
            </w:r>
            <w:r w:rsidR="000B41AE"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w:t>
            </w:r>
            <w:r w:rsidR="000B41AE" w:rsidRPr="002C30C1">
              <w:rPr>
                <w:rFonts w:ascii="Times New Roman" w:eastAsia="Times New Roman" w:hAnsi="Times New Roman" w:cs="Times New Roman"/>
                <w:iCs/>
                <w:sz w:val="24"/>
                <w:szCs w:val="24"/>
                <w:lang w:eastAsia="lv-LV"/>
              </w:rPr>
              <w:t>V</w:t>
            </w:r>
            <w:r w:rsidRPr="002C30C1">
              <w:rPr>
                <w:rFonts w:ascii="Times New Roman" w:eastAsia="Times New Roman" w:hAnsi="Times New Roman" w:cs="Times New Roman"/>
                <w:iCs/>
                <w:sz w:val="24"/>
                <w:szCs w:val="24"/>
                <w:lang w:eastAsia="lv-LV"/>
              </w:rPr>
              <w:t>ienlaikus</w:t>
            </w:r>
            <w:r w:rsidR="000B41AE" w:rsidRPr="002C30C1">
              <w:rPr>
                <w:rFonts w:ascii="Times New Roman" w:eastAsia="Times New Roman" w:hAnsi="Times New Roman" w:cs="Times New Roman"/>
                <w:iCs/>
                <w:sz w:val="24"/>
                <w:szCs w:val="24"/>
                <w:lang w:eastAsia="lv-LV"/>
              </w:rPr>
              <w:t xml:space="preserve"> nodokļu administrācija pēc nodokļu revīzijas (audita)</w:t>
            </w:r>
            <w:r w:rsidR="00EF400A"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nosakot vai precizējot nodokļu un informatīvo deklarāciju sastāvdaļās norādāmās summas, apliekamos ienākumus (zaudējumus), nodokļu (nodevu) aprēķinus, soda naudu var uzlikt triju gadu laikā pēc normatīvajos aktos noteiktā maksāšanas termiņa. Ievērojot minēto, ir preciz</w:t>
            </w:r>
            <w:r w:rsidR="00EF400A" w:rsidRPr="002C30C1">
              <w:rPr>
                <w:rFonts w:ascii="Times New Roman" w:eastAsia="Times New Roman" w:hAnsi="Times New Roman" w:cs="Times New Roman"/>
                <w:iCs/>
                <w:sz w:val="24"/>
                <w:szCs w:val="24"/>
                <w:lang w:eastAsia="lv-LV"/>
              </w:rPr>
              <w:t>ēts datu glabāšanas EDLUS termiņš.</w:t>
            </w:r>
          </w:p>
          <w:p w14:paraId="56369BEC" w14:textId="39A26529" w:rsidR="006463DF" w:rsidRPr="002C30C1" w:rsidRDefault="00C10D88"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Vienlaikus, ņemot vērā to, ka galvenajam būvdarbu veicējam būs jānodrošina EDLUS </w:t>
            </w:r>
            <w:r w:rsidR="00E23321" w:rsidRPr="002C30C1">
              <w:rPr>
                <w:rFonts w:ascii="Times New Roman" w:eastAsia="Times New Roman" w:hAnsi="Times New Roman" w:cs="Times New Roman"/>
                <w:iCs/>
                <w:sz w:val="24"/>
                <w:szCs w:val="24"/>
                <w:lang w:eastAsia="lv-LV"/>
              </w:rPr>
              <w:t xml:space="preserve">reģistrēto un uzskaitīto </w:t>
            </w:r>
            <w:r w:rsidRPr="002C30C1">
              <w:rPr>
                <w:rFonts w:ascii="Times New Roman" w:eastAsia="Times New Roman" w:hAnsi="Times New Roman" w:cs="Times New Roman"/>
                <w:iCs/>
                <w:sz w:val="24"/>
                <w:szCs w:val="24"/>
                <w:lang w:eastAsia="lv-LV"/>
              </w:rPr>
              <w:t>datu glabāšana trīs gadus</w:t>
            </w:r>
            <w:r w:rsidR="00EF400A" w:rsidRPr="002C30C1">
              <w:rPr>
                <w:rFonts w:ascii="Times New Roman" w:eastAsia="Times New Roman" w:hAnsi="Times New Roman" w:cs="Times New Roman"/>
                <w:iCs/>
                <w:sz w:val="24"/>
                <w:szCs w:val="24"/>
                <w:lang w:eastAsia="lv-LV"/>
              </w:rPr>
              <w:t>, un</w:t>
            </w:r>
            <w:r w:rsidR="00412A06" w:rsidRPr="002C30C1">
              <w:rPr>
                <w:rFonts w:ascii="Times New Roman" w:eastAsia="Times New Roman" w:hAnsi="Times New Roman" w:cs="Times New Roman"/>
                <w:iCs/>
                <w:sz w:val="24"/>
                <w:szCs w:val="24"/>
                <w:lang w:eastAsia="lv-LV"/>
              </w:rPr>
              <w:t>,</w:t>
            </w:r>
            <w:r w:rsidR="00EF400A" w:rsidRPr="002C30C1">
              <w:rPr>
                <w:rFonts w:ascii="Times New Roman" w:eastAsia="Times New Roman" w:hAnsi="Times New Roman" w:cs="Times New Roman"/>
                <w:iCs/>
                <w:sz w:val="24"/>
                <w:szCs w:val="24"/>
                <w:lang w:eastAsia="lv-LV"/>
              </w:rPr>
              <w:t xml:space="preserve"> lai nedublētu glabājamās informācijas apjomu</w:t>
            </w:r>
            <w:r w:rsidRPr="002C30C1">
              <w:rPr>
                <w:rFonts w:ascii="Times New Roman" w:eastAsia="Times New Roman" w:hAnsi="Times New Roman" w:cs="Times New Roman"/>
                <w:iCs/>
                <w:sz w:val="24"/>
                <w:szCs w:val="24"/>
                <w:lang w:eastAsia="lv-LV"/>
              </w:rPr>
              <w:t>,</w:t>
            </w:r>
            <w:r w:rsidR="00412A06" w:rsidRPr="002C30C1">
              <w:rPr>
                <w:rFonts w:ascii="Times New Roman" w:eastAsia="Times New Roman" w:hAnsi="Times New Roman" w:cs="Times New Roman"/>
                <w:iCs/>
                <w:sz w:val="24"/>
                <w:szCs w:val="24"/>
                <w:lang w:eastAsia="lv-LV"/>
              </w:rPr>
              <w:t xml:space="preserve"> ar Projektu ir </w:t>
            </w:r>
            <w:r w:rsidR="00412A06" w:rsidRPr="002C30C1">
              <w:rPr>
                <w:rFonts w:ascii="Times New Roman" w:eastAsia="Times New Roman" w:hAnsi="Times New Roman" w:cs="Times New Roman"/>
                <w:iCs/>
                <w:sz w:val="24"/>
                <w:szCs w:val="24"/>
                <w:lang w:eastAsia="lv-LV"/>
              </w:rPr>
              <w:lastRenderedPageBreak/>
              <w:t>paredzēts, ka</w:t>
            </w:r>
            <w:r w:rsidRPr="002C30C1">
              <w:rPr>
                <w:rFonts w:ascii="Times New Roman" w:eastAsia="Times New Roman" w:hAnsi="Times New Roman" w:cs="Times New Roman"/>
                <w:iCs/>
                <w:sz w:val="24"/>
                <w:szCs w:val="24"/>
                <w:lang w:eastAsia="lv-LV"/>
              </w:rPr>
              <w:t xml:space="preserve"> uz VEDLUDB </w:t>
            </w:r>
            <w:r w:rsidR="00BA67A1" w:rsidRPr="002C30C1">
              <w:rPr>
                <w:rFonts w:ascii="Times New Roman" w:eastAsia="Times New Roman" w:hAnsi="Times New Roman" w:cs="Times New Roman"/>
                <w:iCs/>
                <w:sz w:val="24"/>
                <w:szCs w:val="24"/>
                <w:lang w:eastAsia="lv-LV"/>
              </w:rPr>
              <w:t>nebūs</w:t>
            </w:r>
            <w:r w:rsidRPr="002C30C1">
              <w:rPr>
                <w:rFonts w:ascii="Times New Roman" w:eastAsia="Times New Roman" w:hAnsi="Times New Roman" w:cs="Times New Roman"/>
                <w:iCs/>
                <w:sz w:val="24"/>
                <w:szCs w:val="24"/>
                <w:lang w:eastAsia="lv-LV"/>
              </w:rPr>
              <w:t xml:space="preserve"> jānodo</w:t>
            </w:r>
            <w:r w:rsidR="002C7036" w:rsidRPr="002C30C1">
              <w:rPr>
                <w:rFonts w:ascii="Times New Roman" w:eastAsia="Times New Roman" w:hAnsi="Times New Roman" w:cs="Times New Roman"/>
                <w:iCs/>
                <w:sz w:val="24"/>
                <w:szCs w:val="24"/>
                <w:lang w:eastAsia="lv-LV"/>
              </w:rPr>
              <w:t>d EDLUS notikumu auditācijas pierakst</w:t>
            </w:r>
            <w:r w:rsidR="00BA67A1" w:rsidRPr="002C30C1">
              <w:rPr>
                <w:rFonts w:ascii="Times New Roman" w:eastAsia="Times New Roman" w:hAnsi="Times New Roman" w:cs="Times New Roman"/>
                <w:iCs/>
                <w:sz w:val="24"/>
                <w:szCs w:val="24"/>
                <w:lang w:eastAsia="lv-LV"/>
              </w:rPr>
              <w:t>i</w:t>
            </w:r>
            <w:r w:rsidR="002C7036" w:rsidRPr="002C30C1">
              <w:rPr>
                <w:rFonts w:ascii="Times New Roman" w:eastAsia="Times New Roman" w:hAnsi="Times New Roman" w:cs="Times New Roman"/>
                <w:iCs/>
                <w:sz w:val="24"/>
                <w:szCs w:val="24"/>
                <w:lang w:eastAsia="lv-LV"/>
              </w:rPr>
              <w:t xml:space="preserve">, </w:t>
            </w:r>
            <w:r w:rsidR="00EF400A" w:rsidRPr="002C30C1">
              <w:rPr>
                <w:rFonts w:ascii="Times New Roman" w:eastAsia="Times New Roman" w:hAnsi="Times New Roman" w:cs="Times New Roman"/>
                <w:iCs/>
                <w:sz w:val="24"/>
                <w:szCs w:val="24"/>
                <w:lang w:eastAsia="lv-LV"/>
              </w:rPr>
              <w:t xml:space="preserve">bet </w:t>
            </w:r>
            <w:r w:rsidR="002C7036" w:rsidRPr="002C30C1">
              <w:rPr>
                <w:rFonts w:ascii="Times New Roman" w:eastAsia="Times New Roman" w:hAnsi="Times New Roman" w:cs="Times New Roman"/>
                <w:iCs/>
                <w:sz w:val="24"/>
                <w:szCs w:val="24"/>
                <w:lang w:eastAsia="lv-LV"/>
              </w:rPr>
              <w:t>tie būs glabājami EDLUS.</w:t>
            </w:r>
          </w:p>
          <w:p w14:paraId="29D8B529" w14:textId="3856DECE" w:rsidR="00C10D88" w:rsidRPr="002C30C1" w:rsidRDefault="00C10D88" w:rsidP="002712A1">
            <w:pPr>
              <w:spacing w:after="0" w:line="240" w:lineRule="auto"/>
              <w:jc w:val="both"/>
              <w:rPr>
                <w:rFonts w:ascii="Times New Roman" w:eastAsia="Times New Roman" w:hAnsi="Times New Roman" w:cs="Times New Roman"/>
                <w:iCs/>
                <w:sz w:val="24"/>
                <w:szCs w:val="24"/>
                <w:lang w:eastAsia="lv-LV"/>
              </w:rPr>
            </w:pPr>
          </w:p>
          <w:p w14:paraId="03B84EAE" w14:textId="32F70EEA" w:rsidR="00B92703" w:rsidRPr="002C30C1" w:rsidRDefault="00B92703"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EDLUS ieviešanas slieksnis</w:t>
            </w:r>
          </w:p>
          <w:p w14:paraId="418EE1FE" w14:textId="3E797B26" w:rsidR="00032913" w:rsidRPr="002C30C1" w:rsidRDefault="007846DD"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2017.gadā 1.oktobrī EDLUS tika ieviests tā saucamajos “lielajos” būvlaukumos, t.i., jaunas trešās grupas būves būvlaukumā un būvlaukumā, kurā tiek veikti būvdarbi, </w:t>
            </w:r>
            <w:r w:rsidR="00412A06" w:rsidRPr="002C30C1">
              <w:rPr>
                <w:rFonts w:ascii="Times New Roman" w:eastAsia="Times New Roman" w:hAnsi="Times New Roman" w:cs="Times New Roman"/>
                <w:iCs/>
                <w:sz w:val="24"/>
                <w:szCs w:val="24"/>
                <w:lang w:eastAsia="lv-LV"/>
              </w:rPr>
              <w:t>kuru</w:t>
            </w:r>
            <w:r w:rsidRPr="002C30C1">
              <w:rPr>
                <w:rFonts w:ascii="Times New Roman" w:eastAsia="Times New Roman" w:hAnsi="Times New Roman" w:cs="Times New Roman"/>
                <w:iCs/>
                <w:sz w:val="24"/>
                <w:szCs w:val="24"/>
                <w:lang w:eastAsia="lv-LV"/>
              </w:rPr>
              <w:t xml:space="preserve"> izmaksas ir 1</w:t>
            </w:r>
            <w:r w:rsidR="00E814CD"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miljons</w:t>
            </w:r>
            <w:r w:rsidR="00E814CD" w:rsidRPr="002C30C1">
              <w:rPr>
                <w:rFonts w:ascii="Times New Roman" w:eastAsia="Times New Roman" w:hAnsi="Times New Roman" w:cs="Times New Roman"/>
                <w:iCs/>
                <w:sz w:val="24"/>
                <w:szCs w:val="24"/>
                <w:lang w:eastAsia="lv-LV"/>
              </w:rPr>
              <w:t xml:space="preserve"> euro</w:t>
            </w:r>
            <w:r w:rsidRPr="002C30C1">
              <w:rPr>
                <w:rFonts w:ascii="Times New Roman" w:eastAsia="Times New Roman" w:hAnsi="Times New Roman" w:cs="Times New Roman"/>
                <w:iCs/>
                <w:sz w:val="24"/>
                <w:szCs w:val="24"/>
                <w:lang w:eastAsia="lv-LV"/>
              </w:rPr>
              <w:t xml:space="preserve"> vai vairāk.</w:t>
            </w:r>
          </w:p>
          <w:p w14:paraId="1737652A" w14:textId="3F4742FB" w:rsidR="007846DD" w:rsidRPr="002C30C1" w:rsidRDefault="00775545" w:rsidP="002712A1">
            <w:pPr>
              <w:spacing w:after="0" w:line="240" w:lineRule="auto"/>
              <w:ind w:right="61"/>
              <w:jc w:val="both"/>
              <w:rPr>
                <w:rStyle w:val="FootnoteReference"/>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Kā liecina pētnieka A.Saukas pētījumā “Ēnu ekonomika Latvijas būvniecības nozarē 2015 – 2017” sniegtā informācija, lai arī ēnu ekonomikas apjoms būvniecības nozarē kopš 2015.gada ir samazinājies, tas joprojām ir augsts – 35.2% no IKP. Savukārt aplokšņu algas ir lielākā ēnu ekonomikas īpatsvara komponente būvniecībā, t.i., 2017.gadā 32.1% no faktiski izmaksātās darbinieku algas. Savukārt darbinieku skaita neuzrādīšana 2017.gadā sastāda 17.6%</w:t>
            </w:r>
            <w:r w:rsidRPr="002C30C1">
              <w:t xml:space="preserve"> </w:t>
            </w:r>
            <w:r w:rsidRPr="002C30C1">
              <w:rPr>
                <w:rFonts w:ascii="Times New Roman" w:eastAsia="Times New Roman" w:hAnsi="Times New Roman" w:cs="Times New Roman"/>
                <w:iCs/>
                <w:sz w:val="24"/>
                <w:szCs w:val="24"/>
                <w:lang w:eastAsia="lv-LV"/>
              </w:rPr>
              <w:t>no attiecīgā gada pārskata gada faktiskā darbinieku skaita.</w:t>
            </w:r>
            <w:r w:rsidR="00E814CD" w:rsidRPr="002C30C1">
              <w:rPr>
                <w:rFonts w:ascii="Times New Roman" w:eastAsia="Times New Roman" w:hAnsi="Times New Roman" w:cs="Times New Roman"/>
                <w:iCs/>
                <w:sz w:val="24"/>
                <w:szCs w:val="24"/>
                <w:lang w:eastAsia="lv-LV"/>
              </w:rPr>
              <w:t xml:space="preserve"> Vidējais nostrādāto stundu skaits vienai darba vietai mēnesī būvniecības nozarē </w:t>
            </w:r>
            <w:r w:rsidR="00854FF4" w:rsidRPr="002C30C1">
              <w:rPr>
                <w:rFonts w:ascii="Times New Roman" w:eastAsia="Times New Roman" w:hAnsi="Times New Roman" w:cs="Times New Roman"/>
                <w:iCs/>
                <w:sz w:val="24"/>
                <w:szCs w:val="24"/>
                <w:lang w:eastAsia="lv-LV"/>
              </w:rPr>
              <w:t xml:space="preserve">ir </w:t>
            </w:r>
            <w:r w:rsidR="00E814CD" w:rsidRPr="002C30C1">
              <w:rPr>
                <w:rFonts w:ascii="Times New Roman" w:eastAsia="Times New Roman" w:hAnsi="Times New Roman" w:cs="Times New Roman"/>
                <w:iCs/>
                <w:sz w:val="24"/>
                <w:szCs w:val="24"/>
                <w:lang w:eastAsia="lv-LV"/>
              </w:rPr>
              <w:t>120 stundas</w:t>
            </w:r>
            <w:r w:rsidR="00E814CD" w:rsidRPr="002C30C1">
              <w:rPr>
                <w:rStyle w:val="FootnoteReference"/>
                <w:rFonts w:ascii="Times New Roman" w:eastAsia="Times New Roman" w:hAnsi="Times New Roman" w:cs="Times New Roman"/>
                <w:iCs/>
                <w:sz w:val="24"/>
                <w:szCs w:val="24"/>
                <w:lang w:eastAsia="lv-LV"/>
              </w:rPr>
              <w:t xml:space="preserve"> </w:t>
            </w:r>
            <w:r w:rsidR="00A13505" w:rsidRPr="002C30C1">
              <w:rPr>
                <w:rStyle w:val="FootnoteReference"/>
                <w:rFonts w:ascii="Times New Roman" w:eastAsia="Times New Roman" w:hAnsi="Times New Roman" w:cs="Times New Roman"/>
                <w:iCs/>
                <w:sz w:val="24"/>
                <w:szCs w:val="24"/>
                <w:lang w:eastAsia="lv-LV"/>
              </w:rPr>
              <w:footnoteReference w:id="1"/>
            </w:r>
          </w:p>
          <w:p w14:paraId="7C4D1F66" w14:textId="21F0765D" w:rsidR="00E814CD" w:rsidRPr="002C30C1" w:rsidRDefault="00E814CD"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Normālais darba laiks mēnesī ir 168 stundas</w:t>
            </w:r>
            <w:r w:rsidR="000C4CB3" w:rsidRPr="002C30C1">
              <w:rPr>
                <w:rFonts w:ascii="Times New Roman" w:eastAsia="Times New Roman" w:hAnsi="Times New Roman" w:cs="Times New Roman"/>
                <w:iCs/>
                <w:sz w:val="24"/>
                <w:szCs w:val="24"/>
                <w:lang w:eastAsia="lv-LV"/>
              </w:rPr>
              <w:t xml:space="preserve"> (8 h darba diena * 21 darba diena</w:t>
            </w:r>
            <w:r w:rsidR="00C62EC8" w:rsidRPr="002C30C1">
              <w:rPr>
                <w:rFonts w:ascii="Times New Roman" w:eastAsia="Times New Roman" w:hAnsi="Times New Roman" w:cs="Times New Roman"/>
                <w:iCs/>
                <w:sz w:val="24"/>
                <w:szCs w:val="24"/>
                <w:lang w:eastAsia="lv-LV"/>
              </w:rPr>
              <w:t xml:space="preserve"> mēnesī</w:t>
            </w:r>
            <w:r w:rsidR="000C4CB3" w:rsidRPr="002C30C1">
              <w:rPr>
                <w:rFonts w:ascii="Times New Roman" w:eastAsia="Times New Roman" w:hAnsi="Times New Roman" w:cs="Times New Roman"/>
                <w:iCs/>
                <w:sz w:val="24"/>
                <w:szCs w:val="24"/>
                <w:lang w:eastAsia="lv-LV"/>
              </w:rPr>
              <w:t xml:space="preserve"> =168</w:t>
            </w:r>
            <w:r w:rsidR="00C62EC8" w:rsidRPr="002C30C1">
              <w:rPr>
                <w:rFonts w:ascii="Times New Roman" w:eastAsia="Times New Roman" w:hAnsi="Times New Roman" w:cs="Times New Roman"/>
                <w:iCs/>
                <w:sz w:val="24"/>
                <w:szCs w:val="24"/>
                <w:lang w:eastAsia="lv-LV"/>
              </w:rPr>
              <w:t xml:space="preserve"> h/mēnesī</w:t>
            </w:r>
            <w:r w:rsidR="000C4CB3" w:rsidRPr="002C30C1">
              <w:rPr>
                <w:rFonts w:ascii="Times New Roman" w:eastAsia="Times New Roman" w:hAnsi="Times New Roman" w:cs="Times New Roman"/>
                <w:iCs/>
                <w:sz w:val="24"/>
                <w:szCs w:val="24"/>
                <w:lang w:eastAsia="lv-LV"/>
              </w:rPr>
              <w:t>).</w:t>
            </w:r>
          </w:p>
          <w:p w14:paraId="50C545C1" w14:textId="2AC6EA02" w:rsidR="00A13505" w:rsidRPr="002C30C1" w:rsidRDefault="00950EBC"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Savukārt saskaņā ar VID datiem pārskatā “</w:t>
            </w:r>
            <w:r w:rsidR="00E814CD" w:rsidRPr="002C30C1">
              <w:rPr>
                <w:rFonts w:ascii="Times New Roman" w:eastAsia="Times New Roman" w:hAnsi="Times New Roman" w:cs="Times New Roman"/>
                <w:iCs/>
                <w:sz w:val="24"/>
                <w:szCs w:val="24"/>
                <w:lang w:eastAsia="lv-LV"/>
              </w:rPr>
              <w:t>Vi</w:t>
            </w:r>
            <w:r w:rsidRPr="002C30C1">
              <w:rPr>
                <w:rFonts w:ascii="Times New Roman" w:eastAsia="Times New Roman" w:hAnsi="Times New Roman" w:cs="Times New Roman"/>
                <w:iCs/>
                <w:sz w:val="24"/>
                <w:szCs w:val="24"/>
                <w:lang w:eastAsia="lv-LV"/>
              </w:rPr>
              <w:t>spārējā nodokļu maksāšanas režīmā strādājošo darba devēju skaita sadalījums pēc vidējiem aprēķinātajiem darba ienākumiem 2017.gadā*</w:t>
            </w:r>
            <w:r w:rsidR="00E814CD" w:rsidRPr="002C30C1">
              <w:rPr>
                <w:rFonts w:ascii="Times New Roman" w:eastAsia="Times New Roman" w:hAnsi="Times New Roman" w:cs="Times New Roman"/>
                <w:iCs/>
                <w:sz w:val="24"/>
                <w:szCs w:val="24"/>
                <w:lang w:eastAsia="lv-LV"/>
              </w:rPr>
              <w:t>” norādīto informāciju 51 % darba devēji būvniecībā darba ņēmējiem aprēķinājuši darba ienākumus, kas ir mazāki par vai vienādi ar valstī noteikto minimālo darba algu (380 euro), 14.5% darba devēji būvniecībā darba ņēmējiem aprēķinājuši darba ienākumus 0 euro.</w:t>
            </w:r>
            <w:r w:rsidR="00E814CD" w:rsidRPr="002C30C1">
              <w:rPr>
                <w:rStyle w:val="FootnoteReference"/>
                <w:rFonts w:ascii="Times New Roman" w:eastAsia="Times New Roman" w:hAnsi="Times New Roman" w:cs="Times New Roman"/>
                <w:iCs/>
                <w:sz w:val="24"/>
                <w:szCs w:val="24"/>
                <w:lang w:eastAsia="lv-LV"/>
              </w:rPr>
              <w:footnoteReference w:id="2"/>
            </w:r>
          </w:p>
          <w:p w14:paraId="68A65D25" w14:textId="53A681EB" w:rsidR="00E814CD" w:rsidRPr="002C30C1" w:rsidRDefault="00E814CD"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Minētie dati atspoguļo to, ka ēnu ekonomikas īpatsvars būvniecībā joprojām ir augsts un būtiskākās ēnu ekonomikas būvniecībā komponentes ir aplokšņu</w:t>
            </w:r>
            <w:r w:rsidR="004A2454" w:rsidRPr="002C30C1">
              <w:rPr>
                <w:rFonts w:ascii="Times New Roman" w:eastAsia="Times New Roman" w:hAnsi="Times New Roman" w:cs="Times New Roman"/>
                <w:iCs/>
                <w:sz w:val="24"/>
                <w:szCs w:val="24"/>
                <w:lang w:eastAsia="lv-LV"/>
              </w:rPr>
              <w:t xml:space="preserve"> algas un </w:t>
            </w:r>
            <w:r w:rsidRPr="002C30C1">
              <w:rPr>
                <w:rFonts w:ascii="Times New Roman" w:eastAsia="Times New Roman" w:hAnsi="Times New Roman" w:cs="Times New Roman"/>
                <w:iCs/>
                <w:sz w:val="24"/>
                <w:szCs w:val="24"/>
                <w:lang w:eastAsia="lv-LV"/>
              </w:rPr>
              <w:t>darbinieku skaita neuzrādīšana</w:t>
            </w:r>
            <w:r w:rsidR="004A2454" w:rsidRPr="002C30C1">
              <w:rPr>
                <w:rFonts w:ascii="Times New Roman" w:eastAsia="Times New Roman" w:hAnsi="Times New Roman" w:cs="Times New Roman"/>
                <w:iCs/>
                <w:sz w:val="24"/>
                <w:szCs w:val="24"/>
                <w:lang w:eastAsia="lv-LV"/>
              </w:rPr>
              <w:t>.</w:t>
            </w:r>
          </w:p>
          <w:p w14:paraId="50AF2BBF" w14:textId="057E539D" w:rsidR="00B92703" w:rsidRPr="002C30C1" w:rsidRDefault="004A2454"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Tādējādi, lai m</w:t>
            </w:r>
            <w:r w:rsidR="00032913" w:rsidRPr="002C30C1">
              <w:rPr>
                <w:rFonts w:ascii="Times New Roman" w:eastAsia="Times New Roman" w:hAnsi="Times New Roman" w:cs="Times New Roman"/>
                <w:iCs/>
                <w:sz w:val="24"/>
                <w:szCs w:val="24"/>
                <w:lang w:eastAsia="lv-LV"/>
              </w:rPr>
              <w:t xml:space="preserve">azinātu ēnu ekonomiku būvniecības nozarē un elektroniskā darba laika uzskaite aptvertu plašāku būvniecības sektoru, Projekts paredz no 2020.gada 1.janvāra </w:t>
            </w:r>
            <w:r w:rsidR="00823A76" w:rsidRPr="002C30C1">
              <w:rPr>
                <w:rFonts w:ascii="Times New Roman" w:eastAsia="Times New Roman" w:hAnsi="Times New Roman" w:cs="Times New Roman"/>
                <w:iCs/>
                <w:sz w:val="24"/>
                <w:szCs w:val="24"/>
                <w:lang w:eastAsia="lv-LV"/>
              </w:rPr>
              <w:t xml:space="preserve">EDLUS ieviešanu </w:t>
            </w:r>
            <w:r w:rsidRPr="002C30C1">
              <w:rPr>
                <w:rFonts w:ascii="Times New Roman" w:eastAsia="Times New Roman" w:hAnsi="Times New Roman" w:cs="Times New Roman"/>
                <w:iCs/>
                <w:sz w:val="24"/>
                <w:szCs w:val="24"/>
                <w:lang w:eastAsia="lv-LV"/>
              </w:rPr>
              <w:t xml:space="preserve">arī </w:t>
            </w:r>
            <w:r w:rsidR="00032913" w:rsidRPr="002C30C1">
              <w:rPr>
                <w:rFonts w:ascii="Times New Roman" w:eastAsia="Times New Roman" w:hAnsi="Times New Roman" w:cs="Times New Roman"/>
                <w:iCs/>
                <w:sz w:val="24"/>
                <w:szCs w:val="24"/>
                <w:lang w:eastAsia="lv-LV"/>
              </w:rPr>
              <w:t xml:space="preserve">būvlaukumā, </w:t>
            </w:r>
            <w:r w:rsidR="00823A76" w:rsidRPr="002C30C1">
              <w:rPr>
                <w:rFonts w:ascii="Times New Roman" w:eastAsia="Times New Roman" w:hAnsi="Times New Roman" w:cs="Times New Roman"/>
                <w:iCs/>
                <w:sz w:val="24"/>
                <w:szCs w:val="24"/>
                <w:lang w:eastAsia="lv-LV"/>
              </w:rPr>
              <w:t xml:space="preserve">kurā </w:t>
            </w:r>
            <w:r w:rsidR="00032913" w:rsidRPr="002C30C1">
              <w:rPr>
                <w:rFonts w:ascii="Times New Roman" w:eastAsia="Times New Roman" w:hAnsi="Times New Roman" w:cs="Times New Roman"/>
                <w:iCs/>
                <w:sz w:val="24"/>
                <w:szCs w:val="24"/>
                <w:lang w:eastAsia="lv-LV"/>
              </w:rPr>
              <w:t xml:space="preserve">būvdarbu izmaksas ir </w:t>
            </w:r>
            <w:r w:rsidR="006522A8" w:rsidRPr="002C30C1">
              <w:rPr>
                <w:rFonts w:ascii="Times New Roman" w:eastAsia="Times New Roman" w:hAnsi="Times New Roman" w:cs="Times New Roman"/>
                <w:iCs/>
                <w:sz w:val="24"/>
                <w:szCs w:val="24"/>
                <w:lang w:eastAsia="lv-LV"/>
              </w:rPr>
              <w:t xml:space="preserve">200 000 </w:t>
            </w:r>
            <w:r w:rsidR="006522A8" w:rsidRPr="002C30C1">
              <w:rPr>
                <w:rFonts w:ascii="Times New Roman" w:eastAsia="Times New Roman" w:hAnsi="Times New Roman" w:cs="Times New Roman"/>
                <w:i/>
                <w:iCs/>
                <w:sz w:val="24"/>
                <w:szCs w:val="24"/>
                <w:lang w:eastAsia="lv-LV"/>
              </w:rPr>
              <w:t>euro</w:t>
            </w:r>
            <w:r w:rsidR="00032913" w:rsidRPr="002C30C1">
              <w:rPr>
                <w:rFonts w:ascii="Times New Roman" w:eastAsia="Times New Roman" w:hAnsi="Times New Roman" w:cs="Times New Roman"/>
                <w:i/>
                <w:iCs/>
                <w:sz w:val="24"/>
                <w:szCs w:val="24"/>
                <w:lang w:eastAsia="lv-LV"/>
              </w:rPr>
              <w:t xml:space="preserve"> </w:t>
            </w:r>
            <w:r w:rsidR="00BA67A1" w:rsidRPr="002C30C1">
              <w:rPr>
                <w:rFonts w:ascii="Times New Roman" w:eastAsia="Times New Roman" w:hAnsi="Times New Roman" w:cs="Times New Roman"/>
                <w:iCs/>
                <w:sz w:val="24"/>
                <w:szCs w:val="24"/>
                <w:lang w:eastAsia="lv-LV"/>
              </w:rPr>
              <w:t>vai</w:t>
            </w:r>
            <w:r w:rsidR="00032913" w:rsidRPr="002C30C1">
              <w:rPr>
                <w:rFonts w:ascii="Times New Roman" w:eastAsia="Times New Roman" w:hAnsi="Times New Roman" w:cs="Times New Roman"/>
                <w:iCs/>
                <w:sz w:val="24"/>
                <w:szCs w:val="24"/>
                <w:lang w:eastAsia="lv-LV"/>
              </w:rPr>
              <w:t xml:space="preserve"> vairāk.</w:t>
            </w:r>
            <w:r w:rsidR="006522A8" w:rsidRPr="002C30C1">
              <w:rPr>
                <w:rFonts w:ascii="Times New Roman" w:eastAsia="Times New Roman" w:hAnsi="Times New Roman" w:cs="Times New Roman"/>
                <w:iCs/>
                <w:sz w:val="24"/>
                <w:szCs w:val="24"/>
                <w:lang w:eastAsia="lv-LV"/>
              </w:rPr>
              <w:t xml:space="preserve"> </w:t>
            </w:r>
          </w:p>
          <w:p w14:paraId="764207D0" w14:textId="595B1FFC" w:rsidR="00181F2F" w:rsidRPr="002C30C1" w:rsidRDefault="00181F2F"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Saskaņā ar VID veikto aprēķinu (detalizētu aprēķinu sk.anotācijas III sadaļas 6.punktā) paredzams, ka</w:t>
            </w:r>
            <w:r w:rsidR="00954151"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w:t>
            </w:r>
            <w:r w:rsidR="00854FF4" w:rsidRPr="002C30C1">
              <w:rPr>
                <w:rFonts w:ascii="Times New Roman" w:eastAsia="Times New Roman" w:hAnsi="Times New Roman" w:cs="Times New Roman"/>
                <w:iCs/>
                <w:sz w:val="24"/>
                <w:szCs w:val="24"/>
                <w:lang w:eastAsia="lv-LV"/>
              </w:rPr>
              <w:t xml:space="preserve">paplašinot objektu loku, kuros ieviešama EDLUS, </w:t>
            </w:r>
            <w:r w:rsidRPr="002C30C1">
              <w:rPr>
                <w:rFonts w:ascii="Times New Roman" w:eastAsia="Times New Roman" w:hAnsi="Times New Roman" w:cs="Times New Roman"/>
                <w:iCs/>
                <w:sz w:val="24"/>
                <w:szCs w:val="24"/>
                <w:lang w:eastAsia="lv-LV"/>
              </w:rPr>
              <w:lastRenderedPageBreak/>
              <w:t>papildus nodokļos valsts budžetā tiks iekasēti 1,</w:t>
            </w:r>
            <w:r w:rsidR="00FB151A" w:rsidRPr="002C30C1">
              <w:rPr>
                <w:rFonts w:ascii="Times New Roman" w:eastAsia="Times New Roman" w:hAnsi="Times New Roman" w:cs="Times New Roman"/>
                <w:iCs/>
                <w:sz w:val="24"/>
                <w:szCs w:val="24"/>
                <w:lang w:eastAsia="lv-LV"/>
              </w:rPr>
              <w:t xml:space="preserve">69 </w:t>
            </w:r>
            <w:r w:rsidRPr="002C30C1">
              <w:rPr>
                <w:rFonts w:ascii="Times New Roman" w:eastAsia="Times New Roman" w:hAnsi="Times New Roman" w:cs="Times New Roman"/>
                <w:iCs/>
                <w:sz w:val="24"/>
                <w:szCs w:val="24"/>
                <w:lang w:eastAsia="lv-LV"/>
              </w:rPr>
              <w:t xml:space="preserve">miljoni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w:t>
            </w:r>
          </w:p>
          <w:p w14:paraId="7FCC8CDD" w14:textId="628F7184" w:rsidR="00C10D88" w:rsidRPr="002C30C1" w:rsidRDefault="00C37C4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Galvenā būvdarbu veicēja pienākumi</w:t>
            </w:r>
          </w:p>
          <w:p w14:paraId="2BBE66B1" w14:textId="61CBCB69" w:rsidR="00C10D88" w:rsidRPr="002C30C1" w:rsidRDefault="006A17D5"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Lai nodrošinātu</w:t>
            </w:r>
            <w:r w:rsidR="00C37C4C" w:rsidRPr="002C30C1">
              <w:rPr>
                <w:rFonts w:ascii="Times New Roman" w:eastAsia="Times New Roman" w:hAnsi="Times New Roman" w:cs="Times New Roman"/>
                <w:iCs/>
                <w:sz w:val="24"/>
                <w:szCs w:val="24"/>
                <w:lang w:eastAsia="lv-LV"/>
              </w:rPr>
              <w:t xml:space="preserve"> EDLUS ieviešanas mērķu sasniegšanu, t.i., EDLUS reģistrētu, uzskaitītu un glabātu datus par būvlaukumā nodarbināto personu nostrādātajām stundām būvlaukumā, un novērstu, ka EDLUS dati tiek</w:t>
            </w:r>
            <w:r w:rsidR="00903484" w:rsidRPr="002C30C1">
              <w:rPr>
                <w:rFonts w:ascii="Times New Roman" w:eastAsia="Times New Roman" w:hAnsi="Times New Roman" w:cs="Times New Roman"/>
                <w:iCs/>
                <w:sz w:val="24"/>
                <w:szCs w:val="24"/>
                <w:lang w:eastAsia="lv-LV"/>
              </w:rPr>
              <w:t xml:space="preserve"> laboti,</w:t>
            </w:r>
            <w:r w:rsidR="00C37C4C" w:rsidRPr="002C30C1">
              <w:rPr>
                <w:rFonts w:ascii="Times New Roman" w:eastAsia="Times New Roman" w:hAnsi="Times New Roman" w:cs="Times New Roman"/>
                <w:iCs/>
                <w:sz w:val="24"/>
                <w:szCs w:val="24"/>
                <w:lang w:eastAsia="lv-LV"/>
              </w:rPr>
              <w:t xml:space="preserve"> </w:t>
            </w:r>
            <w:r w:rsidR="00854FF4" w:rsidRPr="002C30C1">
              <w:rPr>
                <w:rFonts w:ascii="Times New Roman" w:eastAsia="Times New Roman" w:hAnsi="Times New Roman" w:cs="Times New Roman"/>
                <w:iCs/>
                <w:sz w:val="24"/>
                <w:szCs w:val="24"/>
                <w:lang w:eastAsia="lv-LV"/>
              </w:rPr>
              <w:t>mainīti</w:t>
            </w:r>
            <w:r w:rsidR="00C37C4C" w:rsidRPr="002C30C1">
              <w:rPr>
                <w:rFonts w:ascii="Times New Roman" w:eastAsia="Times New Roman" w:hAnsi="Times New Roman" w:cs="Times New Roman"/>
                <w:iCs/>
                <w:sz w:val="24"/>
                <w:szCs w:val="24"/>
                <w:lang w:eastAsia="lv-LV"/>
              </w:rPr>
              <w:t xml:space="preserve"> vai dzēsti, ar Projektā ietverto regulējumu tiek nostiprināts galvenā būvdarbu veicēja pienākums nodrošināt EDLUS reģistrēto datu aizsardzību. Tāpat Projekts paredz pienākumu galvenajam būvdarbu veicējam veikt EDLUS reģistrējamo datu manuālu uzskaiti par periodu, kad EDLUS ir bijuši tādi traucējumi, kas liedza datu reģistrāciju vai </w:t>
            </w:r>
            <w:r w:rsidRPr="002C30C1">
              <w:rPr>
                <w:rFonts w:ascii="Times New Roman" w:eastAsia="Times New Roman" w:hAnsi="Times New Roman" w:cs="Times New Roman"/>
                <w:iCs/>
                <w:sz w:val="24"/>
                <w:szCs w:val="24"/>
                <w:lang w:eastAsia="lv-LV"/>
              </w:rPr>
              <w:t>uzskaiti</w:t>
            </w:r>
            <w:r w:rsidR="00C37C4C" w:rsidRPr="002C30C1">
              <w:rPr>
                <w:rFonts w:ascii="Times New Roman" w:eastAsia="Times New Roman" w:hAnsi="Times New Roman" w:cs="Times New Roman"/>
                <w:iCs/>
                <w:sz w:val="24"/>
                <w:szCs w:val="24"/>
                <w:lang w:eastAsia="lv-LV"/>
              </w:rPr>
              <w:t xml:space="preserve"> EDLUS</w:t>
            </w:r>
            <w:r w:rsidRPr="002C30C1">
              <w:rPr>
                <w:rFonts w:ascii="Times New Roman" w:eastAsia="Times New Roman" w:hAnsi="Times New Roman" w:cs="Times New Roman"/>
                <w:iCs/>
                <w:sz w:val="24"/>
                <w:szCs w:val="24"/>
                <w:lang w:eastAsia="lv-LV"/>
              </w:rPr>
              <w:t xml:space="preserve">, kā arī nosaka pienākumu </w:t>
            </w:r>
            <w:r w:rsidR="00DE0FAF" w:rsidRPr="002C30C1">
              <w:rPr>
                <w:rFonts w:ascii="Times New Roman" w:eastAsia="Times New Roman" w:hAnsi="Times New Roman" w:cs="Times New Roman"/>
                <w:iCs/>
                <w:sz w:val="24"/>
                <w:szCs w:val="24"/>
                <w:lang w:eastAsia="lv-LV"/>
              </w:rPr>
              <w:t xml:space="preserve">reģistrēt </w:t>
            </w:r>
            <w:r w:rsidRPr="002C30C1">
              <w:rPr>
                <w:rFonts w:ascii="Times New Roman" w:eastAsia="Times New Roman" w:hAnsi="Times New Roman" w:cs="Times New Roman"/>
                <w:iCs/>
                <w:sz w:val="24"/>
                <w:szCs w:val="24"/>
                <w:lang w:eastAsia="lv-LV"/>
              </w:rPr>
              <w:t xml:space="preserve">EDLUS manuāli uzskaitītos datus ne vēlāk kā trīs darba dienu laikā pēc EDLUS </w:t>
            </w:r>
            <w:r w:rsidR="0059171C" w:rsidRPr="002C30C1">
              <w:rPr>
                <w:rFonts w:ascii="Times New Roman" w:eastAsia="Times New Roman" w:hAnsi="Times New Roman" w:cs="Times New Roman"/>
                <w:iCs/>
                <w:sz w:val="24"/>
                <w:szCs w:val="24"/>
                <w:lang w:eastAsia="lv-LV"/>
              </w:rPr>
              <w:t xml:space="preserve">darbības </w:t>
            </w:r>
            <w:r w:rsidRPr="002C30C1">
              <w:rPr>
                <w:rFonts w:ascii="Times New Roman" w:eastAsia="Times New Roman" w:hAnsi="Times New Roman" w:cs="Times New Roman"/>
                <w:iCs/>
                <w:sz w:val="24"/>
                <w:szCs w:val="24"/>
                <w:lang w:eastAsia="lv-LV"/>
              </w:rPr>
              <w:t>traucējumu novēršanas.</w:t>
            </w:r>
            <w:r w:rsidR="0059171C" w:rsidRPr="002C30C1">
              <w:rPr>
                <w:rFonts w:ascii="Times New Roman" w:eastAsia="Times New Roman" w:hAnsi="Times New Roman" w:cs="Times New Roman"/>
                <w:iCs/>
                <w:sz w:val="24"/>
                <w:szCs w:val="24"/>
                <w:lang w:eastAsia="lv-LV"/>
              </w:rPr>
              <w:t xml:space="preserve"> </w:t>
            </w:r>
          </w:p>
          <w:p w14:paraId="686780A4" w14:textId="62475D26" w:rsidR="0059171C" w:rsidRPr="002C30C1" w:rsidRDefault="0059171C"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Ņemot vērā to, ka apakšuzņēmējam, ievērojot likumā “Par nodokļiem un nodevām</w:t>
            </w:r>
            <w:r w:rsidR="00954151"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noteikto, ir pienākums informēt galveno būvdarbu veicēju par EDLUS darbības traucējumiem, kā arī ir jānodrošina kontrole pār to, lai tā darba ņēmēji vai piesaistītās personas reģistrētu savu darba laiku EDLUS, Projekts paredz pienākumu galvenajam būvdarbu veicējam nodrošināt apakšuzņēmējam EDLUS reģistrētos un uzkrātos datus par tā darba ņēmējiem vai piesaistītajām personām.</w:t>
            </w:r>
          </w:p>
          <w:p w14:paraId="77FA4C95" w14:textId="210A3437" w:rsidR="00BA21C5" w:rsidRPr="002C30C1" w:rsidRDefault="00BA21C5" w:rsidP="002712A1">
            <w:pPr>
              <w:spacing w:after="0" w:line="240" w:lineRule="auto"/>
              <w:jc w:val="both"/>
              <w:rPr>
                <w:rFonts w:ascii="Times New Roman" w:eastAsia="Times New Roman" w:hAnsi="Times New Roman" w:cs="Times New Roman"/>
                <w:iCs/>
                <w:sz w:val="24"/>
                <w:szCs w:val="24"/>
                <w:lang w:eastAsia="lv-LV"/>
              </w:rPr>
            </w:pPr>
          </w:p>
          <w:p w14:paraId="1F81E3D8" w14:textId="3CC105F5" w:rsidR="00096698" w:rsidRPr="002C30C1" w:rsidRDefault="00096698" w:rsidP="002712A1">
            <w:pPr>
              <w:spacing w:after="0" w:line="240" w:lineRule="auto"/>
              <w:jc w:val="both"/>
              <w:rPr>
                <w:rFonts w:ascii="Times New Roman" w:eastAsia="Times New Roman" w:hAnsi="Times New Roman" w:cs="Times New Roman"/>
                <w:b/>
                <w:i/>
                <w:iCs/>
                <w:sz w:val="24"/>
                <w:szCs w:val="24"/>
                <w:lang w:eastAsia="lv-LV"/>
              </w:rPr>
            </w:pPr>
            <w:r w:rsidRPr="002C30C1">
              <w:rPr>
                <w:rFonts w:ascii="Times New Roman" w:eastAsia="Times New Roman" w:hAnsi="Times New Roman" w:cs="Times New Roman"/>
                <w:b/>
                <w:i/>
                <w:iCs/>
                <w:sz w:val="24"/>
                <w:szCs w:val="24"/>
                <w:lang w:eastAsia="lv-LV"/>
              </w:rPr>
              <w:t>2.  Par regulējumu attiecībā uz kredītiestādes garantijām</w:t>
            </w:r>
          </w:p>
          <w:p w14:paraId="420C5BF2" w14:textId="77777777"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eastAsia="Times New Roman" w:hAnsi="Times New Roman" w:cs="Times New Roman"/>
                <w:iCs/>
                <w:sz w:val="24"/>
                <w:szCs w:val="24"/>
                <w:lang w:eastAsia="lv-LV"/>
              </w:rPr>
              <w:t>No likuma “Par nodokļiem un nodevām” 28.</w:t>
            </w:r>
            <w:r w:rsidRPr="002C30C1">
              <w:rPr>
                <w:rFonts w:ascii="Times New Roman" w:hAnsi="Times New Roman" w:cs="Times New Roman"/>
                <w:color w:val="000000"/>
                <w:sz w:val="24"/>
                <w:szCs w:val="24"/>
              </w:rPr>
              <w:t> </w:t>
            </w:r>
            <w:r w:rsidRPr="002C30C1">
              <w:rPr>
                <w:rFonts w:ascii="Times New Roman" w:eastAsia="Times New Roman" w:hAnsi="Times New Roman" w:cs="Times New Roman"/>
                <w:iCs/>
                <w:sz w:val="24"/>
                <w:szCs w:val="24"/>
                <w:lang w:eastAsia="lv-LV"/>
              </w:rPr>
              <w:t xml:space="preserve">panta sestās daļas izriet, ka </w:t>
            </w:r>
            <w:r w:rsidRPr="002C30C1">
              <w:rPr>
                <w:rFonts w:ascii="Times New Roman" w:hAnsi="Times New Roman" w:cs="Times New Roman"/>
                <w:sz w:val="24"/>
                <w:szCs w:val="24"/>
              </w:rPr>
              <w:t xml:space="preserve">nodokļa pārmaksa, kuras pamatotība tiek papildus izvērtēta, netiek atmaksāta līdz nodokļu revīzijas (audita) beigām, ja nodokļu maksātājs neiesniedz šā panta piektajā daļā minēto galvojumu vai negarantē šīs summas atmaksāšanu ar ķīlu. Tātad, šobrīd iespējamā nodokļa parāda saistība var tikt pastiprināta tikai ar galvojumu vai nodrošināta ar ķīlu saskaņā ar Civillikuma noteikumiem. </w:t>
            </w:r>
          </w:p>
          <w:p w14:paraId="6F3019DE" w14:textId="77777777"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hAnsi="Times New Roman" w:cs="Times New Roman"/>
                <w:sz w:val="24"/>
                <w:szCs w:val="24"/>
              </w:rPr>
              <w:t xml:space="preserve">Vienlaikus VID ir konstatējis, ka nodokļu maksātāji nodokļu parādu saistību pastiprināšanai iesniedz arī banku garantijas, kas tiek izdotas saskaņā ar Starptautiskās tirdzniecības palātas noteikumiem “Vienotie pieprasījuma garantijas noteikumi” (publikācija Nr. 758, 2010. gada redakcija), kurus piemēro darījumos ar ievērojamām naudas summām, pieprasot garantiju izsniegšanu. </w:t>
            </w:r>
          </w:p>
          <w:p w14:paraId="235D5A61" w14:textId="77777777"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hAnsi="Times New Roman" w:cs="Times New Roman"/>
                <w:sz w:val="24"/>
                <w:szCs w:val="24"/>
              </w:rPr>
              <w:t>Šādos gadījumos trešā persona (kredītiestāde) garantē par citas personas jeb parādnieka saistībām un šo saistību neizpildes gadījumā apņemas garantijas adresātam samaksāt konkrētu naudas summu.</w:t>
            </w:r>
          </w:p>
          <w:p w14:paraId="4F60F11C" w14:textId="77777777"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hAnsi="Times New Roman" w:cs="Times New Roman"/>
                <w:sz w:val="24"/>
                <w:szCs w:val="24"/>
              </w:rPr>
              <w:lastRenderedPageBreak/>
              <w:t>Pamatojoties uz starptautisko praksi un Starptautiskās tirdzniecības kameras (</w:t>
            </w:r>
            <w:r w:rsidRPr="002C30C1">
              <w:rPr>
                <w:rFonts w:ascii="Times New Roman" w:hAnsi="Times New Roman" w:cs="Times New Roman"/>
                <w:i/>
                <w:sz w:val="24"/>
                <w:szCs w:val="24"/>
              </w:rPr>
              <w:t>International Chamber of Commerce</w:t>
            </w:r>
            <w:r w:rsidRPr="002C30C1">
              <w:rPr>
                <w:rFonts w:ascii="Times New Roman" w:hAnsi="Times New Roman" w:cs="Times New Roman"/>
                <w:sz w:val="24"/>
                <w:szCs w:val="24"/>
              </w:rPr>
              <w:t>) Banku tehnikas un prakses komisijas apstiprinātajiem banku garantijas unificētajiem noteikumiem (</w:t>
            </w:r>
            <w:r w:rsidRPr="002C30C1">
              <w:rPr>
                <w:rFonts w:ascii="Times New Roman" w:hAnsi="Times New Roman" w:cs="Times New Roman"/>
                <w:i/>
                <w:sz w:val="24"/>
                <w:szCs w:val="24"/>
              </w:rPr>
              <w:t>Uniform Rules for Demand Guarantees</w:t>
            </w:r>
            <w:r w:rsidRPr="002C30C1">
              <w:rPr>
                <w:rFonts w:ascii="Times New Roman" w:hAnsi="Times New Roman" w:cs="Times New Roman"/>
                <w:sz w:val="24"/>
                <w:szCs w:val="24"/>
              </w:rPr>
              <w:t>), J. Rozenfelds ir analizējis bankas izdotas garantijas saistību ar galvojumu un pamatojis tēzi, ka terminiem “galvojums” un “garantija” ir atšķirīga nozīme, ko neatspoguļo Civillikums (Zinātnisks pētījums. Kalvis Torgāns, zvērināts advokāts, profesors, dr. habil. iur., LZA akadēmiķis Rīga, 2007. gads).</w:t>
            </w:r>
          </w:p>
          <w:p w14:paraId="550EB003" w14:textId="200A1AF5"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hAnsi="Times New Roman" w:cs="Times New Roman"/>
                <w:sz w:val="24"/>
                <w:szCs w:val="24"/>
              </w:rPr>
              <w:t>Tādējādi, ņemot vērā, ka kredītiestādes izsniegtās garantijas ir balstītas uz Starptautiskās tirdzniecības palātas noteikumiem un Civillikuma normas par galvojumu šajos gadījumos nav piemērojamas, likuma “Par nodokļiem un nodevām” 28. panta regulējums ir papildināms ar jaunu nodokļu parāda saistību pastiprināšanas veidu – kredītiestādes izsniegtu garantiju.</w:t>
            </w:r>
            <w:r w:rsidR="006E2585" w:rsidRPr="002C30C1">
              <w:rPr>
                <w:rFonts w:ascii="Times New Roman" w:hAnsi="Times New Roman" w:cs="Times New Roman"/>
                <w:sz w:val="24"/>
                <w:szCs w:val="24"/>
              </w:rPr>
              <w:t xml:space="preserve"> Līdz ar to turpmāk </w:t>
            </w:r>
            <w:r w:rsidR="007419A5" w:rsidRPr="002C30C1">
              <w:rPr>
                <w:rFonts w:ascii="Times New Roman" w:hAnsi="Times New Roman" w:cs="Times New Roman"/>
                <w:sz w:val="24"/>
                <w:szCs w:val="24"/>
              </w:rPr>
              <w:t xml:space="preserve">nodokļu maksātājam, lai saņemtu pārmaksāto nodokli, kura pamatotība tiek vērtēta nodokļu revīzijā (auditā), būs tiesības iespējamo nodokļa parāda saistību pastiprināt ne tikai ar galvojumu vai nodrošināt ar ķīlu, bet arī ar kredītiestādes izsniegtu </w:t>
            </w:r>
            <w:r w:rsidR="002002B6" w:rsidRPr="002C30C1">
              <w:rPr>
                <w:rFonts w:ascii="Times New Roman" w:hAnsi="Times New Roman" w:cs="Times New Roman"/>
                <w:sz w:val="24"/>
                <w:szCs w:val="24"/>
              </w:rPr>
              <w:t>garantiju</w:t>
            </w:r>
            <w:r w:rsidR="00D97AE1" w:rsidRPr="002C30C1">
              <w:rPr>
                <w:rFonts w:ascii="Times New Roman" w:hAnsi="Times New Roman" w:cs="Times New Roman"/>
                <w:sz w:val="24"/>
                <w:szCs w:val="24"/>
              </w:rPr>
              <w:t xml:space="preserve">, savukārt VID, lai nodokļu maksātājam atmaksātu </w:t>
            </w:r>
            <w:r w:rsidR="002002B6" w:rsidRPr="002C30C1">
              <w:rPr>
                <w:rFonts w:ascii="Times New Roman" w:hAnsi="Times New Roman" w:cs="Times New Roman"/>
                <w:sz w:val="24"/>
                <w:szCs w:val="24"/>
              </w:rPr>
              <w:t>pārmaksāto nodokļu summu, kura pamatotība vēl nav apstiprinājusies nodokļu revīzijas (audita) laikā</w:t>
            </w:r>
            <w:r w:rsidR="00D97AE1" w:rsidRPr="002C30C1">
              <w:rPr>
                <w:rFonts w:ascii="Times New Roman" w:hAnsi="Times New Roman" w:cs="Times New Roman"/>
                <w:sz w:val="24"/>
                <w:szCs w:val="24"/>
              </w:rPr>
              <w:t>, būs tiesības cita starpā prasīt iesniegt kredītiestādes izsniegtu garantiju</w:t>
            </w:r>
            <w:r w:rsidR="002002B6" w:rsidRPr="002C30C1">
              <w:rPr>
                <w:rFonts w:ascii="Times New Roman" w:hAnsi="Times New Roman" w:cs="Times New Roman"/>
                <w:sz w:val="24"/>
                <w:szCs w:val="24"/>
              </w:rPr>
              <w:t>.</w:t>
            </w:r>
          </w:p>
          <w:p w14:paraId="540E624B" w14:textId="77777777" w:rsidR="00096698" w:rsidRPr="002C30C1" w:rsidRDefault="00096698" w:rsidP="002712A1">
            <w:pPr>
              <w:spacing w:after="0" w:line="240" w:lineRule="auto"/>
              <w:jc w:val="both"/>
              <w:rPr>
                <w:rFonts w:ascii="Times New Roman" w:eastAsia="Times New Roman" w:hAnsi="Times New Roman" w:cs="Times New Roman"/>
                <w:b/>
                <w:i/>
                <w:iCs/>
                <w:sz w:val="24"/>
                <w:szCs w:val="24"/>
                <w:lang w:eastAsia="lv-LV"/>
              </w:rPr>
            </w:pPr>
          </w:p>
          <w:p w14:paraId="2FE1F6FF" w14:textId="6E685841" w:rsidR="00DE0FAF" w:rsidRPr="002C30C1" w:rsidRDefault="00096698"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Projektā ietvertais r</w:t>
            </w:r>
            <w:r w:rsidR="00BA21C5" w:rsidRPr="002C30C1">
              <w:rPr>
                <w:rFonts w:ascii="Times New Roman" w:eastAsia="Times New Roman" w:hAnsi="Times New Roman" w:cs="Times New Roman"/>
                <w:iCs/>
                <w:sz w:val="24"/>
                <w:szCs w:val="24"/>
                <w:lang w:eastAsia="lv-LV"/>
              </w:rPr>
              <w:t>egulējums</w:t>
            </w:r>
            <w:r w:rsidR="00DE0FAF" w:rsidRPr="002C30C1">
              <w:rPr>
                <w:rFonts w:ascii="Times New Roman" w:eastAsia="Times New Roman" w:hAnsi="Times New Roman" w:cs="Times New Roman"/>
                <w:iCs/>
                <w:sz w:val="24"/>
                <w:szCs w:val="24"/>
                <w:lang w:eastAsia="lv-LV"/>
              </w:rPr>
              <w:t>, izņemot normu, kas paredz paplašināt EDLUS lietošanu,</w:t>
            </w:r>
            <w:r w:rsidR="00BA21C5" w:rsidRPr="002C30C1">
              <w:rPr>
                <w:rFonts w:ascii="Times New Roman" w:eastAsia="Times New Roman" w:hAnsi="Times New Roman" w:cs="Times New Roman"/>
                <w:iCs/>
                <w:sz w:val="24"/>
                <w:szCs w:val="24"/>
                <w:lang w:eastAsia="lv-LV"/>
              </w:rPr>
              <w:t xml:space="preserve"> stāsies spēkā 2019.gada 1.janvārī.</w:t>
            </w:r>
            <w:r w:rsidR="00DE0FAF" w:rsidRPr="002C30C1">
              <w:rPr>
                <w:rFonts w:ascii="Times New Roman" w:eastAsia="Times New Roman" w:hAnsi="Times New Roman" w:cs="Times New Roman"/>
                <w:iCs/>
                <w:sz w:val="24"/>
                <w:szCs w:val="24"/>
                <w:lang w:eastAsia="lv-LV"/>
              </w:rPr>
              <w:t xml:space="preserve"> </w:t>
            </w:r>
          </w:p>
          <w:p w14:paraId="64192715" w14:textId="0F36442C" w:rsidR="00BA21C5" w:rsidRPr="002C30C1" w:rsidRDefault="00DE0FAF"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Regulējums par EDLUS lietošanas paplašināšanu stāsies spēkā 2020.gada 1.janvārī.</w:t>
            </w:r>
          </w:p>
        </w:tc>
      </w:tr>
      <w:tr w:rsidR="00323F13" w:rsidRPr="002C30C1" w14:paraId="06B84C21" w14:textId="77777777" w:rsidTr="001F6A69">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624634C"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lastRenderedPageBreak/>
              <w:t>3.</w:t>
            </w:r>
          </w:p>
        </w:tc>
        <w:tc>
          <w:tcPr>
            <w:tcW w:w="1656" w:type="pct"/>
            <w:tcBorders>
              <w:top w:val="outset" w:sz="6" w:space="0" w:color="auto"/>
              <w:left w:val="outset" w:sz="6" w:space="0" w:color="auto"/>
              <w:bottom w:val="outset" w:sz="6" w:space="0" w:color="auto"/>
              <w:right w:val="outset" w:sz="6" w:space="0" w:color="auto"/>
            </w:tcBorders>
            <w:hideMark/>
          </w:tcPr>
          <w:p w14:paraId="0D021FEC"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84" w:type="pct"/>
            <w:tcBorders>
              <w:top w:val="outset" w:sz="6" w:space="0" w:color="auto"/>
              <w:left w:val="outset" w:sz="6" w:space="0" w:color="auto"/>
              <w:bottom w:val="outset" w:sz="6" w:space="0" w:color="auto"/>
              <w:right w:val="outset" w:sz="6" w:space="0" w:color="auto"/>
            </w:tcBorders>
            <w:hideMark/>
          </w:tcPr>
          <w:p w14:paraId="258F54E3" w14:textId="1DE0A84B"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Finanšu ministrija, VID, </w:t>
            </w:r>
            <w:r w:rsidR="009C4A75" w:rsidRPr="002C30C1">
              <w:rPr>
                <w:rFonts w:ascii="Times New Roman" w:eastAsia="Times New Roman" w:hAnsi="Times New Roman" w:cs="Times New Roman"/>
                <w:iCs/>
                <w:sz w:val="24"/>
                <w:szCs w:val="24"/>
                <w:lang w:eastAsia="lv-LV"/>
              </w:rPr>
              <w:t>Ekonomikas ministrija</w:t>
            </w:r>
          </w:p>
        </w:tc>
      </w:tr>
      <w:tr w:rsidR="00323F13" w:rsidRPr="002C30C1" w14:paraId="6330ED27" w14:textId="77777777" w:rsidTr="001F6A69">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74D4249"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4.</w:t>
            </w:r>
          </w:p>
        </w:tc>
        <w:tc>
          <w:tcPr>
            <w:tcW w:w="1656" w:type="pct"/>
            <w:tcBorders>
              <w:top w:val="outset" w:sz="6" w:space="0" w:color="auto"/>
              <w:left w:val="outset" w:sz="6" w:space="0" w:color="auto"/>
              <w:bottom w:val="outset" w:sz="6" w:space="0" w:color="auto"/>
              <w:right w:val="outset" w:sz="6" w:space="0" w:color="auto"/>
            </w:tcBorders>
            <w:hideMark/>
          </w:tcPr>
          <w:p w14:paraId="19F4E27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Cita informācija</w:t>
            </w:r>
          </w:p>
        </w:tc>
        <w:tc>
          <w:tcPr>
            <w:tcW w:w="2984" w:type="pct"/>
            <w:tcBorders>
              <w:top w:val="outset" w:sz="6" w:space="0" w:color="auto"/>
              <w:left w:val="outset" w:sz="6" w:space="0" w:color="auto"/>
              <w:bottom w:val="outset" w:sz="6" w:space="0" w:color="auto"/>
              <w:right w:val="outset" w:sz="6" w:space="0" w:color="auto"/>
            </w:tcBorders>
          </w:tcPr>
          <w:p w14:paraId="04016C63" w14:textId="77777777" w:rsidR="00323F13" w:rsidRPr="002C30C1" w:rsidRDefault="00710BA4"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Likumprojektā noteiktā regulējuma izstrādei tika rīkotas vairākas sanāksmes, kurās piedalījās VID, Ekonomikas ministrijas un biedrības “Latvijas Būvuzņēmēju partnerība” pārstāvji.</w:t>
            </w:r>
          </w:p>
          <w:p w14:paraId="62A15B1A" w14:textId="4D78F7D8" w:rsidR="00954151" w:rsidRPr="002C30C1" w:rsidRDefault="00954151"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w:t>
            </w:r>
            <w:r w:rsidR="003E15C9" w:rsidRPr="002C30C1">
              <w:rPr>
                <w:rFonts w:ascii="Times New Roman" w:eastAsia="Times New Roman" w:hAnsi="Times New Roman" w:cs="Times New Roman"/>
                <w:iCs/>
                <w:sz w:val="24"/>
                <w:szCs w:val="24"/>
                <w:lang w:eastAsia="lv-LV"/>
              </w:rPr>
              <w:t>a 5.pants</w:t>
            </w:r>
            <w:r w:rsidRPr="002C30C1">
              <w:rPr>
                <w:rFonts w:ascii="Times New Roman" w:eastAsia="Times New Roman" w:hAnsi="Times New Roman" w:cs="Times New Roman"/>
                <w:iCs/>
                <w:sz w:val="24"/>
                <w:szCs w:val="24"/>
                <w:lang w:eastAsia="lv-LV"/>
              </w:rPr>
              <w:t xml:space="preserve"> paredz grozījumus likumā “Par nodokļiem un nodevām” ietvertajos deleģējumos Ministru kabinetam</w:t>
            </w:r>
            <w:r w:rsidR="003E15C9" w:rsidRPr="002C30C1">
              <w:rPr>
                <w:rFonts w:ascii="Times New Roman" w:eastAsia="Times New Roman" w:hAnsi="Times New Roman" w:cs="Times New Roman"/>
                <w:iCs/>
                <w:sz w:val="24"/>
                <w:szCs w:val="24"/>
                <w:lang w:eastAsia="lv-LV"/>
              </w:rPr>
              <w:t xml:space="preserve"> (spēkā esošā likuma 112.panta ceturtā un sestā daļa)</w:t>
            </w:r>
            <w:r w:rsidRPr="002C30C1">
              <w:rPr>
                <w:rFonts w:ascii="Times New Roman" w:eastAsia="Times New Roman" w:hAnsi="Times New Roman" w:cs="Times New Roman"/>
                <w:iCs/>
                <w:sz w:val="24"/>
                <w:szCs w:val="24"/>
                <w:lang w:eastAsia="lv-LV"/>
              </w:rPr>
              <w:t xml:space="preserve">, t.i., izslēgt deleģējumu Ministru kabinetam noteikt kārtību un apmēru, kādā veicama maksa par VEDLUDB izmantošanu, un atbrīvojumus no tās, kā arī saņemto līdzekļu izmantošanas kārtību un izslēgt deleģējumu Ministru kabinetam noteikt </w:t>
            </w:r>
            <w:r w:rsidRPr="002C30C1">
              <w:rPr>
                <w:rFonts w:ascii="Times New Roman" w:eastAsia="Times New Roman" w:hAnsi="Times New Roman" w:cs="Times New Roman"/>
                <w:iCs/>
                <w:sz w:val="24"/>
                <w:szCs w:val="24"/>
                <w:lang w:eastAsia="lv-LV"/>
              </w:rPr>
              <w:lastRenderedPageBreak/>
              <w:t>VEDLUDB tehniskās prasības. Ņemot vērā</w:t>
            </w:r>
            <w:r w:rsidR="00312D1A"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to, ka minētie Ministru kabineta noteikumi vēl nav izstrādāti, P</w:t>
            </w:r>
            <w:r w:rsidRPr="002C30C1">
              <w:rPr>
                <w:rFonts w:ascii="Times New Roman" w:eastAsia="Times New Roman" w:hAnsi="Times New Roman" w:cs="Times New Roman"/>
                <w:bCs/>
                <w:iCs/>
                <w:sz w:val="24"/>
                <w:szCs w:val="24"/>
                <w:lang w:eastAsia="lv-LV"/>
              </w:rPr>
              <w:t>rojektā ietvertais neietekmē spēkā esošo tiesību normu sistēmu.</w:t>
            </w:r>
          </w:p>
        </w:tc>
      </w:tr>
    </w:tbl>
    <w:p w14:paraId="6706E2E8"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23F13" w:rsidRPr="002C30C1" w14:paraId="28465E91" w14:textId="77777777" w:rsidTr="00C37C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3BD426"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23F13" w:rsidRPr="002C30C1" w14:paraId="2F53ECB7" w14:textId="77777777" w:rsidTr="00F318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A6B353"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C3A380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B2C9A70" w14:textId="3B253C26" w:rsidR="00323F13" w:rsidRPr="002C30C1" w:rsidRDefault="00710BA4"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Projektā ietvertais tiesiskais regulējums attiec</w:t>
            </w:r>
            <w:r w:rsidR="00DB6CB9" w:rsidRPr="002C30C1">
              <w:rPr>
                <w:rFonts w:ascii="Times New Roman" w:eastAsia="Times New Roman" w:hAnsi="Times New Roman" w:cs="Times New Roman"/>
                <w:iCs/>
                <w:sz w:val="24"/>
                <w:szCs w:val="24"/>
                <w:lang w:eastAsia="lv-LV"/>
              </w:rPr>
              <w:t>as</w:t>
            </w:r>
            <w:r w:rsidRPr="002C30C1">
              <w:rPr>
                <w:rFonts w:ascii="Times New Roman" w:eastAsia="Times New Roman" w:hAnsi="Times New Roman" w:cs="Times New Roman"/>
                <w:iCs/>
                <w:sz w:val="24"/>
                <w:szCs w:val="24"/>
                <w:lang w:eastAsia="lv-LV"/>
              </w:rPr>
              <w:t xml:space="preserve"> uz galveno būvdarbu veicēju, apakšuzņēmēju un personām, kas nodarbinātas jaunas trešās grupas būves būvniecībā vai būvdarbos, kuru izmaksas veido 1 miljonu euro vai vairāk.</w:t>
            </w:r>
          </w:p>
          <w:p w14:paraId="1A3F1770" w14:textId="62851D0C" w:rsidR="00710BA4" w:rsidRPr="002C30C1" w:rsidRDefault="00710BA4"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No 202</w:t>
            </w:r>
            <w:r w:rsidR="00DB6CB9" w:rsidRPr="002C30C1">
              <w:rPr>
                <w:rFonts w:ascii="Times New Roman" w:eastAsia="Times New Roman" w:hAnsi="Times New Roman" w:cs="Times New Roman"/>
                <w:iCs/>
                <w:sz w:val="24"/>
                <w:szCs w:val="24"/>
                <w:lang w:eastAsia="lv-LV"/>
              </w:rPr>
              <w:t>0</w:t>
            </w:r>
            <w:r w:rsidRPr="002C30C1">
              <w:rPr>
                <w:rFonts w:ascii="Times New Roman" w:eastAsia="Times New Roman" w:hAnsi="Times New Roman" w:cs="Times New Roman"/>
                <w:iCs/>
                <w:sz w:val="24"/>
                <w:szCs w:val="24"/>
                <w:lang w:eastAsia="lv-LV"/>
              </w:rPr>
              <w:t xml:space="preserve">.gada 1.janvāra Projektā ietvertais tiesiskais regulējums attieksies </w:t>
            </w:r>
            <w:r w:rsidR="00DB6CB9" w:rsidRPr="002C30C1">
              <w:rPr>
                <w:rFonts w:ascii="Times New Roman" w:eastAsia="Times New Roman" w:hAnsi="Times New Roman" w:cs="Times New Roman"/>
                <w:iCs/>
                <w:sz w:val="24"/>
                <w:szCs w:val="24"/>
                <w:lang w:eastAsia="lv-LV"/>
              </w:rPr>
              <w:t xml:space="preserve">arī </w:t>
            </w:r>
            <w:r w:rsidRPr="002C30C1">
              <w:rPr>
                <w:rFonts w:ascii="Times New Roman" w:eastAsia="Times New Roman" w:hAnsi="Times New Roman" w:cs="Times New Roman"/>
                <w:iCs/>
                <w:sz w:val="24"/>
                <w:szCs w:val="24"/>
                <w:lang w:eastAsia="lv-LV"/>
              </w:rPr>
              <w:t>uz galveno būvdarbu veicēju, apakšuzņēmēju un personām, kas nodarbinātas jaunas trešās grupas būves būvniecībā vai būvdarbos, kuru izmaksas veido 200 000 euro vai vairāk.</w:t>
            </w:r>
          </w:p>
          <w:p w14:paraId="7084BD02" w14:textId="42534601" w:rsidR="008F5673" w:rsidRPr="002C30C1" w:rsidRDefault="008F567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Projektā ietvertais tiesiskais regulējums, kas paredz iespēju iesniegt kredītiestādes gara</w:t>
            </w:r>
            <w:r w:rsidR="00903484" w:rsidRPr="002C30C1">
              <w:rPr>
                <w:rFonts w:ascii="Times New Roman" w:eastAsia="Times New Roman" w:hAnsi="Times New Roman" w:cs="Times New Roman"/>
                <w:iCs/>
                <w:sz w:val="24"/>
                <w:szCs w:val="24"/>
                <w:lang w:eastAsia="lv-LV"/>
              </w:rPr>
              <w:t xml:space="preserve">ntiju, skar nodokļu maksātājus </w:t>
            </w:r>
            <w:r w:rsidRPr="002C30C1">
              <w:rPr>
                <w:rFonts w:ascii="Times New Roman" w:eastAsia="Times New Roman" w:hAnsi="Times New Roman" w:cs="Times New Roman"/>
                <w:iCs/>
                <w:sz w:val="24"/>
                <w:szCs w:val="24"/>
                <w:lang w:eastAsia="lv-LV"/>
              </w:rPr>
              <w:t>un kredītiestādes.</w:t>
            </w:r>
          </w:p>
        </w:tc>
      </w:tr>
      <w:tr w:rsidR="00323F13" w:rsidRPr="002C30C1" w14:paraId="614B5D9D" w14:textId="77777777" w:rsidTr="00F318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ACED0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20E7A31"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200FD9D" w14:textId="3120622F" w:rsidR="00323F13" w:rsidRPr="002C30C1" w:rsidRDefault="00D448F0"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Ar Projektu tiek risināti tādi nozīmīgi jautājumi kā ēnu ekonomikas mazināšana, nepareiza</w:t>
            </w:r>
            <w:r w:rsidR="00954151"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laika uzskaite būvniecībā</w:t>
            </w:r>
            <w:r w:rsidR="00954151" w:rsidRPr="002C30C1">
              <w:rPr>
                <w:rFonts w:ascii="Times New Roman" w:eastAsia="Times New Roman" w:hAnsi="Times New Roman" w:cs="Times New Roman"/>
                <w:iCs/>
                <w:sz w:val="24"/>
                <w:szCs w:val="24"/>
                <w:lang w:eastAsia="lv-LV"/>
              </w:rPr>
              <w:t xml:space="preserve"> mazināšana/novēršana</w:t>
            </w:r>
            <w:r w:rsidRPr="002C30C1">
              <w:rPr>
                <w:rFonts w:ascii="Times New Roman" w:eastAsia="Times New Roman" w:hAnsi="Times New Roman" w:cs="Times New Roman"/>
                <w:iCs/>
                <w:sz w:val="24"/>
                <w:szCs w:val="24"/>
                <w:lang w:eastAsia="lv-LV"/>
              </w:rPr>
              <w:t>, nodokļu nomaksas veicināšana, līdz ar to izmaksas un administratīvais slogs EDLUS nodrošināšanai ir vērtējams kā samērīgs būvniecības nozarē risināmo jautājumu sakārtošanā. Biedrība “Latvijas Būvuzņēmēju partnerība”, kas pārstāv  būvniecības nozares uzņēmējus, atbalsta EDLUS ieviešanas sliekšņa mazināšanu nozarē, jo tā sekmēs arī godīgu konkurenci būvniecības sektorā.</w:t>
            </w:r>
          </w:p>
          <w:p w14:paraId="20727050" w14:textId="7FB44B08" w:rsidR="008F5673" w:rsidRPr="002C30C1" w:rsidRDefault="008F567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Projektā ietvertajam tiesiskajam regulējumam, kas paredz iespēju iesniegt kredītiestādes garantiju, </w:t>
            </w:r>
            <w:r w:rsidRPr="002C30C1">
              <w:rPr>
                <w:rFonts w:ascii="Times New Roman" w:hAnsi="Times New Roman" w:cs="Times New Roman"/>
                <w:sz w:val="24"/>
                <w:szCs w:val="24"/>
              </w:rPr>
              <w:t>ir pozitīva ietekme uz uzņēmējdarbības vidi, jo tā rezultātā nodokļu maksātājam ir iespēja rīkoties ar nodokļu pārmaksu summām, vienlaikus garantējot, ka nepieciešamības gadījumā budžets saņems visus tam pienākošos maksājumus.</w:t>
            </w:r>
          </w:p>
        </w:tc>
      </w:tr>
      <w:tr w:rsidR="00323F13" w:rsidRPr="002C30C1" w14:paraId="2674D5F9" w14:textId="77777777" w:rsidTr="00F318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5344D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C85197D"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92FB664" w14:textId="4DB5F56D" w:rsidR="00323F13" w:rsidRPr="002C30C1" w:rsidRDefault="00372AA1"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Administratīvo izmaksu aprēķinu nav iespējams veikt, ņemot vērā, ka galvenais būvdarbu veicējs var izmantot dažādus risinājumus darba laika būvlaukumā elektroniskai reģistrācijai, EDLUS ieviešanai un datu nodošanai uz VEDLUDB.</w:t>
            </w:r>
          </w:p>
        </w:tc>
      </w:tr>
      <w:tr w:rsidR="00D24A87" w:rsidRPr="002C30C1" w14:paraId="6421B93C" w14:textId="77777777" w:rsidTr="00F31868">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338A94B" w14:textId="53A66333" w:rsidR="00D24A87" w:rsidRPr="002C30C1" w:rsidRDefault="00D24A87"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tcPr>
          <w:p w14:paraId="3FC392A4" w14:textId="313888B3" w:rsidR="00D24A87" w:rsidRPr="002C30C1" w:rsidRDefault="00D24A87"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CDD62BD" w14:textId="719368D0" w:rsidR="00D24A87" w:rsidRPr="002C30C1" w:rsidRDefault="00372AA1"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Atbilstības izmaksu aprēķinu nav iespējams veikt, ņemot vērā, ka galvenais būvdarbu veicējs var izmantot dažādus risinājumus darba laika būvlaukumā elektroniskai reģistrācijai, EDLUS ieviešanai un datu nodošanai uz VEDLUDB.</w:t>
            </w:r>
          </w:p>
        </w:tc>
      </w:tr>
      <w:tr w:rsidR="00D24A87" w:rsidRPr="002C30C1" w14:paraId="1A72B28B" w14:textId="77777777" w:rsidTr="00F318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E6F29A" w14:textId="2388EF9A" w:rsidR="00D24A87" w:rsidRPr="002C30C1" w:rsidRDefault="00E01E89"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5</w:t>
            </w:r>
            <w:r w:rsidR="00D24A87" w:rsidRPr="002C30C1">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74F5F0A8" w14:textId="77777777" w:rsidR="00D24A87" w:rsidRPr="002C30C1" w:rsidRDefault="00D24A87"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1E60C2" w14:textId="77777777" w:rsidR="00D24A87" w:rsidRPr="002C30C1" w:rsidRDefault="00D24A87"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Nav</w:t>
            </w:r>
          </w:p>
        </w:tc>
      </w:tr>
    </w:tbl>
    <w:p w14:paraId="3D383D96" w14:textId="48F93288" w:rsidR="00323F13" w:rsidRPr="002C30C1" w:rsidRDefault="00323F13" w:rsidP="002712A1">
      <w:pPr>
        <w:spacing w:after="0" w:line="240" w:lineRule="auto"/>
        <w:rPr>
          <w:rFonts w:ascii="Times New Roman" w:eastAsia="Times New Roman" w:hAnsi="Times New Roman" w:cs="Times New Roman"/>
          <w:iCs/>
          <w:sz w:val="24"/>
          <w:szCs w:val="24"/>
          <w:lang w:val="en-US" w:eastAsia="lv-LV"/>
        </w:rPr>
      </w:pPr>
      <w:r w:rsidRPr="002C30C1">
        <w:rPr>
          <w:rFonts w:ascii="Times New Roman" w:eastAsia="Times New Roman" w:hAnsi="Times New Roman" w:cs="Times New Roman"/>
          <w:iCs/>
          <w:sz w:val="24"/>
          <w:szCs w:val="24"/>
          <w:lang w:val="en-US" w:eastAsia="lv-LV"/>
        </w:rPr>
        <w:lastRenderedPageBreak/>
        <w:t xml:space="preserve">  </w:t>
      </w:r>
    </w:p>
    <w:tbl>
      <w:tblPr>
        <w:tblW w:w="9208"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1577"/>
        <w:gridCol w:w="931"/>
        <w:gridCol w:w="1021"/>
        <w:gridCol w:w="842"/>
        <w:gridCol w:w="1257"/>
        <w:gridCol w:w="1449"/>
        <w:gridCol w:w="1257"/>
        <w:gridCol w:w="1277"/>
      </w:tblGrid>
      <w:tr w:rsidR="00091362" w:rsidRPr="002C30C1" w14:paraId="73C7BF15" w14:textId="77777777" w:rsidTr="004B3267">
        <w:trPr>
          <w:cantSplit/>
          <w:tblCellSpacing w:w="20" w:type="dxa"/>
        </w:trPr>
        <w:tc>
          <w:tcPr>
            <w:tcW w:w="9128" w:type="dxa"/>
            <w:gridSpan w:val="8"/>
            <w:shd w:val="clear" w:color="auto" w:fill="auto"/>
            <w:vAlign w:val="center"/>
            <w:hideMark/>
          </w:tcPr>
          <w:p w14:paraId="2DC4D90E" w14:textId="77777777" w:rsidR="00091362" w:rsidRPr="002C30C1" w:rsidRDefault="00091362"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III. Tiesību akta projekta ietekme uz valsts budžetu un pašvaldību budžetiem</w:t>
            </w:r>
          </w:p>
        </w:tc>
      </w:tr>
      <w:tr w:rsidR="00091362" w:rsidRPr="002C30C1" w14:paraId="25DB9CA6" w14:textId="77777777" w:rsidTr="004B3267">
        <w:trPr>
          <w:cantSplit/>
          <w:tblCellSpacing w:w="20" w:type="dxa"/>
        </w:trPr>
        <w:tc>
          <w:tcPr>
            <w:tcW w:w="0" w:type="auto"/>
            <w:vMerge w:val="restart"/>
            <w:shd w:val="clear" w:color="auto" w:fill="FFFFFF"/>
            <w:vAlign w:val="center"/>
          </w:tcPr>
          <w:p w14:paraId="50FA7007" w14:textId="77777777" w:rsidR="00091362" w:rsidRPr="002C30C1" w:rsidRDefault="00091362" w:rsidP="002712A1">
            <w:pPr>
              <w:spacing w:after="0" w:line="240" w:lineRule="auto"/>
              <w:rPr>
                <w:rFonts w:ascii="Times New Roman" w:eastAsia="Times New Roman" w:hAnsi="Times New Roman" w:cs="Times New Roman"/>
                <w:bCs/>
                <w:iCs/>
                <w:sz w:val="24"/>
                <w:szCs w:val="24"/>
                <w:lang w:eastAsia="lv-LV"/>
              </w:rPr>
            </w:pPr>
            <w:r w:rsidRPr="002C30C1">
              <w:rPr>
                <w:rFonts w:ascii="Times New Roman" w:eastAsia="Times New Roman" w:hAnsi="Times New Roman" w:cs="Times New Roman"/>
                <w:bCs/>
                <w:iCs/>
                <w:sz w:val="24"/>
                <w:szCs w:val="24"/>
                <w:lang w:eastAsia="lv-LV"/>
              </w:rPr>
              <w:t>Rādītāji</w:t>
            </w:r>
          </w:p>
        </w:tc>
        <w:tc>
          <w:tcPr>
            <w:tcW w:w="0" w:type="auto"/>
            <w:gridSpan w:val="2"/>
            <w:vMerge w:val="restart"/>
            <w:shd w:val="clear" w:color="auto" w:fill="FFFFFF"/>
            <w:vAlign w:val="center"/>
            <w:hideMark/>
          </w:tcPr>
          <w:p w14:paraId="32A8AFDC" w14:textId="0F132979" w:rsidR="00091362" w:rsidRPr="002C30C1" w:rsidRDefault="0030069E" w:rsidP="002712A1">
            <w:pPr>
              <w:spacing w:after="0" w:line="240" w:lineRule="auto"/>
              <w:jc w:val="center"/>
              <w:rPr>
                <w:rFonts w:ascii="Times New Roman" w:eastAsia="Times New Roman" w:hAnsi="Times New Roman" w:cs="Times New Roman"/>
                <w:bCs/>
                <w:iCs/>
                <w:sz w:val="23"/>
                <w:szCs w:val="23"/>
                <w:lang w:eastAsia="lv-LV"/>
              </w:rPr>
            </w:pPr>
            <w:r w:rsidRPr="002C30C1">
              <w:rPr>
                <w:rFonts w:ascii="Times New Roman" w:eastAsia="Times New Roman" w:hAnsi="Times New Roman" w:cs="Times New Roman"/>
                <w:bCs/>
                <w:iCs/>
                <w:sz w:val="23"/>
                <w:szCs w:val="23"/>
                <w:lang w:eastAsia="lv-LV"/>
              </w:rPr>
              <w:t>2018</w:t>
            </w:r>
          </w:p>
        </w:tc>
        <w:tc>
          <w:tcPr>
            <w:tcW w:w="5780" w:type="dxa"/>
            <w:gridSpan w:val="5"/>
            <w:shd w:val="clear" w:color="auto" w:fill="FFFFFF"/>
            <w:vAlign w:val="center"/>
            <w:hideMark/>
          </w:tcPr>
          <w:p w14:paraId="0C6F534E"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Turpmākie trīs gadi (</w:t>
            </w:r>
            <w:r w:rsidRPr="002C30C1">
              <w:rPr>
                <w:rFonts w:ascii="Times New Roman" w:eastAsia="Times New Roman" w:hAnsi="Times New Roman" w:cs="Times New Roman"/>
                <w:i/>
                <w:iCs/>
                <w:sz w:val="23"/>
                <w:szCs w:val="23"/>
                <w:lang w:eastAsia="lv-LV"/>
              </w:rPr>
              <w:t>euro</w:t>
            </w:r>
            <w:r w:rsidRPr="002C30C1">
              <w:rPr>
                <w:rFonts w:ascii="Times New Roman" w:eastAsia="Times New Roman" w:hAnsi="Times New Roman" w:cs="Times New Roman"/>
                <w:iCs/>
                <w:sz w:val="23"/>
                <w:szCs w:val="23"/>
                <w:lang w:eastAsia="lv-LV"/>
              </w:rPr>
              <w:t>)</w:t>
            </w:r>
          </w:p>
        </w:tc>
      </w:tr>
      <w:tr w:rsidR="00091362" w:rsidRPr="002C30C1" w14:paraId="0DB38B86" w14:textId="77777777" w:rsidTr="004B3267">
        <w:trPr>
          <w:cantSplit/>
          <w:tblCellSpacing w:w="20" w:type="dxa"/>
        </w:trPr>
        <w:tc>
          <w:tcPr>
            <w:tcW w:w="0" w:type="auto"/>
            <w:vMerge/>
            <w:shd w:val="clear" w:color="auto" w:fill="auto"/>
            <w:vAlign w:val="center"/>
            <w:hideMark/>
          </w:tcPr>
          <w:p w14:paraId="75154074" w14:textId="77777777" w:rsidR="00091362" w:rsidRPr="002C30C1" w:rsidRDefault="00091362" w:rsidP="002712A1">
            <w:pPr>
              <w:spacing w:after="0" w:line="240" w:lineRule="auto"/>
              <w:rPr>
                <w:rFonts w:ascii="Times New Roman" w:eastAsia="Times New Roman" w:hAnsi="Times New Roman" w:cs="Times New Roman"/>
                <w:bCs/>
                <w:iCs/>
                <w:sz w:val="24"/>
                <w:szCs w:val="24"/>
                <w:lang w:eastAsia="lv-LV"/>
              </w:rPr>
            </w:pPr>
          </w:p>
        </w:tc>
        <w:tc>
          <w:tcPr>
            <w:tcW w:w="0" w:type="auto"/>
            <w:gridSpan w:val="2"/>
            <w:vMerge/>
            <w:shd w:val="clear" w:color="auto" w:fill="auto"/>
            <w:vAlign w:val="center"/>
            <w:hideMark/>
          </w:tcPr>
          <w:p w14:paraId="4B568C2A" w14:textId="77777777" w:rsidR="00091362" w:rsidRPr="002C30C1" w:rsidRDefault="00091362" w:rsidP="002712A1">
            <w:pPr>
              <w:spacing w:after="0" w:line="240" w:lineRule="auto"/>
              <w:rPr>
                <w:rFonts w:ascii="Times New Roman" w:eastAsia="Times New Roman" w:hAnsi="Times New Roman" w:cs="Times New Roman"/>
                <w:bCs/>
                <w:iCs/>
                <w:sz w:val="23"/>
                <w:szCs w:val="23"/>
                <w:lang w:eastAsia="lv-LV"/>
              </w:rPr>
            </w:pPr>
          </w:p>
        </w:tc>
        <w:tc>
          <w:tcPr>
            <w:tcW w:w="0" w:type="auto"/>
            <w:gridSpan w:val="2"/>
            <w:shd w:val="clear" w:color="auto" w:fill="FFFFFF"/>
            <w:vAlign w:val="center"/>
            <w:hideMark/>
          </w:tcPr>
          <w:p w14:paraId="524C01FF" w14:textId="5CCFE07E" w:rsidR="00091362" w:rsidRPr="002C30C1" w:rsidRDefault="0030069E" w:rsidP="002712A1">
            <w:pPr>
              <w:spacing w:after="0" w:line="240" w:lineRule="auto"/>
              <w:jc w:val="center"/>
              <w:rPr>
                <w:rFonts w:ascii="Times New Roman" w:eastAsia="Times New Roman" w:hAnsi="Times New Roman" w:cs="Times New Roman"/>
                <w:b/>
                <w:bCs/>
                <w:iCs/>
                <w:sz w:val="23"/>
                <w:szCs w:val="23"/>
                <w:lang w:eastAsia="lv-LV"/>
              </w:rPr>
            </w:pPr>
            <w:r w:rsidRPr="002C30C1">
              <w:rPr>
                <w:rFonts w:ascii="Times New Roman" w:eastAsia="Times New Roman" w:hAnsi="Times New Roman" w:cs="Times New Roman"/>
                <w:b/>
                <w:bCs/>
                <w:iCs/>
                <w:sz w:val="23"/>
                <w:szCs w:val="23"/>
                <w:lang w:eastAsia="lv-LV"/>
              </w:rPr>
              <w:t>2019</w:t>
            </w:r>
          </w:p>
        </w:tc>
        <w:tc>
          <w:tcPr>
            <w:tcW w:w="0" w:type="auto"/>
            <w:gridSpan w:val="2"/>
            <w:shd w:val="clear" w:color="auto" w:fill="FFFFFF"/>
            <w:vAlign w:val="center"/>
            <w:hideMark/>
          </w:tcPr>
          <w:p w14:paraId="48F56C34" w14:textId="1F87F16D" w:rsidR="00091362" w:rsidRPr="002C30C1" w:rsidRDefault="0030069E" w:rsidP="002712A1">
            <w:pPr>
              <w:spacing w:after="0" w:line="240" w:lineRule="auto"/>
              <w:jc w:val="center"/>
              <w:rPr>
                <w:rFonts w:ascii="Times New Roman" w:eastAsia="Times New Roman" w:hAnsi="Times New Roman" w:cs="Times New Roman"/>
                <w:b/>
                <w:bCs/>
                <w:iCs/>
                <w:sz w:val="23"/>
                <w:szCs w:val="23"/>
                <w:lang w:eastAsia="lv-LV"/>
              </w:rPr>
            </w:pPr>
            <w:r w:rsidRPr="002C30C1">
              <w:rPr>
                <w:rFonts w:ascii="Times New Roman" w:eastAsia="Times New Roman" w:hAnsi="Times New Roman" w:cs="Times New Roman"/>
                <w:b/>
                <w:bCs/>
                <w:iCs/>
                <w:sz w:val="23"/>
                <w:szCs w:val="23"/>
                <w:lang w:eastAsia="lv-LV"/>
              </w:rPr>
              <w:t>2020</w:t>
            </w:r>
          </w:p>
        </w:tc>
        <w:tc>
          <w:tcPr>
            <w:tcW w:w="1286" w:type="dxa"/>
            <w:shd w:val="clear" w:color="auto" w:fill="FFFFFF"/>
            <w:vAlign w:val="center"/>
            <w:hideMark/>
          </w:tcPr>
          <w:p w14:paraId="0A44D532" w14:textId="78803331" w:rsidR="00091362" w:rsidRPr="002C30C1" w:rsidRDefault="0030069E" w:rsidP="002712A1">
            <w:pPr>
              <w:spacing w:after="0" w:line="240" w:lineRule="auto"/>
              <w:jc w:val="center"/>
              <w:rPr>
                <w:rFonts w:ascii="Times New Roman" w:eastAsia="Times New Roman" w:hAnsi="Times New Roman" w:cs="Times New Roman"/>
                <w:b/>
                <w:bCs/>
                <w:iCs/>
                <w:sz w:val="23"/>
                <w:szCs w:val="23"/>
                <w:lang w:eastAsia="lv-LV"/>
              </w:rPr>
            </w:pPr>
            <w:r w:rsidRPr="002C30C1">
              <w:rPr>
                <w:rFonts w:ascii="Times New Roman" w:eastAsia="Times New Roman" w:hAnsi="Times New Roman" w:cs="Times New Roman"/>
                <w:b/>
                <w:bCs/>
                <w:iCs/>
                <w:sz w:val="23"/>
                <w:szCs w:val="23"/>
                <w:lang w:eastAsia="lv-LV"/>
              </w:rPr>
              <w:t>2021</w:t>
            </w:r>
          </w:p>
        </w:tc>
      </w:tr>
      <w:tr w:rsidR="00E71B7E" w:rsidRPr="002C30C1" w14:paraId="7B596D96" w14:textId="77777777" w:rsidTr="004B3267">
        <w:trPr>
          <w:cantSplit/>
          <w:tblCellSpacing w:w="20" w:type="dxa"/>
        </w:trPr>
        <w:tc>
          <w:tcPr>
            <w:tcW w:w="0" w:type="auto"/>
            <w:vMerge/>
            <w:shd w:val="clear" w:color="auto" w:fill="auto"/>
            <w:vAlign w:val="center"/>
            <w:hideMark/>
          </w:tcPr>
          <w:p w14:paraId="3BFC5B89" w14:textId="77777777" w:rsidR="00091362" w:rsidRPr="002C30C1" w:rsidRDefault="00091362" w:rsidP="002712A1">
            <w:pPr>
              <w:spacing w:after="0" w:line="240" w:lineRule="auto"/>
              <w:rPr>
                <w:rFonts w:ascii="Times New Roman" w:eastAsia="Times New Roman" w:hAnsi="Times New Roman" w:cs="Times New Roman"/>
                <w:b/>
                <w:bCs/>
                <w:iCs/>
                <w:sz w:val="24"/>
                <w:szCs w:val="24"/>
                <w:lang w:eastAsia="lv-LV"/>
              </w:rPr>
            </w:pPr>
          </w:p>
        </w:tc>
        <w:tc>
          <w:tcPr>
            <w:tcW w:w="0" w:type="auto"/>
            <w:shd w:val="clear" w:color="auto" w:fill="FFFFFF"/>
            <w:vAlign w:val="center"/>
            <w:hideMark/>
          </w:tcPr>
          <w:p w14:paraId="5B507806"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saskaņā ar valsts budžetu kārtējam gadam</w:t>
            </w:r>
          </w:p>
        </w:tc>
        <w:tc>
          <w:tcPr>
            <w:tcW w:w="0" w:type="auto"/>
            <w:shd w:val="clear" w:color="auto" w:fill="FFFFFF"/>
            <w:vAlign w:val="center"/>
            <w:hideMark/>
          </w:tcPr>
          <w:p w14:paraId="3919758B"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izmaiņas kārtējā gadā, salīdzinot ar valsts budžetu kārtējam gadam</w:t>
            </w:r>
          </w:p>
        </w:tc>
        <w:tc>
          <w:tcPr>
            <w:tcW w:w="0" w:type="auto"/>
            <w:shd w:val="clear" w:color="auto" w:fill="FFFFFF"/>
            <w:vAlign w:val="center"/>
            <w:hideMark/>
          </w:tcPr>
          <w:p w14:paraId="20BF1689"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saskaņā ar vidēja termiņa budžeta ietvaru</w:t>
            </w:r>
          </w:p>
        </w:tc>
        <w:tc>
          <w:tcPr>
            <w:tcW w:w="0" w:type="auto"/>
            <w:shd w:val="clear" w:color="auto" w:fill="FFFFFF"/>
            <w:vAlign w:val="center"/>
            <w:hideMark/>
          </w:tcPr>
          <w:p w14:paraId="5DD052B8" w14:textId="5270DFE3"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xml:space="preserve">izmaiņas, salīdzinot ar vidēja termiņa budžeta ietvaru </w:t>
            </w:r>
            <w:r w:rsidR="00107ED3" w:rsidRPr="002C30C1">
              <w:rPr>
                <w:rFonts w:ascii="Times New Roman" w:eastAsia="Times New Roman" w:hAnsi="Times New Roman" w:cs="Times New Roman"/>
                <w:iCs/>
                <w:sz w:val="23"/>
                <w:szCs w:val="23"/>
                <w:lang w:eastAsia="lv-LV"/>
              </w:rPr>
              <w:t>2019</w:t>
            </w:r>
            <w:r w:rsidR="00795F01" w:rsidRPr="002C30C1">
              <w:rPr>
                <w:rFonts w:ascii="Times New Roman" w:eastAsia="Times New Roman" w:hAnsi="Times New Roman" w:cs="Times New Roman"/>
                <w:iCs/>
                <w:sz w:val="23"/>
                <w:szCs w:val="23"/>
                <w:lang w:eastAsia="lv-LV"/>
              </w:rPr>
              <w:t>.</w:t>
            </w:r>
            <w:r w:rsidRPr="002C30C1">
              <w:rPr>
                <w:rFonts w:ascii="Times New Roman" w:eastAsia="Times New Roman" w:hAnsi="Times New Roman" w:cs="Times New Roman"/>
                <w:iCs/>
                <w:sz w:val="23"/>
                <w:szCs w:val="23"/>
                <w:lang w:eastAsia="lv-LV"/>
              </w:rPr>
              <w:t>gadam</w:t>
            </w:r>
          </w:p>
        </w:tc>
        <w:tc>
          <w:tcPr>
            <w:tcW w:w="0" w:type="auto"/>
            <w:shd w:val="clear" w:color="auto" w:fill="FFFFFF"/>
            <w:vAlign w:val="center"/>
            <w:hideMark/>
          </w:tcPr>
          <w:p w14:paraId="1C024B97"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saskaņā ar vidēja termiņa budžeta ietvaru</w:t>
            </w:r>
          </w:p>
        </w:tc>
        <w:tc>
          <w:tcPr>
            <w:tcW w:w="0" w:type="auto"/>
            <w:shd w:val="clear" w:color="auto" w:fill="FFFFFF"/>
            <w:vAlign w:val="center"/>
            <w:hideMark/>
          </w:tcPr>
          <w:p w14:paraId="110D5393" w14:textId="77777777" w:rsidR="00795F01"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xml:space="preserve">izmaiņas, salīdzinot ar vidēja termiņa budžeta ietvaru </w:t>
            </w:r>
          </w:p>
          <w:p w14:paraId="1F1AA52B" w14:textId="34AC1B7C" w:rsidR="00091362" w:rsidRPr="002C30C1" w:rsidRDefault="00107ED3"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2020</w:t>
            </w:r>
            <w:r w:rsidR="00795F01" w:rsidRPr="002C30C1">
              <w:rPr>
                <w:rFonts w:ascii="Times New Roman" w:eastAsia="Times New Roman" w:hAnsi="Times New Roman" w:cs="Times New Roman"/>
                <w:iCs/>
                <w:sz w:val="23"/>
                <w:szCs w:val="23"/>
                <w:lang w:eastAsia="lv-LV"/>
              </w:rPr>
              <w:t>.</w:t>
            </w:r>
            <w:r w:rsidR="00091362" w:rsidRPr="002C30C1">
              <w:rPr>
                <w:rFonts w:ascii="Times New Roman" w:eastAsia="Times New Roman" w:hAnsi="Times New Roman" w:cs="Times New Roman"/>
                <w:iCs/>
                <w:sz w:val="23"/>
                <w:szCs w:val="23"/>
                <w:lang w:eastAsia="lv-LV"/>
              </w:rPr>
              <w:t>gadam</w:t>
            </w:r>
          </w:p>
        </w:tc>
        <w:tc>
          <w:tcPr>
            <w:tcW w:w="1286" w:type="dxa"/>
            <w:shd w:val="clear" w:color="auto" w:fill="FFFFFF"/>
            <w:vAlign w:val="center"/>
            <w:hideMark/>
          </w:tcPr>
          <w:p w14:paraId="5C3F16C5" w14:textId="0E6B33FF"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xml:space="preserve">izmaiņas, salīdzinot ar vidēja termiņa budžeta ietvaru </w:t>
            </w:r>
            <w:r w:rsidRPr="002C30C1">
              <w:rPr>
                <w:rFonts w:ascii="Times New Roman" w:eastAsia="Times New Roman" w:hAnsi="Times New Roman" w:cs="Times New Roman"/>
                <w:iCs/>
                <w:sz w:val="23"/>
                <w:szCs w:val="23"/>
                <w:lang w:eastAsia="lv-LV"/>
              </w:rPr>
              <w:br/>
            </w:r>
            <w:r w:rsidR="00107ED3" w:rsidRPr="002C30C1">
              <w:rPr>
                <w:rFonts w:ascii="Times New Roman" w:eastAsia="Times New Roman" w:hAnsi="Times New Roman" w:cs="Times New Roman"/>
                <w:iCs/>
                <w:sz w:val="23"/>
                <w:szCs w:val="23"/>
                <w:lang w:eastAsia="lv-LV"/>
              </w:rPr>
              <w:t>2020</w:t>
            </w:r>
            <w:r w:rsidR="00795F01" w:rsidRPr="002C30C1">
              <w:rPr>
                <w:rFonts w:ascii="Times New Roman" w:eastAsia="Times New Roman" w:hAnsi="Times New Roman" w:cs="Times New Roman"/>
                <w:iCs/>
                <w:sz w:val="23"/>
                <w:szCs w:val="23"/>
                <w:lang w:eastAsia="lv-LV"/>
              </w:rPr>
              <w:t>.</w:t>
            </w:r>
            <w:r w:rsidRPr="002C30C1">
              <w:rPr>
                <w:rFonts w:ascii="Times New Roman" w:eastAsia="Times New Roman" w:hAnsi="Times New Roman" w:cs="Times New Roman"/>
                <w:iCs/>
                <w:sz w:val="23"/>
                <w:szCs w:val="23"/>
                <w:lang w:eastAsia="lv-LV"/>
              </w:rPr>
              <w:t>gadam</w:t>
            </w:r>
          </w:p>
        </w:tc>
      </w:tr>
      <w:tr w:rsidR="00E71B7E" w:rsidRPr="002C30C1" w14:paraId="1A0F16CF" w14:textId="77777777" w:rsidTr="004B3267">
        <w:trPr>
          <w:cantSplit/>
          <w:tblCellSpacing w:w="20" w:type="dxa"/>
        </w:trPr>
        <w:tc>
          <w:tcPr>
            <w:tcW w:w="0" w:type="auto"/>
            <w:shd w:val="clear" w:color="auto" w:fill="FFFFFF"/>
            <w:vAlign w:val="center"/>
            <w:hideMark/>
          </w:tcPr>
          <w:p w14:paraId="30CE1485"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w:t>
            </w:r>
          </w:p>
        </w:tc>
        <w:tc>
          <w:tcPr>
            <w:tcW w:w="0" w:type="auto"/>
            <w:shd w:val="clear" w:color="auto" w:fill="FFFFFF"/>
            <w:vAlign w:val="center"/>
            <w:hideMark/>
          </w:tcPr>
          <w:p w14:paraId="6CF60410"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w:t>
            </w:r>
          </w:p>
        </w:tc>
        <w:tc>
          <w:tcPr>
            <w:tcW w:w="0" w:type="auto"/>
            <w:shd w:val="clear" w:color="auto" w:fill="FFFFFF"/>
            <w:vAlign w:val="center"/>
            <w:hideMark/>
          </w:tcPr>
          <w:p w14:paraId="3506BA2C"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w:t>
            </w:r>
          </w:p>
        </w:tc>
        <w:tc>
          <w:tcPr>
            <w:tcW w:w="0" w:type="auto"/>
            <w:shd w:val="clear" w:color="auto" w:fill="FFFFFF"/>
            <w:vAlign w:val="center"/>
            <w:hideMark/>
          </w:tcPr>
          <w:p w14:paraId="5E20F43D"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w:t>
            </w:r>
          </w:p>
        </w:tc>
        <w:tc>
          <w:tcPr>
            <w:tcW w:w="0" w:type="auto"/>
            <w:shd w:val="clear" w:color="auto" w:fill="FFFFFF"/>
            <w:vAlign w:val="center"/>
            <w:hideMark/>
          </w:tcPr>
          <w:p w14:paraId="3146A23A"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w:t>
            </w:r>
          </w:p>
        </w:tc>
        <w:tc>
          <w:tcPr>
            <w:tcW w:w="0" w:type="auto"/>
            <w:shd w:val="clear" w:color="auto" w:fill="FFFFFF"/>
            <w:vAlign w:val="center"/>
            <w:hideMark/>
          </w:tcPr>
          <w:p w14:paraId="7DCA4B48"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6</w:t>
            </w:r>
          </w:p>
        </w:tc>
        <w:tc>
          <w:tcPr>
            <w:tcW w:w="0" w:type="auto"/>
            <w:shd w:val="clear" w:color="auto" w:fill="FFFFFF"/>
            <w:vAlign w:val="center"/>
            <w:hideMark/>
          </w:tcPr>
          <w:p w14:paraId="54B6FC8B"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7</w:t>
            </w:r>
          </w:p>
        </w:tc>
        <w:tc>
          <w:tcPr>
            <w:tcW w:w="1286" w:type="dxa"/>
            <w:shd w:val="clear" w:color="auto" w:fill="FFFFFF"/>
            <w:vAlign w:val="center"/>
            <w:hideMark/>
          </w:tcPr>
          <w:p w14:paraId="0B035636"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8</w:t>
            </w:r>
          </w:p>
        </w:tc>
      </w:tr>
      <w:tr w:rsidR="00E71B7E" w:rsidRPr="002C30C1" w14:paraId="4D69734D" w14:textId="77777777" w:rsidTr="004B3267">
        <w:trPr>
          <w:cantSplit/>
          <w:tblCellSpacing w:w="20" w:type="dxa"/>
        </w:trPr>
        <w:tc>
          <w:tcPr>
            <w:tcW w:w="0" w:type="auto"/>
            <w:shd w:val="clear" w:color="auto" w:fill="auto"/>
            <w:hideMark/>
          </w:tcPr>
          <w:p w14:paraId="4FEAB7B9" w14:textId="77777777" w:rsidR="00091362" w:rsidRPr="002C30C1" w:rsidRDefault="00091362"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1. Budžeta ieņēmumi</w:t>
            </w:r>
          </w:p>
        </w:tc>
        <w:tc>
          <w:tcPr>
            <w:tcW w:w="0" w:type="auto"/>
            <w:shd w:val="clear" w:color="auto" w:fill="auto"/>
            <w:vAlign w:val="center"/>
            <w:hideMark/>
          </w:tcPr>
          <w:p w14:paraId="7A971AB5" w14:textId="331B191F" w:rsidR="00091362" w:rsidRPr="002C30C1" w:rsidRDefault="00780AA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0" w:type="auto"/>
            <w:shd w:val="clear" w:color="auto" w:fill="auto"/>
            <w:vAlign w:val="center"/>
            <w:hideMark/>
          </w:tcPr>
          <w:p w14:paraId="11E87E2E" w14:textId="11DF29AD" w:rsidR="00091362" w:rsidRPr="002C30C1" w:rsidRDefault="00780AA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0" w:type="auto"/>
            <w:shd w:val="clear" w:color="auto" w:fill="auto"/>
            <w:vAlign w:val="center"/>
            <w:hideMark/>
          </w:tcPr>
          <w:p w14:paraId="1F3D57E5" w14:textId="3A08317C" w:rsidR="00091362" w:rsidRPr="002C30C1" w:rsidRDefault="00780AA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0" w:type="auto"/>
            <w:shd w:val="clear" w:color="auto" w:fill="auto"/>
            <w:vAlign w:val="center"/>
            <w:hideMark/>
          </w:tcPr>
          <w:p w14:paraId="0F61B3FA" w14:textId="584B6608" w:rsidR="00091362" w:rsidRPr="002C30C1" w:rsidRDefault="00780AA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0" w:type="auto"/>
            <w:shd w:val="clear" w:color="auto" w:fill="auto"/>
            <w:vAlign w:val="center"/>
          </w:tcPr>
          <w:p w14:paraId="324231BF" w14:textId="49FFAC75" w:rsidR="00091362"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4 891 226 056</w:t>
            </w:r>
          </w:p>
        </w:tc>
        <w:tc>
          <w:tcPr>
            <w:tcW w:w="0" w:type="auto"/>
            <w:shd w:val="clear" w:color="auto" w:fill="auto"/>
            <w:vAlign w:val="center"/>
            <w:hideMark/>
          </w:tcPr>
          <w:p w14:paraId="307B4182" w14:textId="407B1919" w:rsidR="00091362" w:rsidRPr="002C30C1" w:rsidRDefault="00795F0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w:t>
            </w:r>
            <w:r w:rsidR="0030069E" w:rsidRPr="002C30C1">
              <w:rPr>
                <w:rFonts w:ascii="Times New Roman" w:eastAsia="Times New Roman" w:hAnsi="Times New Roman" w:cs="Times New Roman"/>
                <w:b/>
                <w:iCs/>
                <w:sz w:val="23"/>
                <w:szCs w:val="23"/>
                <w:lang w:eastAsia="lv-LV"/>
              </w:rPr>
              <w:t>1</w:t>
            </w:r>
            <w:r w:rsidR="00A3416A" w:rsidRPr="002C30C1">
              <w:rPr>
                <w:rFonts w:ascii="Times New Roman" w:eastAsia="Times New Roman" w:hAnsi="Times New Roman" w:cs="Times New Roman"/>
                <w:b/>
                <w:iCs/>
                <w:sz w:val="23"/>
                <w:szCs w:val="23"/>
                <w:lang w:eastAsia="lv-LV"/>
              </w:rPr>
              <w:t> </w:t>
            </w:r>
            <w:r w:rsidR="00337066" w:rsidRPr="002C30C1">
              <w:rPr>
                <w:rFonts w:ascii="Times New Roman" w:eastAsia="Times New Roman" w:hAnsi="Times New Roman" w:cs="Times New Roman"/>
                <w:b/>
                <w:iCs/>
                <w:sz w:val="23"/>
                <w:szCs w:val="23"/>
                <w:lang w:eastAsia="lv-LV"/>
              </w:rPr>
              <w:t>694 </w:t>
            </w:r>
            <w:r w:rsidR="00A3416A" w:rsidRPr="002C30C1">
              <w:rPr>
                <w:rFonts w:ascii="Times New Roman" w:eastAsia="Times New Roman" w:hAnsi="Times New Roman" w:cs="Times New Roman"/>
                <w:b/>
                <w:iCs/>
                <w:sz w:val="23"/>
                <w:szCs w:val="23"/>
                <w:lang w:eastAsia="lv-LV"/>
              </w:rPr>
              <w:t>000</w:t>
            </w:r>
          </w:p>
        </w:tc>
        <w:tc>
          <w:tcPr>
            <w:tcW w:w="1286" w:type="dxa"/>
            <w:shd w:val="clear" w:color="auto" w:fill="auto"/>
            <w:vAlign w:val="center"/>
            <w:hideMark/>
          </w:tcPr>
          <w:p w14:paraId="038CD8E5" w14:textId="11E2B164" w:rsidR="00091362" w:rsidRPr="002C30C1" w:rsidRDefault="00795F0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w:t>
            </w:r>
            <w:r w:rsidR="0030069E" w:rsidRPr="002C30C1">
              <w:rPr>
                <w:rFonts w:ascii="Times New Roman" w:eastAsia="Times New Roman" w:hAnsi="Times New Roman" w:cs="Times New Roman"/>
                <w:b/>
                <w:iCs/>
                <w:sz w:val="23"/>
                <w:szCs w:val="23"/>
                <w:lang w:eastAsia="lv-LV"/>
              </w:rPr>
              <w:t>1 </w:t>
            </w:r>
            <w:r w:rsidR="00337066" w:rsidRPr="002C30C1">
              <w:rPr>
                <w:rFonts w:ascii="Times New Roman" w:eastAsia="Times New Roman" w:hAnsi="Times New Roman" w:cs="Times New Roman"/>
                <w:b/>
                <w:iCs/>
                <w:sz w:val="23"/>
                <w:szCs w:val="23"/>
                <w:lang w:eastAsia="lv-LV"/>
              </w:rPr>
              <w:t>694 </w:t>
            </w:r>
            <w:r w:rsidR="0030069E" w:rsidRPr="002C30C1">
              <w:rPr>
                <w:rFonts w:ascii="Times New Roman" w:eastAsia="Times New Roman" w:hAnsi="Times New Roman" w:cs="Times New Roman"/>
                <w:b/>
                <w:iCs/>
                <w:sz w:val="23"/>
                <w:szCs w:val="23"/>
                <w:lang w:eastAsia="lv-LV"/>
              </w:rPr>
              <w:t>000</w:t>
            </w:r>
          </w:p>
        </w:tc>
      </w:tr>
      <w:tr w:rsidR="00E71B7E" w:rsidRPr="002C30C1" w14:paraId="08F9C3C7" w14:textId="77777777" w:rsidTr="004B3267">
        <w:trPr>
          <w:cantSplit/>
          <w:tblCellSpacing w:w="20" w:type="dxa"/>
        </w:trPr>
        <w:tc>
          <w:tcPr>
            <w:tcW w:w="0" w:type="auto"/>
            <w:shd w:val="clear" w:color="auto" w:fill="auto"/>
            <w:hideMark/>
          </w:tcPr>
          <w:p w14:paraId="61792DF5" w14:textId="3B5E2241"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1.1. valsts pamatbudžets, tai skaitā ieņēmumi no maksas pakalpojumiem un citi pašu ieņēmumi</w:t>
            </w:r>
            <w:r w:rsidR="00A3416A" w:rsidRPr="002C30C1">
              <w:rPr>
                <w:rFonts w:ascii="Times New Roman" w:eastAsia="Times New Roman" w:hAnsi="Times New Roman" w:cs="Times New Roman"/>
                <w:iCs/>
                <w:sz w:val="23"/>
                <w:szCs w:val="23"/>
                <w:lang w:eastAsia="lv-LV"/>
              </w:rPr>
              <w:t>, t.sk.,</w:t>
            </w:r>
          </w:p>
        </w:tc>
        <w:tc>
          <w:tcPr>
            <w:tcW w:w="0" w:type="auto"/>
            <w:shd w:val="clear" w:color="auto" w:fill="auto"/>
            <w:vAlign w:val="center"/>
            <w:hideMark/>
          </w:tcPr>
          <w:p w14:paraId="00E4F9CF" w14:textId="3E6C82D8" w:rsidR="00091362" w:rsidRPr="002C30C1" w:rsidRDefault="00795F0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6B501998" w14:textId="12B3BA01" w:rsidR="00091362" w:rsidRPr="002C30C1" w:rsidRDefault="00795F0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7AF2BA2D" w14:textId="285A1201" w:rsidR="00091362" w:rsidRPr="002C30C1" w:rsidRDefault="00795F0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4CDD538C" w14:textId="7C329BAD" w:rsidR="00091362" w:rsidRPr="002C30C1" w:rsidRDefault="00795F0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61DAFDCB" w14:textId="061AC54E" w:rsidR="00091362" w:rsidRPr="002C30C1" w:rsidRDefault="002067D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333 980 000</w:t>
            </w:r>
          </w:p>
        </w:tc>
        <w:tc>
          <w:tcPr>
            <w:tcW w:w="0" w:type="auto"/>
            <w:shd w:val="clear" w:color="auto" w:fill="auto"/>
            <w:vAlign w:val="center"/>
            <w:hideMark/>
          </w:tcPr>
          <w:p w14:paraId="29475014" w14:textId="4C10000D" w:rsidR="00091362" w:rsidRPr="002C30C1" w:rsidRDefault="0033706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w:t>
            </w:r>
            <w:r w:rsidR="00A3416A" w:rsidRPr="002C30C1">
              <w:rPr>
                <w:rFonts w:ascii="Times New Roman" w:eastAsia="Times New Roman" w:hAnsi="Times New Roman" w:cs="Times New Roman"/>
                <w:iCs/>
                <w:sz w:val="23"/>
                <w:szCs w:val="23"/>
                <w:lang w:eastAsia="lv-LV"/>
              </w:rPr>
              <w:t> 000</w:t>
            </w:r>
          </w:p>
        </w:tc>
        <w:tc>
          <w:tcPr>
            <w:tcW w:w="1286" w:type="dxa"/>
            <w:shd w:val="clear" w:color="auto" w:fill="auto"/>
            <w:vAlign w:val="center"/>
            <w:hideMark/>
          </w:tcPr>
          <w:p w14:paraId="2FD7E85B" w14:textId="2A8B5FCA" w:rsidR="00091362" w:rsidRPr="002C30C1" w:rsidRDefault="0033706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w:t>
            </w:r>
            <w:r w:rsidR="00A3416A" w:rsidRPr="002C30C1">
              <w:rPr>
                <w:rFonts w:ascii="Times New Roman" w:eastAsia="Times New Roman" w:hAnsi="Times New Roman" w:cs="Times New Roman"/>
                <w:iCs/>
                <w:sz w:val="23"/>
                <w:szCs w:val="23"/>
                <w:lang w:eastAsia="lv-LV"/>
              </w:rPr>
              <w:t> 000</w:t>
            </w:r>
          </w:p>
        </w:tc>
      </w:tr>
      <w:tr w:rsidR="00E71B7E" w:rsidRPr="002C30C1" w14:paraId="1EF6B601" w14:textId="77777777" w:rsidTr="004B3267">
        <w:trPr>
          <w:cantSplit/>
          <w:tblCellSpacing w:w="20" w:type="dxa"/>
        </w:trPr>
        <w:tc>
          <w:tcPr>
            <w:tcW w:w="0" w:type="auto"/>
            <w:shd w:val="clear" w:color="auto" w:fill="auto"/>
          </w:tcPr>
          <w:p w14:paraId="419E9B59" w14:textId="2D5DB602" w:rsidR="001D11F9" w:rsidRPr="002C30C1" w:rsidRDefault="001D11F9" w:rsidP="002712A1">
            <w:pPr>
              <w:spacing w:after="0" w:line="240" w:lineRule="auto"/>
              <w:jc w:val="right"/>
              <w:rPr>
                <w:rFonts w:ascii="Times New Roman" w:eastAsia="Times New Roman" w:hAnsi="Times New Roman" w:cs="Times New Roman"/>
                <w:i/>
                <w:iCs/>
                <w:sz w:val="23"/>
                <w:szCs w:val="23"/>
                <w:lang w:eastAsia="lv-LV"/>
              </w:rPr>
            </w:pPr>
            <w:r w:rsidRPr="002C30C1">
              <w:rPr>
                <w:rFonts w:ascii="Times New Roman" w:eastAsia="Times New Roman" w:hAnsi="Times New Roman" w:cs="Times New Roman"/>
                <w:i/>
                <w:iCs/>
                <w:sz w:val="23"/>
                <w:szCs w:val="23"/>
                <w:lang w:eastAsia="lv-LV"/>
              </w:rPr>
              <w:t>iedzīvotāju ienākuma nodoklis</w:t>
            </w:r>
          </w:p>
        </w:tc>
        <w:tc>
          <w:tcPr>
            <w:tcW w:w="0" w:type="auto"/>
            <w:shd w:val="clear" w:color="auto" w:fill="auto"/>
            <w:vAlign w:val="center"/>
          </w:tcPr>
          <w:p w14:paraId="7CBA8CBB" w14:textId="091001AF"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1BB5D540" w14:textId="461D58E3"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29C2C0B5" w14:textId="6EE7CCC9"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2F67AC08" w14:textId="4DA8306F"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373F854D" w14:textId="7CFF7478"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333 980 000</w:t>
            </w:r>
          </w:p>
        </w:tc>
        <w:tc>
          <w:tcPr>
            <w:tcW w:w="0" w:type="auto"/>
            <w:shd w:val="clear" w:color="auto" w:fill="auto"/>
            <w:vAlign w:val="center"/>
          </w:tcPr>
          <w:p w14:paraId="1AE99F03" w14:textId="050A6915"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+123 000</w:t>
            </w:r>
          </w:p>
        </w:tc>
        <w:tc>
          <w:tcPr>
            <w:tcW w:w="1286" w:type="dxa"/>
            <w:shd w:val="clear" w:color="auto" w:fill="auto"/>
            <w:vAlign w:val="center"/>
          </w:tcPr>
          <w:p w14:paraId="0F85E6DF" w14:textId="259C260B"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+123 000</w:t>
            </w:r>
          </w:p>
        </w:tc>
      </w:tr>
      <w:tr w:rsidR="00E71B7E" w:rsidRPr="002C30C1" w14:paraId="11A68E29" w14:textId="77777777" w:rsidTr="004B3267">
        <w:trPr>
          <w:cantSplit/>
          <w:tblCellSpacing w:w="20" w:type="dxa"/>
        </w:trPr>
        <w:tc>
          <w:tcPr>
            <w:tcW w:w="0" w:type="auto"/>
            <w:shd w:val="clear" w:color="auto" w:fill="auto"/>
            <w:hideMark/>
          </w:tcPr>
          <w:p w14:paraId="70D85F2A"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 valsts speciālais budžets</w:t>
            </w:r>
          </w:p>
        </w:tc>
        <w:tc>
          <w:tcPr>
            <w:tcW w:w="0" w:type="auto"/>
            <w:shd w:val="clear" w:color="auto" w:fill="auto"/>
            <w:vAlign w:val="center"/>
            <w:hideMark/>
          </w:tcPr>
          <w:p w14:paraId="37C7BF1A" w14:textId="5471D99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04FB1134" w14:textId="2EB64D7A"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2ECFB9AE" w14:textId="22C71B50"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72130E1E" w14:textId="4B6F854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601180CB" w14:textId="7D368042"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2 836 932 126</w:t>
            </w:r>
          </w:p>
        </w:tc>
        <w:tc>
          <w:tcPr>
            <w:tcW w:w="0" w:type="auto"/>
            <w:shd w:val="clear" w:color="auto" w:fill="auto"/>
            <w:vAlign w:val="center"/>
            <w:hideMark/>
          </w:tcPr>
          <w:p w14:paraId="1A86DB2B" w14:textId="6B0162A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c>
          <w:tcPr>
            <w:tcW w:w="1286" w:type="dxa"/>
            <w:shd w:val="clear" w:color="auto" w:fill="auto"/>
            <w:vAlign w:val="center"/>
            <w:hideMark/>
          </w:tcPr>
          <w:p w14:paraId="4292B7EB" w14:textId="597A36C9"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r>
      <w:tr w:rsidR="00E71B7E" w:rsidRPr="002C30C1" w14:paraId="08D59F68" w14:textId="77777777" w:rsidTr="004B3267">
        <w:trPr>
          <w:cantSplit/>
          <w:tblCellSpacing w:w="20" w:type="dxa"/>
        </w:trPr>
        <w:tc>
          <w:tcPr>
            <w:tcW w:w="0" w:type="auto"/>
            <w:shd w:val="clear" w:color="auto" w:fill="auto"/>
            <w:hideMark/>
          </w:tcPr>
          <w:p w14:paraId="3DA881ED" w14:textId="0DA66E9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1.3. pašvaldību budžets, t.sk.,</w:t>
            </w:r>
          </w:p>
        </w:tc>
        <w:tc>
          <w:tcPr>
            <w:tcW w:w="0" w:type="auto"/>
            <w:shd w:val="clear" w:color="auto" w:fill="auto"/>
            <w:vAlign w:val="center"/>
            <w:hideMark/>
          </w:tcPr>
          <w:p w14:paraId="048D426F" w14:textId="1059F8DA"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3A3A4DED" w14:textId="66AC6BCE"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69CC6060" w14:textId="7FB0A8E8"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609A3690" w14:textId="374CBBC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172C1D8A" w14:textId="2EE35C9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1 335 920 000</w:t>
            </w:r>
          </w:p>
        </w:tc>
        <w:tc>
          <w:tcPr>
            <w:tcW w:w="0" w:type="auto"/>
            <w:shd w:val="clear" w:color="auto" w:fill="auto"/>
            <w:vAlign w:val="center"/>
            <w:hideMark/>
          </w:tcPr>
          <w:p w14:paraId="1275E7D7" w14:textId="7F6CE75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c>
          <w:tcPr>
            <w:tcW w:w="1286" w:type="dxa"/>
            <w:shd w:val="clear" w:color="auto" w:fill="auto"/>
            <w:vAlign w:val="center"/>
            <w:hideMark/>
          </w:tcPr>
          <w:p w14:paraId="504BD921" w14:textId="0FF3D6D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r>
      <w:tr w:rsidR="00E71B7E" w:rsidRPr="002C30C1" w14:paraId="41374FF9" w14:textId="77777777" w:rsidTr="004B3267">
        <w:trPr>
          <w:cantSplit/>
          <w:tblCellSpacing w:w="20" w:type="dxa"/>
        </w:trPr>
        <w:tc>
          <w:tcPr>
            <w:tcW w:w="0" w:type="auto"/>
            <w:shd w:val="clear" w:color="auto" w:fill="auto"/>
          </w:tcPr>
          <w:p w14:paraId="4087571C" w14:textId="35414377" w:rsidR="00C308EC" w:rsidRPr="002C30C1" w:rsidRDefault="00C308EC" w:rsidP="002712A1">
            <w:pPr>
              <w:spacing w:after="0" w:line="240" w:lineRule="auto"/>
              <w:jc w:val="right"/>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
                <w:iCs/>
                <w:sz w:val="23"/>
                <w:szCs w:val="23"/>
                <w:lang w:eastAsia="lv-LV"/>
              </w:rPr>
              <w:t>iedzīvotāju ienākuma nodoklis</w:t>
            </w:r>
          </w:p>
        </w:tc>
        <w:tc>
          <w:tcPr>
            <w:tcW w:w="0" w:type="auto"/>
            <w:shd w:val="clear" w:color="auto" w:fill="auto"/>
            <w:vAlign w:val="center"/>
          </w:tcPr>
          <w:p w14:paraId="2325ADC2" w14:textId="15CC7F90"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7787A41F" w14:textId="6146689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29B01F64" w14:textId="65283CCE"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64B108FB" w14:textId="53B188A5"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tcPr>
          <w:p w14:paraId="76B27439" w14:textId="2CB1B6F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1 335 920 000</w:t>
            </w:r>
          </w:p>
        </w:tc>
        <w:tc>
          <w:tcPr>
            <w:tcW w:w="0" w:type="auto"/>
            <w:shd w:val="clear" w:color="auto" w:fill="auto"/>
            <w:vAlign w:val="center"/>
          </w:tcPr>
          <w:p w14:paraId="3721B641" w14:textId="117A3E4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c>
          <w:tcPr>
            <w:tcW w:w="1286" w:type="dxa"/>
            <w:shd w:val="clear" w:color="auto" w:fill="auto"/>
            <w:vAlign w:val="center"/>
          </w:tcPr>
          <w:p w14:paraId="2359A5B8" w14:textId="16A97219"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r>
      <w:tr w:rsidR="00E71B7E" w:rsidRPr="002C30C1" w14:paraId="311DD211" w14:textId="77777777" w:rsidTr="004B3267">
        <w:trPr>
          <w:cantSplit/>
          <w:tblCellSpacing w:w="20" w:type="dxa"/>
        </w:trPr>
        <w:tc>
          <w:tcPr>
            <w:tcW w:w="0" w:type="auto"/>
            <w:shd w:val="clear" w:color="auto" w:fill="auto"/>
            <w:hideMark/>
          </w:tcPr>
          <w:p w14:paraId="06511926" w14:textId="77777777"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2. Budžeta izdevumi</w:t>
            </w:r>
          </w:p>
        </w:tc>
        <w:tc>
          <w:tcPr>
            <w:tcW w:w="0" w:type="auto"/>
            <w:shd w:val="clear" w:color="auto" w:fill="auto"/>
            <w:vAlign w:val="center"/>
            <w:hideMark/>
          </w:tcPr>
          <w:p w14:paraId="703E7B67" w14:textId="28F72900"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28110BE4" w14:textId="2CECC06A"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3101EBD7" w14:textId="0E34031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31C171EB" w14:textId="23A0D5CB"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+133 230 </w:t>
            </w:r>
          </w:p>
        </w:tc>
        <w:tc>
          <w:tcPr>
            <w:tcW w:w="0" w:type="auto"/>
            <w:shd w:val="clear" w:color="auto" w:fill="auto"/>
            <w:vAlign w:val="center"/>
            <w:hideMark/>
          </w:tcPr>
          <w:p w14:paraId="653C23E7" w14:textId="77777777" w:rsidR="00C308EC" w:rsidRPr="002C30C1" w:rsidRDefault="00C308EC" w:rsidP="002712A1">
            <w:pPr>
              <w:spacing w:after="0" w:line="240" w:lineRule="auto"/>
              <w:rPr>
                <w:rFonts w:ascii="Times New Roman" w:eastAsia="Times New Roman" w:hAnsi="Times New Roman" w:cs="Times New Roman"/>
                <w:b/>
                <w:iCs/>
                <w:sz w:val="23"/>
                <w:szCs w:val="23"/>
                <w:lang w:eastAsia="lv-LV"/>
              </w:rPr>
            </w:pPr>
          </w:p>
        </w:tc>
        <w:tc>
          <w:tcPr>
            <w:tcW w:w="0" w:type="auto"/>
            <w:shd w:val="clear" w:color="auto" w:fill="auto"/>
            <w:vAlign w:val="center"/>
            <w:hideMark/>
          </w:tcPr>
          <w:p w14:paraId="4F3A4576" w14:textId="4321865E"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+40 724</w:t>
            </w:r>
          </w:p>
        </w:tc>
        <w:tc>
          <w:tcPr>
            <w:tcW w:w="1286" w:type="dxa"/>
            <w:shd w:val="clear" w:color="auto" w:fill="auto"/>
            <w:vAlign w:val="center"/>
            <w:hideMark/>
          </w:tcPr>
          <w:p w14:paraId="098792F7" w14:textId="3B51CDF4"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+40 724</w:t>
            </w:r>
          </w:p>
        </w:tc>
      </w:tr>
      <w:tr w:rsidR="00E71B7E" w:rsidRPr="002C30C1" w14:paraId="22F91D6E" w14:textId="77777777" w:rsidTr="004B3267">
        <w:trPr>
          <w:cantSplit/>
          <w:tblCellSpacing w:w="20" w:type="dxa"/>
        </w:trPr>
        <w:tc>
          <w:tcPr>
            <w:tcW w:w="0" w:type="auto"/>
            <w:shd w:val="clear" w:color="auto" w:fill="auto"/>
            <w:hideMark/>
          </w:tcPr>
          <w:p w14:paraId="6010A2D3"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2.1. valsts pamatbudžets</w:t>
            </w:r>
          </w:p>
        </w:tc>
        <w:tc>
          <w:tcPr>
            <w:tcW w:w="0" w:type="auto"/>
            <w:shd w:val="clear" w:color="auto" w:fill="auto"/>
            <w:vAlign w:val="center"/>
            <w:hideMark/>
          </w:tcPr>
          <w:p w14:paraId="794371E2" w14:textId="119E6D11"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2B74E742" w14:textId="05CACE64"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3ED8A811" w14:textId="7C671E7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18B46CE5" w14:textId="3B450B68"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+133 230</w:t>
            </w:r>
          </w:p>
        </w:tc>
        <w:tc>
          <w:tcPr>
            <w:tcW w:w="0" w:type="auto"/>
            <w:shd w:val="clear" w:color="auto" w:fill="auto"/>
            <w:vAlign w:val="center"/>
            <w:hideMark/>
          </w:tcPr>
          <w:p w14:paraId="5CC24310"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2393ADA8" w14:textId="02FEE92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+40 724</w:t>
            </w:r>
          </w:p>
        </w:tc>
        <w:tc>
          <w:tcPr>
            <w:tcW w:w="1286" w:type="dxa"/>
            <w:shd w:val="clear" w:color="auto" w:fill="auto"/>
            <w:vAlign w:val="center"/>
            <w:hideMark/>
          </w:tcPr>
          <w:p w14:paraId="7379CEA2" w14:textId="016B4E1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+40 724</w:t>
            </w:r>
          </w:p>
        </w:tc>
      </w:tr>
      <w:tr w:rsidR="00E71B7E" w:rsidRPr="002C30C1" w14:paraId="44D7CF53" w14:textId="77777777" w:rsidTr="004B3267">
        <w:trPr>
          <w:cantSplit/>
          <w:tblCellSpacing w:w="20" w:type="dxa"/>
        </w:trPr>
        <w:tc>
          <w:tcPr>
            <w:tcW w:w="0" w:type="auto"/>
            <w:shd w:val="clear" w:color="auto" w:fill="auto"/>
            <w:hideMark/>
          </w:tcPr>
          <w:p w14:paraId="49EAD31C"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2.2. valsts speciālais budžets</w:t>
            </w:r>
          </w:p>
        </w:tc>
        <w:tc>
          <w:tcPr>
            <w:tcW w:w="0" w:type="auto"/>
            <w:shd w:val="clear" w:color="auto" w:fill="auto"/>
            <w:vAlign w:val="center"/>
            <w:hideMark/>
          </w:tcPr>
          <w:p w14:paraId="50B1C452" w14:textId="505C820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4EC54DE3" w14:textId="07F647FA"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0249DDFA" w14:textId="1B095D6E"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66D5717F" w14:textId="683796E2"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256FFF64"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54A5592C" w14:textId="5C49812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86" w:type="dxa"/>
            <w:shd w:val="clear" w:color="auto" w:fill="auto"/>
            <w:vAlign w:val="center"/>
            <w:hideMark/>
          </w:tcPr>
          <w:p w14:paraId="665ACF83" w14:textId="46D2A439"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r>
      <w:tr w:rsidR="00E71B7E" w:rsidRPr="002C30C1" w14:paraId="282854F7" w14:textId="77777777" w:rsidTr="004B3267">
        <w:trPr>
          <w:cantSplit/>
          <w:tblCellSpacing w:w="20" w:type="dxa"/>
        </w:trPr>
        <w:tc>
          <w:tcPr>
            <w:tcW w:w="0" w:type="auto"/>
            <w:shd w:val="clear" w:color="auto" w:fill="auto"/>
            <w:hideMark/>
          </w:tcPr>
          <w:p w14:paraId="26396ADC"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2.3. pašvaldību budžets</w:t>
            </w:r>
          </w:p>
        </w:tc>
        <w:tc>
          <w:tcPr>
            <w:tcW w:w="0" w:type="auto"/>
            <w:shd w:val="clear" w:color="auto" w:fill="auto"/>
            <w:vAlign w:val="center"/>
            <w:hideMark/>
          </w:tcPr>
          <w:p w14:paraId="03C54D3F" w14:textId="25AB4C5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43311CC3" w14:textId="174BE12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4E294B7E" w14:textId="289E2BF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2141F4C5" w14:textId="1A3B634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7A57F4CB" w14:textId="7E5B71C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1B56F7AD" w14:textId="08046A1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r w:rsidR="00617926" w:rsidRPr="002C30C1">
              <w:rPr>
                <w:rFonts w:ascii="Times New Roman" w:eastAsia="Times New Roman" w:hAnsi="Times New Roman" w:cs="Times New Roman"/>
                <w:iCs/>
                <w:sz w:val="23"/>
                <w:szCs w:val="23"/>
                <w:lang w:eastAsia="lv-LV"/>
              </w:rPr>
              <w:t>+</w:t>
            </w:r>
          </w:p>
        </w:tc>
        <w:tc>
          <w:tcPr>
            <w:tcW w:w="1286" w:type="dxa"/>
            <w:shd w:val="clear" w:color="auto" w:fill="auto"/>
            <w:vAlign w:val="center"/>
            <w:hideMark/>
          </w:tcPr>
          <w:p w14:paraId="726858EC" w14:textId="6AD5AA24"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r>
      <w:tr w:rsidR="00E71B7E" w:rsidRPr="002C30C1" w14:paraId="30B73448" w14:textId="77777777" w:rsidTr="004B3267">
        <w:trPr>
          <w:cantSplit/>
          <w:tblCellSpacing w:w="20" w:type="dxa"/>
        </w:trPr>
        <w:tc>
          <w:tcPr>
            <w:tcW w:w="0" w:type="auto"/>
            <w:shd w:val="clear" w:color="auto" w:fill="auto"/>
            <w:hideMark/>
          </w:tcPr>
          <w:p w14:paraId="2E504BB1" w14:textId="77777777"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3. Finansiālā ietekme</w:t>
            </w:r>
          </w:p>
        </w:tc>
        <w:tc>
          <w:tcPr>
            <w:tcW w:w="0" w:type="auto"/>
            <w:shd w:val="clear" w:color="auto" w:fill="auto"/>
            <w:vAlign w:val="center"/>
            <w:hideMark/>
          </w:tcPr>
          <w:p w14:paraId="59749579" w14:textId="6BF22D09"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0" w:type="auto"/>
            <w:shd w:val="clear" w:color="auto" w:fill="auto"/>
            <w:vAlign w:val="center"/>
            <w:hideMark/>
          </w:tcPr>
          <w:p w14:paraId="68972A6E" w14:textId="4C44DB55"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0" w:type="auto"/>
            <w:shd w:val="clear" w:color="auto" w:fill="auto"/>
            <w:vAlign w:val="center"/>
            <w:hideMark/>
          </w:tcPr>
          <w:p w14:paraId="0A43B83F" w14:textId="3B227593"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0" w:type="auto"/>
            <w:shd w:val="clear" w:color="auto" w:fill="auto"/>
            <w:vAlign w:val="center"/>
            <w:hideMark/>
          </w:tcPr>
          <w:p w14:paraId="63000D25" w14:textId="63834F03"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- 133 230</w:t>
            </w:r>
          </w:p>
        </w:tc>
        <w:tc>
          <w:tcPr>
            <w:tcW w:w="0" w:type="auto"/>
            <w:shd w:val="clear" w:color="auto" w:fill="auto"/>
            <w:vAlign w:val="center"/>
            <w:hideMark/>
          </w:tcPr>
          <w:p w14:paraId="1405307E" w14:textId="5E0913AC"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0" w:type="auto"/>
            <w:shd w:val="clear" w:color="auto" w:fill="auto"/>
            <w:vAlign w:val="center"/>
            <w:hideMark/>
          </w:tcPr>
          <w:p w14:paraId="26220267" w14:textId="097D3F1F"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+1 </w:t>
            </w:r>
            <w:r w:rsidR="00617926" w:rsidRPr="002C30C1">
              <w:rPr>
                <w:rFonts w:ascii="Times New Roman" w:eastAsia="Times New Roman" w:hAnsi="Times New Roman" w:cs="Times New Roman"/>
                <w:b/>
                <w:iCs/>
                <w:sz w:val="23"/>
                <w:szCs w:val="23"/>
                <w:lang w:eastAsia="lv-LV"/>
              </w:rPr>
              <w:t>65</w:t>
            </w:r>
            <w:r w:rsidR="006A4972" w:rsidRPr="002C30C1">
              <w:rPr>
                <w:rFonts w:ascii="Times New Roman" w:eastAsia="Times New Roman" w:hAnsi="Times New Roman" w:cs="Times New Roman"/>
                <w:b/>
                <w:iCs/>
                <w:sz w:val="23"/>
                <w:szCs w:val="23"/>
                <w:lang w:eastAsia="lv-LV"/>
              </w:rPr>
              <w:t>3 276</w:t>
            </w:r>
          </w:p>
        </w:tc>
        <w:tc>
          <w:tcPr>
            <w:tcW w:w="1286" w:type="dxa"/>
            <w:shd w:val="clear" w:color="auto" w:fill="auto"/>
            <w:vAlign w:val="center"/>
            <w:hideMark/>
          </w:tcPr>
          <w:p w14:paraId="01C2FED7" w14:textId="24EB3871"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+1 </w:t>
            </w:r>
            <w:r w:rsidR="00617926" w:rsidRPr="002C30C1">
              <w:rPr>
                <w:rFonts w:ascii="Times New Roman" w:eastAsia="Times New Roman" w:hAnsi="Times New Roman" w:cs="Times New Roman"/>
                <w:b/>
                <w:iCs/>
                <w:sz w:val="23"/>
                <w:szCs w:val="23"/>
                <w:lang w:eastAsia="lv-LV"/>
              </w:rPr>
              <w:t>653 276</w:t>
            </w:r>
          </w:p>
        </w:tc>
      </w:tr>
      <w:tr w:rsidR="00E71B7E" w:rsidRPr="002C30C1" w14:paraId="49DE22F0" w14:textId="77777777" w:rsidTr="004B3267">
        <w:trPr>
          <w:cantSplit/>
          <w:tblCellSpacing w:w="20" w:type="dxa"/>
        </w:trPr>
        <w:tc>
          <w:tcPr>
            <w:tcW w:w="0" w:type="auto"/>
            <w:shd w:val="clear" w:color="auto" w:fill="auto"/>
            <w:hideMark/>
          </w:tcPr>
          <w:p w14:paraId="7F5D6E25"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lastRenderedPageBreak/>
              <w:t>3.1. valsts pamatbudžets</w:t>
            </w:r>
          </w:p>
        </w:tc>
        <w:tc>
          <w:tcPr>
            <w:tcW w:w="0" w:type="auto"/>
            <w:shd w:val="clear" w:color="auto" w:fill="auto"/>
            <w:vAlign w:val="center"/>
            <w:hideMark/>
          </w:tcPr>
          <w:p w14:paraId="3E5776EE" w14:textId="43907AE3"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3C7A5B1B" w14:textId="0ED833CE"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3D06020F" w14:textId="291873E5"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2A89DED4" w14:textId="7CBE58D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- 133 230</w:t>
            </w:r>
          </w:p>
        </w:tc>
        <w:tc>
          <w:tcPr>
            <w:tcW w:w="0" w:type="auto"/>
            <w:shd w:val="clear" w:color="auto" w:fill="auto"/>
            <w:vAlign w:val="center"/>
            <w:hideMark/>
          </w:tcPr>
          <w:p w14:paraId="06363BA4" w14:textId="1B24A361"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699AC723" w14:textId="4C89CA14" w:rsidR="00C308EC" w:rsidRPr="002C30C1" w:rsidRDefault="0061792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+82 276</w:t>
            </w:r>
          </w:p>
        </w:tc>
        <w:tc>
          <w:tcPr>
            <w:tcW w:w="1286" w:type="dxa"/>
            <w:shd w:val="clear" w:color="auto" w:fill="auto"/>
            <w:vAlign w:val="center"/>
            <w:hideMark/>
          </w:tcPr>
          <w:p w14:paraId="71D66B45" w14:textId="53E6FAA2" w:rsidR="00C308EC" w:rsidRPr="002C30C1" w:rsidRDefault="0061792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+82 276</w:t>
            </w:r>
          </w:p>
        </w:tc>
      </w:tr>
      <w:tr w:rsidR="00E71B7E" w:rsidRPr="002C30C1" w14:paraId="17A94E40" w14:textId="77777777" w:rsidTr="004B3267">
        <w:trPr>
          <w:cantSplit/>
          <w:tblCellSpacing w:w="20" w:type="dxa"/>
        </w:trPr>
        <w:tc>
          <w:tcPr>
            <w:tcW w:w="0" w:type="auto"/>
            <w:shd w:val="clear" w:color="auto" w:fill="auto"/>
            <w:hideMark/>
          </w:tcPr>
          <w:p w14:paraId="69EF282D"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3.2. speciālais budžets</w:t>
            </w:r>
          </w:p>
        </w:tc>
        <w:tc>
          <w:tcPr>
            <w:tcW w:w="0" w:type="auto"/>
            <w:shd w:val="clear" w:color="auto" w:fill="auto"/>
            <w:vAlign w:val="center"/>
            <w:hideMark/>
          </w:tcPr>
          <w:p w14:paraId="16E54222" w14:textId="6E95E41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7426C886" w14:textId="0822B58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0EE7A309" w14:textId="1F2DA74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6766488A" w14:textId="2FF959E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59F9BFC8" w14:textId="44E783A2"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5D3F39D7" w14:textId="601B1DD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c>
          <w:tcPr>
            <w:tcW w:w="1286" w:type="dxa"/>
            <w:shd w:val="clear" w:color="auto" w:fill="auto"/>
            <w:vAlign w:val="center"/>
            <w:hideMark/>
          </w:tcPr>
          <w:p w14:paraId="5D9AD34E" w14:textId="3AA65162" w:rsidR="00C308EC" w:rsidRPr="002C30C1" w:rsidRDefault="0061792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w:t>
            </w:r>
            <w:r w:rsidR="00C308EC" w:rsidRPr="002C30C1">
              <w:rPr>
                <w:rFonts w:ascii="Times New Roman" w:eastAsia="Times New Roman" w:hAnsi="Times New Roman" w:cs="Times New Roman"/>
                <w:iCs/>
                <w:sz w:val="23"/>
                <w:szCs w:val="23"/>
                <w:lang w:eastAsia="lv-LV"/>
              </w:rPr>
              <w:t>1 079 000</w:t>
            </w:r>
          </w:p>
        </w:tc>
      </w:tr>
      <w:tr w:rsidR="00E71B7E" w:rsidRPr="002C30C1" w14:paraId="0DBEF81C" w14:textId="77777777" w:rsidTr="004B3267">
        <w:trPr>
          <w:cantSplit/>
          <w:tblCellSpacing w:w="20" w:type="dxa"/>
        </w:trPr>
        <w:tc>
          <w:tcPr>
            <w:tcW w:w="0" w:type="auto"/>
            <w:shd w:val="clear" w:color="auto" w:fill="auto"/>
            <w:hideMark/>
          </w:tcPr>
          <w:p w14:paraId="552BAAD7"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3.3. pašvaldību budžets</w:t>
            </w:r>
          </w:p>
        </w:tc>
        <w:tc>
          <w:tcPr>
            <w:tcW w:w="0" w:type="auto"/>
            <w:shd w:val="clear" w:color="auto" w:fill="auto"/>
            <w:vAlign w:val="center"/>
            <w:hideMark/>
          </w:tcPr>
          <w:p w14:paraId="0745DFC9" w14:textId="22619B88"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1EA6E828" w14:textId="62D5310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0424FA9C" w14:textId="5A805BB3"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19AEEF5E" w14:textId="73A7449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6721A191" w14:textId="2BA062E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10402F44" w14:textId="6730FDD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c>
          <w:tcPr>
            <w:tcW w:w="1286" w:type="dxa"/>
            <w:shd w:val="clear" w:color="auto" w:fill="auto"/>
            <w:vAlign w:val="center"/>
            <w:hideMark/>
          </w:tcPr>
          <w:p w14:paraId="0961F349" w14:textId="46D1FA2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r>
      <w:tr w:rsidR="00E71B7E" w:rsidRPr="002C30C1" w14:paraId="65A09296" w14:textId="77777777" w:rsidTr="004B3267">
        <w:trPr>
          <w:cantSplit/>
          <w:tblCellSpacing w:w="20" w:type="dxa"/>
        </w:trPr>
        <w:tc>
          <w:tcPr>
            <w:tcW w:w="0" w:type="auto"/>
            <w:shd w:val="clear" w:color="auto" w:fill="auto"/>
            <w:hideMark/>
          </w:tcPr>
          <w:p w14:paraId="724113AC"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 Finanšu līdzekļi papildu izdevumu finansēšanai (kompensējošu izdevumu samazinājumu norāda ar "+" zīmi)</w:t>
            </w:r>
          </w:p>
        </w:tc>
        <w:tc>
          <w:tcPr>
            <w:tcW w:w="0" w:type="auto"/>
            <w:shd w:val="clear" w:color="auto" w:fill="auto"/>
            <w:vAlign w:val="center"/>
            <w:hideMark/>
          </w:tcPr>
          <w:p w14:paraId="459CB4F4" w14:textId="2EC703F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27D6DE11" w14:textId="4837A099"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7911FB74" w14:textId="32A3CD4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41E883B5" w14:textId="63B6E97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+133 230</w:t>
            </w:r>
          </w:p>
        </w:tc>
        <w:tc>
          <w:tcPr>
            <w:tcW w:w="0" w:type="auto"/>
            <w:shd w:val="clear" w:color="auto" w:fill="auto"/>
            <w:vAlign w:val="center"/>
            <w:hideMark/>
          </w:tcPr>
          <w:p w14:paraId="10118642" w14:textId="1487C481"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shd w:val="clear" w:color="auto" w:fill="auto"/>
            <w:vAlign w:val="center"/>
            <w:hideMark/>
          </w:tcPr>
          <w:p w14:paraId="0B583ABE" w14:textId="4DFB246F"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+40 724</w:t>
            </w:r>
          </w:p>
        </w:tc>
        <w:tc>
          <w:tcPr>
            <w:tcW w:w="1286" w:type="dxa"/>
            <w:shd w:val="clear" w:color="auto" w:fill="auto"/>
            <w:vAlign w:val="center"/>
            <w:hideMark/>
          </w:tcPr>
          <w:p w14:paraId="52D2374E" w14:textId="38C7688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+40 724</w:t>
            </w:r>
          </w:p>
        </w:tc>
      </w:tr>
      <w:tr w:rsidR="00E71B7E" w:rsidRPr="002C30C1" w14:paraId="17574FA8" w14:textId="77777777" w:rsidTr="004B3267">
        <w:trPr>
          <w:cantSplit/>
          <w:tblCellSpacing w:w="20" w:type="dxa"/>
        </w:trPr>
        <w:tc>
          <w:tcPr>
            <w:tcW w:w="0" w:type="auto"/>
            <w:shd w:val="clear" w:color="auto" w:fill="auto"/>
            <w:hideMark/>
          </w:tcPr>
          <w:p w14:paraId="5C2469DE"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 Precizēta finansiālā ietekme</w:t>
            </w:r>
          </w:p>
        </w:tc>
        <w:tc>
          <w:tcPr>
            <w:tcW w:w="0" w:type="auto"/>
            <w:vMerge w:val="restart"/>
            <w:shd w:val="clear" w:color="auto" w:fill="auto"/>
            <w:vAlign w:val="center"/>
            <w:hideMark/>
          </w:tcPr>
          <w:p w14:paraId="7BFE60A2"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68CE11C6" w14:textId="6E2E7BFC"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vMerge w:val="restart"/>
            <w:shd w:val="clear" w:color="auto" w:fill="auto"/>
            <w:vAlign w:val="center"/>
            <w:hideMark/>
          </w:tcPr>
          <w:p w14:paraId="448CBA90" w14:textId="292EF3A6"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65DDF3C9" w14:textId="216B7256"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vMerge w:val="restart"/>
            <w:shd w:val="clear" w:color="auto" w:fill="auto"/>
            <w:vAlign w:val="center"/>
            <w:hideMark/>
          </w:tcPr>
          <w:p w14:paraId="0EDE5F2F"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03F6368A" w14:textId="5F29F8F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w:t>
            </w:r>
            <w:r w:rsidR="006A4972" w:rsidRPr="002C30C1">
              <w:rPr>
                <w:rFonts w:ascii="Times New Roman" w:eastAsia="Times New Roman" w:hAnsi="Times New Roman" w:cs="Times New Roman"/>
                <w:iCs/>
                <w:sz w:val="23"/>
                <w:szCs w:val="23"/>
                <w:lang w:eastAsia="lv-LV"/>
              </w:rPr>
              <w:t>694 000</w:t>
            </w:r>
          </w:p>
        </w:tc>
        <w:tc>
          <w:tcPr>
            <w:tcW w:w="1286" w:type="dxa"/>
            <w:shd w:val="clear" w:color="auto" w:fill="auto"/>
            <w:vAlign w:val="center"/>
            <w:hideMark/>
          </w:tcPr>
          <w:p w14:paraId="179702E8" w14:textId="6086921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w:t>
            </w:r>
            <w:r w:rsidR="006A4972" w:rsidRPr="002C30C1">
              <w:rPr>
                <w:rFonts w:ascii="Times New Roman" w:eastAsia="Times New Roman" w:hAnsi="Times New Roman" w:cs="Times New Roman"/>
                <w:iCs/>
                <w:sz w:val="23"/>
                <w:szCs w:val="23"/>
                <w:lang w:eastAsia="lv-LV"/>
              </w:rPr>
              <w:t>  694 000</w:t>
            </w:r>
          </w:p>
        </w:tc>
      </w:tr>
      <w:tr w:rsidR="00E71B7E" w:rsidRPr="002C30C1" w14:paraId="63A68217" w14:textId="77777777" w:rsidTr="004B3267">
        <w:trPr>
          <w:cantSplit/>
          <w:tblCellSpacing w:w="20" w:type="dxa"/>
        </w:trPr>
        <w:tc>
          <w:tcPr>
            <w:tcW w:w="0" w:type="auto"/>
            <w:shd w:val="clear" w:color="auto" w:fill="auto"/>
            <w:hideMark/>
          </w:tcPr>
          <w:p w14:paraId="0B979D8D"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5.1. valsts pamatbudžets</w:t>
            </w:r>
          </w:p>
        </w:tc>
        <w:tc>
          <w:tcPr>
            <w:tcW w:w="0" w:type="auto"/>
            <w:vMerge/>
            <w:shd w:val="clear" w:color="auto" w:fill="auto"/>
            <w:vAlign w:val="center"/>
            <w:hideMark/>
          </w:tcPr>
          <w:p w14:paraId="5283E291"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2897C54B" w14:textId="49FBA248"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vMerge/>
            <w:shd w:val="clear" w:color="auto" w:fill="auto"/>
            <w:vAlign w:val="center"/>
            <w:hideMark/>
          </w:tcPr>
          <w:p w14:paraId="6178A84F" w14:textId="77777777"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6CDDC546" w14:textId="18785D7B"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vMerge/>
            <w:shd w:val="clear" w:color="auto" w:fill="auto"/>
            <w:vAlign w:val="center"/>
            <w:hideMark/>
          </w:tcPr>
          <w:p w14:paraId="12E601D3"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1CE0A4A4" w14:textId="10DF9882" w:rsidR="00C308EC" w:rsidRPr="002C30C1" w:rsidRDefault="006A497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w:t>
            </w:r>
            <w:r w:rsidR="00337066" w:rsidRPr="002C30C1">
              <w:rPr>
                <w:rFonts w:ascii="Times New Roman" w:eastAsia="Times New Roman" w:hAnsi="Times New Roman" w:cs="Times New Roman"/>
                <w:iCs/>
                <w:sz w:val="23"/>
                <w:szCs w:val="23"/>
                <w:lang w:eastAsia="lv-LV"/>
              </w:rPr>
              <w:t>123 </w:t>
            </w:r>
            <w:r w:rsidR="00C308EC" w:rsidRPr="002C30C1">
              <w:rPr>
                <w:rFonts w:ascii="Times New Roman" w:eastAsia="Times New Roman" w:hAnsi="Times New Roman" w:cs="Times New Roman"/>
                <w:iCs/>
                <w:sz w:val="23"/>
                <w:szCs w:val="23"/>
                <w:lang w:eastAsia="lv-LV"/>
              </w:rPr>
              <w:t>000</w:t>
            </w:r>
          </w:p>
        </w:tc>
        <w:tc>
          <w:tcPr>
            <w:tcW w:w="1286" w:type="dxa"/>
            <w:shd w:val="clear" w:color="auto" w:fill="auto"/>
            <w:vAlign w:val="center"/>
            <w:hideMark/>
          </w:tcPr>
          <w:p w14:paraId="7118E8C3" w14:textId="6CEA728A" w:rsidR="00C308EC" w:rsidRPr="002C30C1" w:rsidRDefault="0033706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w:t>
            </w:r>
            <w:r w:rsidR="00C308EC" w:rsidRPr="002C30C1">
              <w:rPr>
                <w:rFonts w:ascii="Times New Roman" w:eastAsia="Times New Roman" w:hAnsi="Times New Roman" w:cs="Times New Roman"/>
                <w:iCs/>
                <w:sz w:val="23"/>
                <w:szCs w:val="23"/>
                <w:lang w:eastAsia="lv-LV"/>
              </w:rPr>
              <w:t> 000</w:t>
            </w:r>
          </w:p>
        </w:tc>
      </w:tr>
      <w:tr w:rsidR="00E71B7E" w:rsidRPr="002C30C1" w14:paraId="08250A82" w14:textId="77777777" w:rsidTr="004B3267">
        <w:trPr>
          <w:cantSplit/>
          <w:tblCellSpacing w:w="20" w:type="dxa"/>
        </w:trPr>
        <w:tc>
          <w:tcPr>
            <w:tcW w:w="0" w:type="auto"/>
            <w:shd w:val="clear" w:color="auto" w:fill="auto"/>
            <w:hideMark/>
          </w:tcPr>
          <w:p w14:paraId="05D992F0"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5.2. speciālais budžets</w:t>
            </w:r>
          </w:p>
        </w:tc>
        <w:tc>
          <w:tcPr>
            <w:tcW w:w="0" w:type="auto"/>
            <w:vMerge/>
            <w:shd w:val="clear" w:color="auto" w:fill="auto"/>
            <w:vAlign w:val="center"/>
            <w:hideMark/>
          </w:tcPr>
          <w:p w14:paraId="06E6A7DB"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59C2258B" w14:textId="564FF62A"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vMerge/>
            <w:shd w:val="clear" w:color="auto" w:fill="auto"/>
            <w:vAlign w:val="center"/>
            <w:hideMark/>
          </w:tcPr>
          <w:p w14:paraId="08272D0D" w14:textId="77777777"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61F8003F" w14:textId="2D72E11A"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vMerge/>
            <w:shd w:val="clear" w:color="auto" w:fill="auto"/>
            <w:vAlign w:val="center"/>
            <w:hideMark/>
          </w:tcPr>
          <w:p w14:paraId="022E5765"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46DB5D63" w14:textId="2BE78B34"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c>
          <w:tcPr>
            <w:tcW w:w="1286" w:type="dxa"/>
            <w:shd w:val="clear" w:color="auto" w:fill="auto"/>
            <w:vAlign w:val="center"/>
            <w:hideMark/>
          </w:tcPr>
          <w:p w14:paraId="689A726F" w14:textId="6CD4018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r>
      <w:tr w:rsidR="00E71B7E" w:rsidRPr="002C30C1" w14:paraId="25EA4CBE" w14:textId="77777777" w:rsidTr="004B3267">
        <w:trPr>
          <w:cantSplit/>
          <w:trHeight w:val="370"/>
          <w:tblCellSpacing w:w="20" w:type="dxa"/>
        </w:trPr>
        <w:tc>
          <w:tcPr>
            <w:tcW w:w="0" w:type="auto"/>
            <w:shd w:val="clear" w:color="auto" w:fill="auto"/>
            <w:hideMark/>
          </w:tcPr>
          <w:p w14:paraId="1010CC36"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5.3. pašvaldību budžets</w:t>
            </w:r>
          </w:p>
        </w:tc>
        <w:tc>
          <w:tcPr>
            <w:tcW w:w="0" w:type="auto"/>
            <w:vMerge/>
            <w:shd w:val="clear" w:color="auto" w:fill="auto"/>
            <w:vAlign w:val="center"/>
            <w:hideMark/>
          </w:tcPr>
          <w:p w14:paraId="6F76E2D2"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3EE87CC3" w14:textId="27DCEEEB"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vMerge/>
            <w:shd w:val="clear" w:color="auto" w:fill="auto"/>
            <w:vAlign w:val="center"/>
            <w:hideMark/>
          </w:tcPr>
          <w:p w14:paraId="78072306" w14:textId="77777777"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44D78362" w14:textId="14278350"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0" w:type="auto"/>
            <w:vMerge/>
            <w:shd w:val="clear" w:color="auto" w:fill="auto"/>
            <w:vAlign w:val="center"/>
            <w:hideMark/>
          </w:tcPr>
          <w:p w14:paraId="1AD81727"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0" w:type="auto"/>
            <w:shd w:val="clear" w:color="auto" w:fill="auto"/>
            <w:vAlign w:val="center"/>
            <w:hideMark/>
          </w:tcPr>
          <w:p w14:paraId="6EFCF0C2" w14:textId="1C4CC995"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c>
          <w:tcPr>
            <w:tcW w:w="1286" w:type="dxa"/>
            <w:shd w:val="clear" w:color="auto" w:fill="auto"/>
            <w:vAlign w:val="center"/>
            <w:hideMark/>
          </w:tcPr>
          <w:p w14:paraId="78AD2827" w14:textId="196C571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r>
      <w:tr w:rsidR="00C308EC" w:rsidRPr="002C30C1" w14:paraId="1F84AA39" w14:textId="77777777" w:rsidTr="004B3267">
        <w:trPr>
          <w:cantSplit/>
          <w:tblCellSpacing w:w="20" w:type="dxa"/>
        </w:trPr>
        <w:tc>
          <w:tcPr>
            <w:tcW w:w="0" w:type="auto"/>
            <w:shd w:val="clear" w:color="auto" w:fill="auto"/>
            <w:hideMark/>
          </w:tcPr>
          <w:p w14:paraId="288ED025"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73" w:type="dxa"/>
            <w:gridSpan w:val="7"/>
            <w:vMerge w:val="restart"/>
            <w:shd w:val="clear" w:color="auto" w:fill="auto"/>
            <w:hideMark/>
          </w:tcPr>
          <w:p w14:paraId="6785DA30" w14:textId="57E8A1DA" w:rsidR="00C308EC" w:rsidRPr="002C30C1" w:rsidRDefault="00F15593"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Izmaiņas ieņēmumos</w:t>
            </w:r>
            <w:r w:rsidR="00C308EC" w:rsidRPr="002C30C1">
              <w:rPr>
                <w:rFonts w:ascii="Times New Roman" w:eastAsia="Times New Roman" w:hAnsi="Times New Roman" w:cs="Times New Roman"/>
                <w:b/>
                <w:iCs/>
                <w:sz w:val="24"/>
                <w:szCs w:val="24"/>
                <w:lang w:eastAsia="lv-LV"/>
              </w:rPr>
              <w:t xml:space="preserve"> atbilstoši VID veiktajiem aprēķiniem:</w:t>
            </w:r>
          </w:p>
          <w:p w14:paraId="792D4732" w14:textId="26CC3543" w:rsidR="00C308EC" w:rsidRPr="002C30C1" w:rsidRDefault="00C308E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1. Zaudējumi no nelegālās nodarbinātības visā būvniecības nozarē:</w:t>
            </w:r>
          </w:p>
          <w:p w14:paraId="6AC627EE" w14:textId="31F8EE4C" w:rsidR="00C308EC" w:rsidRPr="002C30C1" w:rsidRDefault="00C308EC"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Saskaņa ar VID datiem darba algas ienākumi būvniecības nozarē 2017.gadā</w:t>
            </w:r>
            <w:r w:rsidR="00954151" w:rsidRPr="002C30C1">
              <w:rPr>
                <w:rFonts w:ascii="Times New Roman" w:eastAsia="Times New Roman" w:hAnsi="Times New Roman" w:cs="Times New Roman"/>
                <w:iCs/>
                <w:sz w:val="24"/>
                <w:szCs w:val="24"/>
                <w:lang w:eastAsia="lv-LV"/>
              </w:rPr>
              <w:t xml:space="preserve"> ir</w:t>
            </w:r>
            <w:r w:rsidRPr="002C30C1">
              <w:rPr>
                <w:rFonts w:ascii="Times New Roman" w:eastAsia="Times New Roman" w:hAnsi="Times New Roman" w:cs="Times New Roman"/>
                <w:iCs/>
                <w:sz w:val="24"/>
                <w:szCs w:val="24"/>
                <w:lang w:eastAsia="lv-LV"/>
              </w:rPr>
              <w:t xml:space="preserve"> 463 197 840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savukārt saskaņā ar A.Saukas pētījuma 2016.gadam datiem darbinieku skaita neuzrādīšana (A.Saukas pētījums 2016.gadam) sastāda 20.5%</w:t>
            </w:r>
            <w:r w:rsidRPr="002C30C1">
              <w:rPr>
                <w:rStyle w:val="FootnoteReference"/>
                <w:rFonts w:ascii="Times New Roman" w:eastAsia="Times New Roman" w:hAnsi="Times New Roman" w:cs="Times New Roman"/>
                <w:iCs/>
                <w:sz w:val="24"/>
                <w:szCs w:val="24"/>
                <w:lang w:eastAsia="lv-LV"/>
              </w:rPr>
              <w:footnoteReference w:id="3"/>
            </w:r>
            <w:r w:rsidRPr="002C30C1">
              <w:rPr>
                <w:rFonts w:ascii="Times New Roman" w:eastAsia="Times New Roman" w:hAnsi="Times New Roman" w:cs="Times New Roman"/>
                <w:iCs/>
                <w:sz w:val="24"/>
                <w:szCs w:val="24"/>
                <w:lang w:eastAsia="lv-LV"/>
              </w:rPr>
              <w:t>.</w:t>
            </w:r>
          </w:p>
          <w:p w14:paraId="474A2913" w14:textId="1981DBAD" w:rsidR="00C308EC" w:rsidRPr="002C30C1" w:rsidRDefault="00C308EC" w:rsidP="002712A1">
            <w:pPr>
              <w:spacing w:after="0" w:line="240" w:lineRule="auto"/>
              <w:ind w:right="59"/>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2016.gada nedeklarētie ienākumi, būvniecības nozares komersantiem, neuzrādot darba attiecības</w:t>
            </w:r>
            <w:r w:rsidR="00954151"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w:t>
            </w:r>
            <w:r w:rsidR="00954151" w:rsidRPr="002C30C1">
              <w:rPr>
                <w:rFonts w:ascii="Times New Roman" w:eastAsia="Times New Roman" w:hAnsi="Times New Roman" w:cs="Times New Roman"/>
                <w:iCs/>
                <w:sz w:val="24"/>
                <w:szCs w:val="24"/>
                <w:lang w:eastAsia="lv-LV"/>
              </w:rPr>
              <w:t xml:space="preserve">ir </w:t>
            </w:r>
            <w:r w:rsidRPr="002C30C1">
              <w:rPr>
                <w:rFonts w:ascii="Times New Roman" w:eastAsia="Times New Roman" w:hAnsi="Times New Roman" w:cs="Times New Roman"/>
                <w:iCs/>
                <w:sz w:val="24"/>
                <w:szCs w:val="24"/>
                <w:lang w:eastAsia="lv-LV"/>
              </w:rPr>
              <w:t>949 555 560</w:t>
            </w:r>
            <w:r w:rsidRPr="002C30C1">
              <w:rPr>
                <w:rFonts w:ascii="Times New Roman" w:eastAsia="Times New Roman" w:hAnsi="Times New Roman" w:cs="Times New Roman"/>
                <w:i/>
                <w:iCs/>
                <w:sz w:val="24"/>
                <w:szCs w:val="24"/>
                <w:lang w:eastAsia="lv-LV"/>
              </w:rPr>
              <w:t xml:space="preserve"> euro</w:t>
            </w:r>
            <w:r w:rsidRPr="002C30C1">
              <w:rPr>
                <w:rFonts w:ascii="Times New Roman" w:eastAsia="Times New Roman" w:hAnsi="Times New Roman" w:cs="Times New Roman"/>
                <w:iCs/>
                <w:sz w:val="24"/>
                <w:szCs w:val="24"/>
                <w:lang w:eastAsia="lv-LV"/>
              </w:rPr>
              <w:t xml:space="preserve"> (t.i., 20.5%*463 197 840). Valsts sociālās apdrošināšanas obligāto iemaksu (turpmāk – VSAOI) zaudējumi (2017.gada VSAOI efektīvā likme 33,06%) – 31 392 310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iedzīvotāju ienākuma nodokļa (turpmāk – IIN) zaudējumi (2017.gada VSAOI darba ņēmēja daļa kopējā VSAOI summā 30,80%, IIN efektīvā likme - 19,7364%) – 16 832 530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w:t>
            </w:r>
          </w:p>
          <w:p w14:paraId="16F2965F" w14:textId="41738A27" w:rsidR="00C308EC" w:rsidRPr="002C30C1" w:rsidRDefault="00C308E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2. Zaudējumi no nepilnīgas darba stundu uzskaites visā būvniecības nozarē:</w:t>
            </w:r>
          </w:p>
          <w:p w14:paraId="1F7EACEF" w14:textId="7F49FF35" w:rsidR="00C308EC" w:rsidRPr="002C30C1" w:rsidRDefault="00C308EC" w:rsidP="002712A1">
            <w:pPr>
              <w:spacing w:after="0" w:line="240" w:lineRule="auto"/>
              <w:ind w:right="53"/>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2017.gada nedeklarētie ienākumi būvniecības nozares komersantiem, neuzrādot pilnu darba laiku (VID aprēķins, kas veikts darba algas plaisas analīzes ietvaros) – 35 971 170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VSAOI zaudējumi (2017.gada VSAOI efektīvā likme 33,06%) </w:t>
            </w:r>
            <w:r w:rsidRPr="002C30C1">
              <w:rPr>
                <w:rFonts w:ascii="Times New Roman" w:eastAsia="Times New Roman" w:hAnsi="Times New Roman" w:cs="Times New Roman"/>
                <w:iCs/>
                <w:sz w:val="24"/>
                <w:szCs w:val="24"/>
                <w:lang w:eastAsia="lv-LV"/>
              </w:rPr>
              <w:lastRenderedPageBreak/>
              <w:t xml:space="preserve">– 11 892 070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IIN zaudējumi (2017.gada VSAOI darba ņēmēja daļa kopējā VSAOI summā 30,80%, IIN efektīvā likme - 19,7364%) – 6 376 520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Būvobjektiem vērtībā no 200 000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līdz 1 000 000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atbilstošā būvniecības pakalpojumu tirgus daļa sastāda 13.25% </w:t>
            </w:r>
            <w:r w:rsidRPr="002C30C1">
              <w:rPr>
                <w:rFonts w:ascii="Times New Roman" w:eastAsia="Times New Roman" w:hAnsi="Times New Roman" w:cs="Times New Roman"/>
                <w:i/>
                <w:iCs/>
                <w:sz w:val="24"/>
                <w:szCs w:val="24"/>
                <w:lang w:eastAsia="lv-LV"/>
              </w:rPr>
              <w:t>(BVKB informācija par 2017. gadā ekspluatācijā pieņemtajiem objektiem, kuru izmaksas ir 200000 euro un vairāk)</w:t>
            </w:r>
            <w:r w:rsidRPr="002C30C1">
              <w:rPr>
                <w:rFonts w:ascii="Times New Roman" w:eastAsia="Times New Roman" w:hAnsi="Times New Roman" w:cs="Times New Roman"/>
                <w:iCs/>
                <w:sz w:val="24"/>
                <w:szCs w:val="24"/>
                <w:lang w:eastAsia="lv-LV"/>
              </w:rPr>
              <w:t>. Ekspertu viedoklis par pasākuma samazināšanas ietekmi uz riska lielumu (optimistiskais scenārijs) – 20%.</w:t>
            </w:r>
          </w:p>
          <w:p w14:paraId="34799B6B" w14:textId="34878D96" w:rsidR="00C308EC" w:rsidRPr="002C30C1" w:rsidRDefault="00C308EC" w:rsidP="002712A1">
            <w:pPr>
              <w:spacing w:after="0" w:line="240" w:lineRule="auto"/>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 xml:space="preserve">Nodokļu ieņēmumi, tūkst. </w:t>
            </w:r>
            <w:r w:rsidRPr="002C30C1">
              <w:rPr>
                <w:rFonts w:ascii="Times New Roman" w:eastAsia="Times New Roman" w:hAnsi="Times New Roman" w:cs="Times New Roman"/>
                <w:b/>
                <w:i/>
                <w:iCs/>
                <w:sz w:val="24"/>
                <w:szCs w:val="24"/>
                <w:lang w:eastAsia="lv-LV"/>
              </w:rPr>
              <w:t>euro</w:t>
            </w:r>
            <w:r w:rsidR="000D360F" w:rsidRPr="002C30C1">
              <w:rPr>
                <w:rFonts w:ascii="Times New Roman" w:eastAsia="Times New Roman" w:hAnsi="Times New Roman" w:cs="Times New Roman"/>
                <w:b/>
                <w:iCs/>
                <w:sz w:val="24"/>
                <w:szCs w:val="24"/>
                <w:lang w:eastAsia="lv-LV"/>
              </w:rPr>
              <w:t>:</w:t>
            </w:r>
          </w:p>
          <w:tbl>
            <w:tblPr>
              <w:tblW w:w="7146" w:type="dxa"/>
              <w:tblLook w:val="04A0" w:firstRow="1" w:lastRow="0" w:firstColumn="1" w:lastColumn="0" w:noHBand="0" w:noVBand="1"/>
            </w:tblPr>
            <w:tblGrid>
              <w:gridCol w:w="4736"/>
              <w:gridCol w:w="1276"/>
              <w:gridCol w:w="1134"/>
            </w:tblGrid>
            <w:tr w:rsidR="00C308EC" w:rsidRPr="002C30C1" w14:paraId="10CFAEA1" w14:textId="77777777" w:rsidTr="00E71B7E">
              <w:trPr>
                <w:trHeight w:val="255"/>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1DEE" w14:textId="77777777" w:rsidR="00C308EC" w:rsidRPr="002C30C1" w:rsidRDefault="00C308EC" w:rsidP="002712A1">
                  <w:pPr>
                    <w:spacing w:after="0" w:line="240" w:lineRule="auto"/>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06EE" w14:textId="77777777"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7BFA3" w14:textId="77777777"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2021</w:t>
                  </w:r>
                </w:p>
              </w:tc>
            </w:tr>
            <w:tr w:rsidR="00C308EC" w:rsidRPr="002C30C1" w14:paraId="145D17A4" w14:textId="77777777" w:rsidTr="00E71B7E">
              <w:trPr>
                <w:trHeight w:val="255"/>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04DF" w14:textId="77777777" w:rsidR="00C308EC" w:rsidRPr="002C30C1" w:rsidRDefault="00C308EC" w:rsidP="002712A1">
                  <w:pPr>
                    <w:spacing w:after="0" w:line="240" w:lineRule="auto"/>
                    <w:rPr>
                      <w:rFonts w:ascii="Times New Roman" w:eastAsia="Times New Roman" w:hAnsi="Times New Roman" w:cs="Times New Roman"/>
                      <w:b/>
                      <w:bCs/>
                      <w:color w:val="000000"/>
                      <w:sz w:val="20"/>
                      <w:szCs w:val="20"/>
                      <w:lang w:eastAsia="lv-LV"/>
                    </w:rPr>
                  </w:pPr>
                  <w:r w:rsidRPr="002C30C1">
                    <w:rPr>
                      <w:rFonts w:ascii="Times New Roman" w:eastAsia="Times New Roman" w:hAnsi="Times New Roman" w:cs="Times New Roman"/>
                      <w:b/>
                      <w:bCs/>
                      <w:color w:val="000000"/>
                      <w:sz w:val="20"/>
                      <w:szCs w:val="20"/>
                      <w:lang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6A332" w14:textId="63751916" w:rsidR="00C308EC" w:rsidRPr="002C30C1" w:rsidRDefault="00C308EC" w:rsidP="002712A1">
                  <w:pPr>
                    <w:spacing w:after="0" w:line="240" w:lineRule="auto"/>
                    <w:jc w:val="right"/>
                    <w:rPr>
                      <w:rFonts w:ascii="Times New Roman" w:eastAsia="Times New Roman" w:hAnsi="Times New Roman" w:cs="Times New Roman"/>
                      <w:b/>
                      <w:bCs/>
                      <w:color w:val="000000"/>
                      <w:sz w:val="20"/>
                      <w:szCs w:val="20"/>
                      <w:lang w:eastAsia="lv-LV"/>
                    </w:rPr>
                  </w:pPr>
                  <w:r w:rsidRPr="002C30C1">
                    <w:rPr>
                      <w:rFonts w:ascii="Times New Roman" w:hAnsi="Times New Roman" w:cs="Times New Roman"/>
                      <w:b/>
                      <w:bCs/>
                      <w:color w:val="000000"/>
                      <w:sz w:val="20"/>
                      <w:szCs w:val="20"/>
                    </w:rPr>
                    <w:t>1 </w:t>
                  </w:r>
                  <w:r w:rsidR="00337066" w:rsidRPr="002C30C1">
                    <w:rPr>
                      <w:rFonts w:ascii="Times New Roman" w:hAnsi="Times New Roman" w:cs="Times New Roman"/>
                      <w:b/>
                      <w:bCs/>
                      <w:color w:val="000000"/>
                      <w:sz w:val="20"/>
                      <w:szCs w:val="20"/>
                    </w:rPr>
                    <w:t>762 </w:t>
                  </w:r>
                  <w:r w:rsidRPr="002C30C1">
                    <w:rPr>
                      <w:rFonts w:ascii="Times New Roman" w:hAnsi="Times New Roman" w:cs="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CF9A3F" w14:textId="0AE76146" w:rsidR="00C308EC" w:rsidRPr="002C30C1" w:rsidRDefault="00C308EC" w:rsidP="002712A1">
                  <w:pPr>
                    <w:spacing w:after="0" w:line="240" w:lineRule="auto"/>
                    <w:jc w:val="right"/>
                    <w:rPr>
                      <w:rFonts w:ascii="Times New Roman" w:eastAsia="Times New Roman" w:hAnsi="Times New Roman" w:cs="Times New Roman"/>
                      <w:b/>
                      <w:bCs/>
                      <w:color w:val="000000"/>
                      <w:sz w:val="20"/>
                      <w:szCs w:val="20"/>
                      <w:lang w:eastAsia="lv-LV"/>
                    </w:rPr>
                  </w:pPr>
                  <w:r w:rsidRPr="002C30C1">
                    <w:rPr>
                      <w:rFonts w:ascii="Times New Roman" w:hAnsi="Times New Roman" w:cs="Times New Roman"/>
                      <w:b/>
                      <w:bCs/>
                      <w:color w:val="000000"/>
                      <w:sz w:val="20"/>
                      <w:szCs w:val="20"/>
                    </w:rPr>
                    <w:t>1 </w:t>
                  </w:r>
                  <w:r w:rsidR="00337066" w:rsidRPr="002C30C1">
                    <w:rPr>
                      <w:rFonts w:ascii="Times New Roman" w:hAnsi="Times New Roman" w:cs="Times New Roman"/>
                      <w:b/>
                      <w:bCs/>
                      <w:color w:val="000000"/>
                      <w:sz w:val="20"/>
                      <w:szCs w:val="20"/>
                    </w:rPr>
                    <w:t>762 </w:t>
                  </w:r>
                  <w:r w:rsidRPr="002C30C1">
                    <w:rPr>
                      <w:rFonts w:ascii="Times New Roman" w:hAnsi="Times New Roman" w:cs="Times New Roman"/>
                      <w:b/>
                      <w:bCs/>
                      <w:color w:val="000000"/>
                      <w:sz w:val="20"/>
                      <w:szCs w:val="20"/>
                    </w:rPr>
                    <w:t>000</w:t>
                  </w:r>
                </w:p>
              </w:tc>
            </w:tr>
            <w:tr w:rsidR="00C308EC" w:rsidRPr="002C30C1" w14:paraId="15924555" w14:textId="77777777" w:rsidTr="00E71B7E">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52609D43" w14:textId="2E76A39D" w:rsidR="00C308EC" w:rsidRPr="002C30C1" w:rsidRDefault="00C308EC" w:rsidP="002712A1">
                  <w:pPr>
                    <w:spacing w:after="0" w:line="240" w:lineRule="auto"/>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 xml:space="preserve">Iedzīvotāju ienākuma nodoklis </w:t>
                  </w:r>
                  <w:r w:rsidRPr="002C30C1">
                    <w:rPr>
                      <w:rFonts w:ascii="Times New Roman" w:eastAsia="Times New Roman" w:hAnsi="Times New Roman" w:cs="Times New Roman"/>
                      <w:i/>
                      <w:color w:val="000000"/>
                      <w:sz w:val="20"/>
                      <w:szCs w:val="20"/>
                      <w:lang w:eastAsia="lv-LV"/>
                    </w:rPr>
                    <w:t>((16 832 530+6 376 520)-13.25%*20%),</w:t>
                  </w:r>
                  <w:r w:rsidRPr="002C30C1">
                    <w:rPr>
                      <w:rFonts w:ascii="Times New Roman" w:eastAsia="Times New Roman" w:hAnsi="Times New Roman" w:cs="Times New Roman"/>
                      <w:color w:val="000000"/>
                      <w:sz w:val="20"/>
                      <w:szCs w:val="20"/>
                      <w:lang w:eastAsia="lv-LV"/>
                    </w:rPr>
                    <w:t xml:space="preserve"> t.sk.,</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F7DE409" w14:textId="40EC5ABC"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hAnsi="Times New Roman" w:cs="Times New Roman"/>
                      <w:color w:val="000000"/>
                      <w:sz w:val="20"/>
                      <w:szCs w:val="20"/>
                    </w:rPr>
                    <w:t>615 000</w:t>
                  </w:r>
                </w:p>
              </w:tc>
              <w:tc>
                <w:tcPr>
                  <w:tcW w:w="1134" w:type="dxa"/>
                  <w:tcBorders>
                    <w:top w:val="nil"/>
                    <w:left w:val="nil"/>
                    <w:bottom w:val="single" w:sz="4" w:space="0" w:color="auto"/>
                    <w:right w:val="single" w:sz="4" w:space="0" w:color="auto"/>
                  </w:tcBorders>
                  <w:shd w:val="clear" w:color="auto" w:fill="auto"/>
                  <w:noWrap/>
                  <w:vAlign w:val="bottom"/>
                  <w:hideMark/>
                </w:tcPr>
                <w:p w14:paraId="7BA21F28" w14:textId="622E770B"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hAnsi="Times New Roman" w:cs="Times New Roman"/>
                      <w:color w:val="000000"/>
                      <w:sz w:val="20"/>
                      <w:szCs w:val="20"/>
                    </w:rPr>
                    <w:t>615 000</w:t>
                  </w:r>
                </w:p>
              </w:tc>
            </w:tr>
            <w:tr w:rsidR="00C308EC" w:rsidRPr="002C30C1" w14:paraId="0C234F1A" w14:textId="77777777" w:rsidTr="00E71B7E">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277A94D6" w14:textId="77777777"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eastAsia="Times New Roman" w:hAnsi="Times New Roman" w:cs="Times New Roman"/>
                      <w:i/>
                      <w:iCs/>
                      <w:color w:val="000000"/>
                      <w:sz w:val="18"/>
                      <w:szCs w:val="18"/>
                      <w:lang w:eastAsia="lv-LV"/>
                    </w:rPr>
                    <w:t>valsts budžets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ACB01C" w14:textId="79386DE5"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123 000</w:t>
                  </w:r>
                </w:p>
              </w:tc>
              <w:tc>
                <w:tcPr>
                  <w:tcW w:w="1134" w:type="dxa"/>
                  <w:tcBorders>
                    <w:top w:val="nil"/>
                    <w:left w:val="nil"/>
                    <w:bottom w:val="single" w:sz="4" w:space="0" w:color="auto"/>
                    <w:right w:val="single" w:sz="4" w:space="0" w:color="auto"/>
                  </w:tcBorders>
                  <w:shd w:val="clear" w:color="auto" w:fill="auto"/>
                  <w:noWrap/>
                  <w:vAlign w:val="bottom"/>
                  <w:hideMark/>
                </w:tcPr>
                <w:p w14:paraId="0FECD7E6" w14:textId="43F9B75C"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123 000</w:t>
                  </w:r>
                </w:p>
              </w:tc>
            </w:tr>
            <w:tr w:rsidR="00C308EC" w:rsidRPr="002C30C1" w14:paraId="61537EF3" w14:textId="77777777" w:rsidTr="00E71B7E">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419E42EE" w14:textId="77777777"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eastAsia="Times New Roman" w:hAnsi="Times New Roman" w:cs="Times New Roman"/>
                      <w:i/>
                      <w:iCs/>
                      <w:color w:val="000000"/>
                      <w:sz w:val="18"/>
                      <w:szCs w:val="18"/>
                      <w:lang w:eastAsia="lv-LV"/>
                    </w:rPr>
                    <w:t>pašvaldību budžets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F7A7DEC" w14:textId="5B21042C"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492 000</w:t>
                  </w:r>
                </w:p>
              </w:tc>
              <w:tc>
                <w:tcPr>
                  <w:tcW w:w="1134" w:type="dxa"/>
                  <w:tcBorders>
                    <w:top w:val="nil"/>
                    <w:left w:val="nil"/>
                    <w:bottom w:val="single" w:sz="4" w:space="0" w:color="auto"/>
                    <w:right w:val="single" w:sz="4" w:space="0" w:color="auto"/>
                  </w:tcBorders>
                  <w:shd w:val="clear" w:color="auto" w:fill="auto"/>
                  <w:noWrap/>
                  <w:vAlign w:val="bottom"/>
                  <w:hideMark/>
                </w:tcPr>
                <w:p w14:paraId="493DC24A" w14:textId="30CC4671" w:rsidR="00C308EC" w:rsidRPr="002C30C1" w:rsidRDefault="00C308EC" w:rsidP="002712A1">
                  <w:pPr>
                    <w:spacing w:after="0" w:line="240" w:lineRule="auto"/>
                    <w:jc w:val="right"/>
                    <w:rPr>
                      <w:rFonts w:ascii="Times New Roman" w:hAnsi="Times New Roman" w:cs="Times New Roman"/>
                      <w:i/>
                      <w:iCs/>
                      <w:color w:val="000000"/>
                      <w:sz w:val="18"/>
                      <w:szCs w:val="18"/>
                    </w:rPr>
                  </w:pPr>
                  <w:r w:rsidRPr="002C30C1">
                    <w:rPr>
                      <w:rFonts w:ascii="Times New Roman" w:hAnsi="Times New Roman" w:cs="Times New Roman"/>
                      <w:i/>
                      <w:iCs/>
                      <w:color w:val="000000"/>
                      <w:sz w:val="18"/>
                      <w:szCs w:val="18"/>
                    </w:rPr>
                    <w:t>492 000</w:t>
                  </w:r>
                </w:p>
              </w:tc>
            </w:tr>
            <w:tr w:rsidR="00C308EC" w:rsidRPr="002C30C1" w14:paraId="38D85830" w14:textId="77777777" w:rsidTr="00E71B7E">
              <w:trPr>
                <w:trHeight w:val="570"/>
              </w:trPr>
              <w:tc>
                <w:tcPr>
                  <w:tcW w:w="4736" w:type="dxa"/>
                  <w:tcBorders>
                    <w:top w:val="nil"/>
                    <w:left w:val="single" w:sz="4" w:space="0" w:color="auto"/>
                    <w:bottom w:val="single" w:sz="4" w:space="0" w:color="auto"/>
                    <w:right w:val="single" w:sz="4" w:space="0" w:color="auto"/>
                  </w:tcBorders>
                  <w:shd w:val="clear" w:color="auto" w:fill="auto"/>
                  <w:vAlign w:val="bottom"/>
                  <w:hideMark/>
                </w:tcPr>
                <w:p w14:paraId="188E2F04" w14:textId="53CA533C" w:rsidR="00C308EC" w:rsidRPr="002C30C1" w:rsidRDefault="00C308EC" w:rsidP="002712A1">
                  <w:pPr>
                    <w:spacing w:after="0" w:line="240" w:lineRule="auto"/>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Valsts sociālās apdrošināšanas obligātās iemaksas ((31 392 310+11 892 070)*13.25%*20%), t.sk.,</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AE6E04" w14:textId="2F037933"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hAnsi="Times New Roman" w:cs="Times New Roman"/>
                      <w:color w:val="000000"/>
                      <w:sz w:val="20"/>
                      <w:szCs w:val="20"/>
                    </w:rPr>
                    <w:t>1 147 000</w:t>
                  </w:r>
                </w:p>
              </w:tc>
              <w:tc>
                <w:tcPr>
                  <w:tcW w:w="1134" w:type="dxa"/>
                  <w:tcBorders>
                    <w:top w:val="nil"/>
                    <w:left w:val="nil"/>
                    <w:bottom w:val="single" w:sz="4" w:space="0" w:color="auto"/>
                    <w:right w:val="single" w:sz="4" w:space="0" w:color="auto"/>
                  </w:tcBorders>
                  <w:shd w:val="clear" w:color="auto" w:fill="auto"/>
                  <w:noWrap/>
                  <w:vAlign w:val="bottom"/>
                  <w:hideMark/>
                </w:tcPr>
                <w:p w14:paraId="3BBF66D2" w14:textId="7AF4C25F"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hAnsi="Times New Roman" w:cs="Times New Roman"/>
                      <w:color w:val="000000"/>
                      <w:sz w:val="20"/>
                      <w:szCs w:val="20"/>
                    </w:rPr>
                    <w:t>1 147 000</w:t>
                  </w:r>
                </w:p>
              </w:tc>
            </w:tr>
            <w:tr w:rsidR="00C308EC" w:rsidRPr="002C30C1" w14:paraId="05AEE3AE" w14:textId="77777777" w:rsidTr="00E71B7E">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5EBBF15E" w14:textId="77777777"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eastAsia="Times New Roman" w:hAnsi="Times New Roman" w:cs="Times New Roman"/>
                      <w:i/>
                      <w:iCs/>
                      <w:color w:val="000000"/>
                      <w:sz w:val="18"/>
                      <w:szCs w:val="18"/>
                      <w:lang w:eastAsia="lv-LV"/>
                    </w:rPr>
                    <w:t>valsts speciālajā budžetā</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B278B5F" w14:textId="73C2BFE3" w:rsidR="00C308EC" w:rsidRPr="002C30C1" w:rsidRDefault="00C308EC" w:rsidP="002712A1">
                  <w:pPr>
                    <w:spacing w:after="0" w:line="240" w:lineRule="auto"/>
                    <w:jc w:val="right"/>
                    <w:rPr>
                      <w:rFonts w:ascii="Times New Roman" w:hAnsi="Times New Roman" w:cs="Times New Roman"/>
                      <w:i/>
                      <w:iCs/>
                      <w:color w:val="000000"/>
                      <w:sz w:val="18"/>
                      <w:szCs w:val="18"/>
                    </w:rPr>
                  </w:pPr>
                  <w:r w:rsidRPr="002C30C1">
                    <w:rPr>
                      <w:rFonts w:ascii="Times New Roman" w:hAnsi="Times New Roman" w:cs="Times New Roman"/>
                      <w:i/>
                      <w:iCs/>
                      <w:color w:val="000000"/>
                      <w:sz w:val="18"/>
                      <w:szCs w:val="18"/>
                    </w:rPr>
                    <w:t>1 079 000</w:t>
                  </w:r>
                </w:p>
              </w:tc>
              <w:tc>
                <w:tcPr>
                  <w:tcW w:w="1134" w:type="dxa"/>
                  <w:tcBorders>
                    <w:top w:val="nil"/>
                    <w:left w:val="nil"/>
                    <w:bottom w:val="single" w:sz="4" w:space="0" w:color="auto"/>
                    <w:right w:val="single" w:sz="4" w:space="0" w:color="auto"/>
                  </w:tcBorders>
                  <w:shd w:val="clear" w:color="auto" w:fill="auto"/>
                  <w:noWrap/>
                  <w:vAlign w:val="bottom"/>
                  <w:hideMark/>
                </w:tcPr>
                <w:p w14:paraId="671AAEC0" w14:textId="15CEF145"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1 079 000</w:t>
                  </w:r>
                </w:p>
              </w:tc>
            </w:tr>
            <w:tr w:rsidR="00C308EC" w:rsidRPr="002C30C1" w14:paraId="207E9959" w14:textId="77777777" w:rsidTr="00E71B7E">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21613B37" w14:textId="77777777"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eastAsia="Times New Roman" w:hAnsi="Times New Roman" w:cs="Times New Roman"/>
                      <w:i/>
                      <w:iCs/>
                      <w:color w:val="000000"/>
                      <w:sz w:val="18"/>
                      <w:szCs w:val="18"/>
                      <w:lang w:eastAsia="lv-LV"/>
                    </w:rPr>
                    <w:t>valsts fondēto pensiju līmenī</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A297EE1" w14:textId="5C66DFAD"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68 000</w:t>
                  </w:r>
                </w:p>
              </w:tc>
              <w:tc>
                <w:tcPr>
                  <w:tcW w:w="1134" w:type="dxa"/>
                  <w:tcBorders>
                    <w:top w:val="nil"/>
                    <w:left w:val="nil"/>
                    <w:bottom w:val="single" w:sz="4" w:space="0" w:color="auto"/>
                    <w:right w:val="single" w:sz="4" w:space="0" w:color="auto"/>
                  </w:tcBorders>
                  <w:shd w:val="clear" w:color="auto" w:fill="auto"/>
                  <w:noWrap/>
                  <w:vAlign w:val="bottom"/>
                  <w:hideMark/>
                </w:tcPr>
                <w:p w14:paraId="14F545AC" w14:textId="6CFD5945"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68 000</w:t>
                  </w:r>
                </w:p>
              </w:tc>
            </w:tr>
          </w:tbl>
          <w:p w14:paraId="0F106FDD" w14:textId="34E2C844" w:rsidR="00C308EC" w:rsidRPr="002C30C1" w:rsidRDefault="00C308E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Izmaiņas izdevumos saistībā ar VEDLUDB izstrādes un ieviešanas izmaksām:</w:t>
            </w:r>
          </w:p>
          <w:p w14:paraId="0738BF0A" w14:textId="26C647AA" w:rsidR="00C308EC" w:rsidRPr="002C30C1" w:rsidRDefault="00C308EC" w:rsidP="002712A1">
            <w:pPr>
              <w:spacing w:after="0" w:line="240" w:lineRule="auto"/>
              <w:ind w:firstLine="63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1. </w:t>
            </w:r>
            <w:r w:rsidR="000D360F" w:rsidRPr="002C30C1">
              <w:rPr>
                <w:rFonts w:ascii="Times New Roman" w:eastAsia="Times New Roman" w:hAnsi="Times New Roman" w:cs="Times New Roman"/>
                <w:iCs/>
                <w:sz w:val="24"/>
                <w:szCs w:val="24"/>
                <w:lang w:eastAsia="lv-LV"/>
              </w:rPr>
              <w:t xml:space="preserve">Atbilstoši EM sniegtajai informācijai </w:t>
            </w:r>
            <w:r w:rsidRPr="002C30C1">
              <w:rPr>
                <w:rFonts w:ascii="Times New Roman" w:eastAsia="Times New Roman" w:hAnsi="Times New Roman" w:cs="Times New Roman"/>
                <w:iCs/>
                <w:sz w:val="24"/>
                <w:szCs w:val="24"/>
                <w:lang w:eastAsia="lv-LV"/>
              </w:rPr>
              <w:t>VEDLUDB izstrādei</w:t>
            </w:r>
            <w:r w:rsidR="00F15593" w:rsidRPr="002C30C1">
              <w:rPr>
                <w:rFonts w:ascii="Times New Roman" w:eastAsia="Times New Roman" w:hAnsi="Times New Roman" w:cs="Times New Roman"/>
                <w:iCs/>
                <w:sz w:val="24"/>
                <w:szCs w:val="24"/>
                <w:lang w:eastAsia="lv-LV"/>
              </w:rPr>
              <w:t xml:space="preserve"> 2019.gadā</w:t>
            </w:r>
            <w:r w:rsidRPr="002C30C1">
              <w:rPr>
                <w:rFonts w:ascii="Times New Roman" w:eastAsia="Times New Roman" w:hAnsi="Times New Roman" w:cs="Times New Roman"/>
                <w:iCs/>
                <w:sz w:val="24"/>
                <w:szCs w:val="24"/>
                <w:lang w:eastAsia="lv-LV"/>
              </w:rPr>
              <w:t xml:space="preserve"> BVKB Būvniecības informācijas sistēmas (turpmāk – BIS) ietvaros nepieciešamas 275,5 cilvēkdienas, vienas cilvēkdienas izmaksas ir 363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w:t>
            </w:r>
          </w:p>
          <w:p w14:paraId="46F415A4" w14:textId="6FAEB52B"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VEDLUDB izveides izdevumu novērtējums:</w:t>
            </w:r>
          </w:p>
          <w:tbl>
            <w:tblPr>
              <w:tblW w:w="7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4526"/>
              <w:gridCol w:w="1275"/>
              <w:gridCol w:w="961"/>
            </w:tblGrid>
            <w:tr w:rsidR="00C308EC" w:rsidRPr="002C30C1" w14:paraId="3DFD4B95" w14:textId="77777777" w:rsidTr="00E71B7E">
              <w:trPr>
                <w:trHeight w:val="315"/>
              </w:trPr>
              <w:tc>
                <w:tcPr>
                  <w:tcW w:w="625" w:type="dxa"/>
                  <w:tcMar>
                    <w:top w:w="0" w:type="dxa"/>
                    <w:left w:w="108" w:type="dxa"/>
                    <w:bottom w:w="0" w:type="dxa"/>
                    <w:right w:w="108" w:type="dxa"/>
                  </w:tcMar>
                  <w:vAlign w:val="center"/>
                </w:tcPr>
                <w:p w14:paraId="440516D4" w14:textId="5800FFE8" w:rsidR="00C308EC" w:rsidRPr="002C30C1" w:rsidRDefault="00C308EC" w:rsidP="002712A1">
                  <w:pPr>
                    <w:spacing w:after="0"/>
                    <w:rPr>
                      <w:rFonts w:ascii="Times New Roman" w:hAnsi="Times New Roman" w:cs="Times New Roman"/>
                      <w:b/>
                      <w:bCs/>
                      <w:color w:val="000000"/>
                      <w:sz w:val="20"/>
                      <w:szCs w:val="20"/>
                      <w:lang w:eastAsia="lv-LV"/>
                    </w:rPr>
                  </w:pPr>
                  <w:r w:rsidRPr="002C30C1">
                    <w:rPr>
                      <w:rFonts w:ascii="Times New Roman" w:hAnsi="Times New Roman" w:cs="Times New Roman"/>
                      <w:b/>
                      <w:bCs/>
                      <w:color w:val="000000"/>
                      <w:sz w:val="20"/>
                      <w:szCs w:val="20"/>
                      <w:lang w:eastAsia="lv-LV"/>
                    </w:rPr>
                    <w:t>Nr.</w:t>
                  </w:r>
                </w:p>
              </w:tc>
              <w:tc>
                <w:tcPr>
                  <w:tcW w:w="4678" w:type="dxa"/>
                  <w:tcMar>
                    <w:top w:w="0" w:type="dxa"/>
                    <w:left w:w="108" w:type="dxa"/>
                    <w:bottom w:w="0" w:type="dxa"/>
                    <w:right w:w="108" w:type="dxa"/>
                  </w:tcMar>
                  <w:vAlign w:val="center"/>
                </w:tcPr>
                <w:p w14:paraId="12499FB4" w14:textId="77777777" w:rsidR="00C308EC" w:rsidRPr="002C30C1" w:rsidRDefault="00C308EC" w:rsidP="002712A1">
                  <w:pPr>
                    <w:spacing w:after="0"/>
                    <w:rPr>
                      <w:rFonts w:ascii="Times New Roman" w:hAnsi="Times New Roman" w:cs="Times New Roman"/>
                      <w:b/>
                      <w:bCs/>
                      <w:color w:val="000000"/>
                      <w:sz w:val="20"/>
                      <w:szCs w:val="20"/>
                      <w:lang w:eastAsia="lv-LV"/>
                    </w:rPr>
                  </w:pPr>
                </w:p>
              </w:tc>
              <w:tc>
                <w:tcPr>
                  <w:tcW w:w="1276" w:type="dxa"/>
                  <w:tcMar>
                    <w:top w:w="0" w:type="dxa"/>
                    <w:left w:w="108" w:type="dxa"/>
                    <w:bottom w:w="0" w:type="dxa"/>
                    <w:right w:w="108" w:type="dxa"/>
                  </w:tcMar>
                  <w:vAlign w:val="center"/>
                </w:tcPr>
                <w:p w14:paraId="2D808A51" w14:textId="77777777" w:rsidR="00C308EC" w:rsidRPr="002C30C1" w:rsidRDefault="00C308EC" w:rsidP="002712A1">
                  <w:pPr>
                    <w:spacing w:after="0"/>
                    <w:jc w:val="center"/>
                    <w:rPr>
                      <w:rFonts w:ascii="Times New Roman" w:hAnsi="Times New Roman" w:cs="Times New Roman"/>
                      <w:color w:val="000000"/>
                      <w:sz w:val="20"/>
                      <w:szCs w:val="20"/>
                      <w:lang w:eastAsia="lv-LV"/>
                    </w:rPr>
                  </w:pPr>
                  <w:r w:rsidRPr="002C30C1">
                    <w:rPr>
                      <w:rFonts w:ascii="Times New Roman" w:hAnsi="Times New Roman" w:cs="Times New Roman"/>
                      <w:color w:val="000000"/>
                      <w:sz w:val="20"/>
                      <w:szCs w:val="20"/>
                      <w:lang w:eastAsia="lv-LV"/>
                    </w:rPr>
                    <w:t>Cilvēkdienas</w:t>
                  </w:r>
                </w:p>
              </w:tc>
              <w:tc>
                <w:tcPr>
                  <w:tcW w:w="802" w:type="dxa"/>
                  <w:tcMar>
                    <w:top w:w="0" w:type="dxa"/>
                    <w:left w:w="108" w:type="dxa"/>
                    <w:bottom w:w="0" w:type="dxa"/>
                    <w:right w:w="108" w:type="dxa"/>
                  </w:tcMar>
                  <w:vAlign w:val="center"/>
                </w:tcPr>
                <w:p w14:paraId="37471BAB" w14:textId="498F804F" w:rsidR="00C308EC" w:rsidRPr="002C30C1" w:rsidRDefault="00C308EC" w:rsidP="002712A1">
                  <w:pPr>
                    <w:spacing w:after="0"/>
                    <w:jc w:val="center"/>
                    <w:rPr>
                      <w:rFonts w:ascii="Times New Roman" w:hAnsi="Times New Roman" w:cs="Times New Roman"/>
                      <w:color w:val="000000"/>
                      <w:sz w:val="20"/>
                      <w:szCs w:val="20"/>
                      <w:lang w:eastAsia="lv-LV"/>
                    </w:rPr>
                  </w:pPr>
                  <w:r w:rsidRPr="002C30C1">
                    <w:rPr>
                      <w:rFonts w:ascii="Times New Roman" w:hAnsi="Times New Roman" w:cs="Times New Roman"/>
                      <w:color w:val="000000"/>
                      <w:sz w:val="20"/>
                      <w:szCs w:val="20"/>
                      <w:lang w:eastAsia="lv-LV"/>
                    </w:rPr>
                    <w:t xml:space="preserve">Izmaksas </w:t>
                  </w:r>
                  <w:r w:rsidRPr="002C30C1">
                    <w:rPr>
                      <w:rFonts w:ascii="Times New Roman" w:hAnsi="Times New Roman" w:cs="Times New Roman"/>
                      <w:i/>
                      <w:color w:val="000000"/>
                      <w:sz w:val="20"/>
                      <w:szCs w:val="20"/>
                      <w:lang w:eastAsia="lv-LV"/>
                    </w:rPr>
                    <w:t>euro</w:t>
                  </w:r>
                </w:p>
              </w:tc>
            </w:tr>
            <w:tr w:rsidR="00C308EC" w:rsidRPr="002C30C1" w14:paraId="359C4E79" w14:textId="77777777" w:rsidTr="00E71B7E">
              <w:trPr>
                <w:trHeight w:val="315"/>
              </w:trPr>
              <w:tc>
                <w:tcPr>
                  <w:tcW w:w="625" w:type="dxa"/>
                  <w:tcMar>
                    <w:top w:w="0" w:type="dxa"/>
                    <w:left w:w="108" w:type="dxa"/>
                    <w:bottom w:w="0" w:type="dxa"/>
                    <w:right w:w="108" w:type="dxa"/>
                  </w:tcMar>
                  <w:vAlign w:val="center"/>
                  <w:hideMark/>
                </w:tcPr>
                <w:p w14:paraId="39497283"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1</w:t>
                  </w:r>
                </w:p>
              </w:tc>
              <w:tc>
                <w:tcPr>
                  <w:tcW w:w="4678" w:type="dxa"/>
                  <w:tcMar>
                    <w:top w:w="0" w:type="dxa"/>
                    <w:left w:w="108" w:type="dxa"/>
                    <w:bottom w:w="0" w:type="dxa"/>
                    <w:right w:w="108" w:type="dxa"/>
                  </w:tcMar>
                  <w:vAlign w:val="center"/>
                  <w:hideMark/>
                </w:tcPr>
                <w:p w14:paraId="51BAEE3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Prasības kodolam(lietotāji, tiesības, auditi, drošība)</w:t>
                  </w:r>
                </w:p>
              </w:tc>
              <w:tc>
                <w:tcPr>
                  <w:tcW w:w="1276" w:type="dxa"/>
                  <w:tcMar>
                    <w:top w:w="0" w:type="dxa"/>
                    <w:left w:w="108" w:type="dxa"/>
                    <w:bottom w:w="0" w:type="dxa"/>
                    <w:right w:w="108" w:type="dxa"/>
                  </w:tcMar>
                  <w:vAlign w:val="center"/>
                  <w:hideMark/>
                </w:tcPr>
                <w:p w14:paraId="0B50CF81"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85,5</w:t>
                  </w:r>
                </w:p>
              </w:tc>
              <w:tc>
                <w:tcPr>
                  <w:tcW w:w="802" w:type="dxa"/>
                  <w:tcMar>
                    <w:top w:w="0" w:type="dxa"/>
                    <w:left w:w="108" w:type="dxa"/>
                    <w:bottom w:w="0" w:type="dxa"/>
                    <w:right w:w="108" w:type="dxa"/>
                  </w:tcMar>
                  <w:vAlign w:val="center"/>
                  <w:hideMark/>
                </w:tcPr>
                <w:p w14:paraId="36354B73" w14:textId="2B08050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31037</w:t>
                  </w:r>
                </w:p>
              </w:tc>
            </w:tr>
            <w:tr w:rsidR="00C308EC" w:rsidRPr="002C30C1" w14:paraId="3DDCE4F3" w14:textId="77777777" w:rsidTr="00E71B7E">
              <w:trPr>
                <w:trHeight w:val="315"/>
              </w:trPr>
              <w:tc>
                <w:tcPr>
                  <w:tcW w:w="625" w:type="dxa"/>
                  <w:tcMar>
                    <w:top w:w="0" w:type="dxa"/>
                    <w:left w:w="108" w:type="dxa"/>
                    <w:bottom w:w="0" w:type="dxa"/>
                    <w:right w:w="108" w:type="dxa"/>
                  </w:tcMar>
                  <w:vAlign w:val="bottom"/>
                  <w:hideMark/>
                </w:tcPr>
                <w:p w14:paraId="487B4DAD"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3D5FB7E5"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Ārējo saskarņu lietotāju uzturēšana</w:t>
                  </w:r>
                </w:p>
              </w:tc>
              <w:tc>
                <w:tcPr>
                  <w:tcW w:w="1276" w:type="dxa"/>
                  <w:tcMar>
                    <w:top w:w="0" w:type="dxa"/>
                    <w:left w:w="108" w:type="dxa"/>
                    <w:bottom w:w="0" w:type="dxa"/>
                    <w:right w:w="108" w:type="dxa"/>
                  </w:tcMar>
                  <w:vAlign w:val="bottom"/>
                  <w:hideMark/>
                </w:tcPr>
                <w:p w14:paraId="1C1EA210"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30</w:t>
                  </w:r>
                </w:p>
              </w:tc>
              <w:tc>
                <w:tcPr>
                  <w:tcW w:w="802" w:type="dxa"/>
                  <w:tcMar>
                    <w:top w:w="0" w:type="dxa"/>
                    <w:left w:w="108" w:type="dxa"/>
                    <w:bottom w:w="0" w:type="dxa"/>
                    <w:right w:w="108" w:type="dxa"/>
                  </w:tcMar>
                  <w:vAlign w:val="bottom"/>
                  <w:hideMark/>
                </w:tcPr>
                <w:p w14:paraId="5E3BF96E"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5F717723" w14:textId="77777777" w:rsidTr="00E71B7E">
              <w:trPr>
                <w:trHeight w:val="315"/>
              </w:trPr>
              <w:tc>
                <w:tcPr>
                  <w:tcW w:w="625" w:type="dxa"/>
                  <w:tcMar>
                    <w:top w:w="0" w:type="dxa"/>
                    <w:left w:w="108" w:type="dxa"/>
                    <w:bottom w:w="0" w:type="dxa"/>
                    <w:right w:w="108" w:type="dxa"/>
                  </w:tcMar>
                  <w:vAlign w:val="bottom"/>
                  <w:hideMark/>
                </w:tcPr>
                <w:p w14:paraId="5E481F0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0FDA7CAD"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Elektroniskā līgumu slēgšana, par sistēmas lietošanu portālā</w:t>
                  </w:r>
                </w:p>
              </w:tc>
              <w:tc>
                <w:tcPr>
                  <w:tcW w:w="1276" w:type="dxa"/>
                  <w:tcMar>
                    <w:top w:w="0" w:type="dxa"/>
                    <w:left w:w="108" w:type="dxa"/>
                    <w:bottom w:w="0" w:type="dxa"/>
                    <w:right w:w="108" w:type="dxa"/>
                  </w:tcMar>
                  <w:vAlign w:val="bottom"/>
                  <w:hideMark/>
                </w:tcPr>
                <w:p w14:paraId="4BEDB05E"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7893F6D6"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3D0C3E6E" w14:textId="77777777" w:rsidTr="00E71B7E">
              <w:trPr>
                <w:trHeight w:val="315"/>
              </w:trPr>
              <w:tc>
                <w:tcPr>
                  <w:tcW w:w="625" w:type="dxa"/>
                  <w:tcMar>
                    <w:top w:w="0" w:type="dxa"/>
                    <w:left w:w="108" w:type="dxa"/>
                    <w:bottom w:w="0" w:type="dxa"/>
                    <w:right w:w="108" w:type="dxa"/>
                  </w:tcMar>
                  <w:vAlign w:val="bottom"/>
                  <w:hideMark/>
                </w:tcPr>
                <w:p w14:paraId="1EF45C3F"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1F83B14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Publiskās darba vietas izveide</w:t>
                  </w:r>
                </w:p>
              </w:tc>
              <w:tc>
                <w:tcPr>
                  <w:tcW w:w="1276" w:type="dxa"/>
                  <w:tcMar>
                    <w:top w:w="0" w:type="dxa"/>
                    <w:left w:w="108" w:type="dxa"/>
                    <w:bottom w:w="0" w:type="dxa"/>
                    <w:right w:w="108" w:type="dxa"/>
                  </w:tcMar>
                  <w:vAlign w:val="bottom"/>
                  <w:hideMark/>
                </w:tcPr>
                <w:p w14:paraId="1A33F8B0"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56D824E5"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7C3A1828" w14:textId="77777777" w:rsidTr="00E71B7E">
              <w:trPr>
                <w:trHeight w:val="315"/>
              </w:trPr>
              <w:tc>
                <w:tcPr>
                  <w:tcW w:w="625" w:type="dxa"/>
                  <w:tcMar>
                    <w:top w:w="0" w:type="dxa"/>
                    <w:left w:w="108" w:type="dxa"/>
                    <w:bottom w:w="0" w:type="dxa"/>
                    <w:right w:w="108" w:type="dxa"/>
                  </w:tcMar>
                  <w:vAlign w:val="bottom"/>
                  <w:hideMark/>
                </w:tcPr>
                <w:p w14:paraId="19C3E89E"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0BBFA309"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Apziņojumi publiskajā portālā</w:t>
                  </w:r>
                </w:p>
              </w:tc>
              <w:tc>
                <w:tcPr>
                  <w:tcW w:w="1276" w:type="dxa"/>
                  <w:tcMar>
                    <w:top w:w="0" w:type="dxa"/>
                    <w:left w:w="108" w:type="dxa"/>
                    <w:bottom w:w="0" w:type="dxa"/>
                    <w:right w:w="108" w:type="dxa"/>
                  </w:tcMar>
                  <w:vAlign w:val="bottom"/>
                  <w:hideMark/>
                </w:tcPr>
                <w:p w14:paraId="51DE3522"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10,5</w:t>
                  </w:r>
                </w:p>
              </w:tc>
              <w:tc>
                <w:tcPr>
                  <w:tcW w:w="802" w:type="dxa"/>
                  <w:tcMar>
                    <w:top w:w="0" w:type="dxa"/>
                    <w:left w:w="108" w:type="dxa"/>
                    <w:bottom w:w="0" w:type="dxa"/>
                    <w:right w:w="108" w:type="dxa"/>
                  </w:tcMar>
                  <w:vAlign w:val="bottom"/>
                  <w:hideMark/>
                </w:tcPr>
                <w:p w14:paraId="54A94147"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74EF4545" w14:textId="77777777" w:rsidTr="00E71B7E">
              <w:trPr>
                <w:trHeight w:val="315"/>
              </w:trPr>
              <w:tc>
                <w:tcPr>
                  <w:tcW w:w="625" w:type="dxa"/>
                  <w:tcMar>
                    <w:top w:w="0" w:type="dxa"/>
                    <w:left w:w="108" w:type="dxa"/>
                    <w:bottom w:w="0" w:type="dxa"/>
                    <w:right w:w="108" w:type="dxa"/>
                  </w:tcMar>
                  <w:vAlign w:val="bottom"/>
                  <w:hideMark/>
                </w:tcPr>
                <w:p w14:paraId="5BBDAECA"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16E769C1"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Eazy BI atskaites</w:t>
                  </w:r>
                </w:p>
              </w:tc>
              <w:tc>
                <w:tcPr>
                  <w:tcW w:w="1276" w:type="dxa"/>
                  <w:tcMar>
                    <w:top w:w="0" w:type="dxa"/>
                    <w:left w:w="108" w:type="dxa"/>
                    <w:bottom w:w="0" w:type="dxa"/>
                    <w:right w:w="108" w:type="dxa"/>
                  </w:tcMar>
                  <w:vAlign w:val="bottom"/>
                  <w:hideMark/>
                </w:tcPr>
                <w:p w14:paraId="46D0D9F2"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5545E1AB"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23FABA15" w14:textId="77777777" w:rsidTr="00E71B7E">
              <w:trPr>
                <w:trHeight w:val="315"/>
              </w:trPr>
              <w:tc>
                <w:tcPr>
                  <w:tcW w:w="625" w:type="dxa"/>
                  <w:tcMar>
                    <w:top w:w="0" w:type="dxa"/>
                    <w:left w:w="108" w:type="dxa"/>
                    <w:bottom w:w="0" w:type="dxa"/>
                    <w:right w:w="108" w:type="dxa"/>
                  </w:tcMar>
                  <w:vAlign w:val="center"/>
                  <w:hideMark/>
                </w:tcPr>
                <w:p w14:paraId="1A415457" w14:textId="77777777" w:rsidR="00C308EC" w:rsidRPr="002C30C1" w:rsidRDefault="00C308EC" w:rsidP="002712A1">
                  <w:pPr>
                    <w:spacing w:after="0"/>
                    <w:rPr>
                      <w:rFonts w:ascii="Times New Roman" w:hAnsi="Times New Roman" w:cs="Times New Roman"/>
                      <w:b/>
                      <w:sz w:val="20"/>
                      <w:szCs w:val="20"/>
                    </w:rPr>
                  </w:pPr>
                  <w:r w:rsidRPr="002C30C1">
                    <w:rPr>
                      <w:rFonts w:ascii="Times New Roman" w:hAnsi="Times New Roman" w:cs="Times New Roman"/>
                      <w:b/>
                      <w:bCs/>
                      <w:color w:val="000000"/>
                      <w:sz w:val="20"/>
                      <w:szCs w:val="20"/>
                      <w:lang w:eastAsia="lv-LV"/>
                    </w:rPr>
                    <w:t>2</w:t>
                  </w:r>
                </w:p>
              </w:tc>
              <w:tc>
                <w:tcPr>
                  <w:tcW w:w="4678" w:type="dxa"/>
                  <w:tcMar>
                    <w:top w:w="0" w:type="dxa"/>
                    <w:left w:w="108" w:type="dxa"/>
                    <w:bottom w:w="0" w:type="dxa"/>
                    <w:right w:w="108" w:type="dxa"/>
                  </w:tcMar>
                  <w:vAlign w:val="center"/>
                  <w:hideMark/>
                </w:tcPr>
                <w:p w14:paraId="574D5336" w14:textId="77777777" w:rsidR="00C308EC" w:rsidRPr="002C30C1" w:rsidRDefault="00C308EC" w:rsidP="002712A1">
                  <w:pPr>
                    <w:spacing w:after="0"/>
                    <w:rPr>
                      <w:rFonts w:ascii="Times New Roman" w:hAnsi="Times New Roman" w:cs="Times New Roman"/>
                      <w:b/>
                      <w:sz w:val="20"/>
                      <w:szCs w:val="20"/>
                    </w:rPr>
                  </w:pPr>
                  <w:r w:rsidRPr="002C30C1">
                    <w:rPr>
                      <w:rFonts w:ascii="Times New Roman" w:hAnsi="Times New Roman" w:cs="Times New Roman"/>
                      <w:b/>
                      <w:bCs/>
                      <w:color w:val="000000"/>
                      <w:sz w:val="20"/>
                      <w:szCs w:val="20"/>
                      <w:lang w:eastAsia="lv-LV"/>
                    </w:rPr>
                    <w:t>Prasības darbībām sistēmā</w:t>
                  </w:r>
                </w:p>
              </w:tc>
              <w:tc>
                <w:tcPr>
                  <w:tcW w:w="1276" w:type="dxa"/>
                  <w:tcMar>
                    <w:top w:w="0" w:type="dxa"/>
                    <w:left w:w="108" w:type="dxa"/>
                    <w:bottom w:w="0" w:type="dxa"/>
                    <w:right w:w="108" w:type="dxa"/>
                  </w:tcMar>
                  <w:vAlign w:val="center"/>
                  <w:hideMark/>
                </w:tcPr>
                <w:p w14:paraId="4C7E3501"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75</w:t>
                  </w:r>
                </w:p>
              </w:tc>
              <w:tc>
                <w:tcPr>
                  <w:tcW w:w="802" w:type="dxa"/>
                  <w:tcMar>
                    <w:top w:w="0" w:type="dxa"/>
                    <w:left w:w="108" w:type="dxa"/>
                    <w:bottom w:w="0" w:type="dxa"/>
                    <w:right w:w="108" w:type="dxa"/>
                  </w:tcMar>
                  <w:vAlign w:val="center"/>
                  <w:hideMark/>
                </w:tcPr>
                <w:p w14:paraId="20C440E8"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27225</w:t>
                  </w:r>
                </w:p>
              </w:tc>
            </w:tr>
            <w:tr w:rsidR="00C308EC" w:rsidRPr="002C30C1" w14:paraId="37AB8594" w14:textId="77777777" w:rsidTr="00E71B7E">
              <w:trPr>
                <w:trHeight w:val="315"/>
              </w:trPr>
              <w:tc>
                <w:tcPr>
                  <w:tcW w:w="625" w:type="dxa"/>
                  <w:tcMar>
                    <w:top w:w="0" w:type="dxa"/>
                    <w:left w:w="108" w:type="dxa"/>
                    <w:bottom w:w="0" w:type="dxa"/>
                    <w:right w:w="108" w:type="dxa"/>
                  </w:tcMar>
                  <w:vAlign w:val="bottom"/>
                  <w:hideMark/>
                </w:tcPr>
                <w:p w14:paraId="64C17B23"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6D9DE0CD"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Objektu reģistrācija/ielāde no BIS</w:t>
                  </w:r>
                </w:p>
              </w:tc>
              <w:tc>
                <w:tcPr>
                  <w:tcW w:w="1276" w:type="dxa"/>
                  <w:tcMar>
                    <w:top w:w="0" w:type="dxa"/>
                    <w:left w:w="108" w:type="dxa"/>
                    <w:bottom w:w="0" w:type="dxa"/>
                    <w:right w:w="108" w:type="dxa"/>
                  </w:tcMar>
                  <w:vAlign w:val="bottom"/>
                  <w:hideMark/>
                </w:tcPr>
                <w:p w14:paraId="5CC618AC"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36AD7698"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1E6256E7" w14:textId="77777777" w:rsidTr="00E71B7E">
              <w:trPr>
                <w:trHeight w:val="315"/>
              </w:trPr>
              <w:tc>
                <w:tcPr>
                  <w:tcW w:w="625" w:type="dxa"/>
                  <w:tcMar>
                    <w:top w:w="0" w:type="dxa"/>
                    <w:left w:w="108" w:type="dxa"/>
                    <w:bottom w:w="0" w:type="dxa"/>
                    <w:right w:w="108" w:type="dxa"/>
                  </w:tcMar>
                  <w:vAlign w:val="bottom"/>
                  <w:hideMark/>
                </w:tcPr>
                <w:p w14:paraId="4A3048DF"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39685F24"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Pakalpojumu līgumu reģistrēšana/ielāde</w:t>
                  </w:r>
                </w:p>
              </w:tc>
              <w:tc>
                <w:tcPr>
                  <w:tcW w:w="1276" w:type="dxa"/>
                  <w:tcMar>
                    <w:top w:w="0" w:type="dxa"/>
                    <w:left w:w="108" w:type="dxa"/>
                    <w:bottom w:w="0" w:type="dxa"/>
                    <w:right w:w="108" w:type="dxa"/>
                  </w:tcMar>
                  <w:vAlign w:val="bottom"/>
                  <w:hideMark/>
                </w:tcPr>
                <w:p w14:paraId="7416B088"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257F440C"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08BD6A6A" w14:textId="77777777" w:rsidTr="00E71B7E">
              <w:trPr>
                <w:trHeight w:val="315"/>
              </w:trPr>
              <w:tc>
                <w:tcPr>
                  <w:tcW w:w="625" w:type="dxa"/>
                  <w:tcMar>
                    <w:top w:w="0" w:type="dxa"/>
                    <w:left w:w="108" w:type="dxa"/>
                    <w:bottom w:w="0" w:type="dxa"/>
                    <w:right w:w="108" w:type="dxa"/>
                  </w:tcMar>
                  <w:vAlign w:val="bottom"/>
                  <w:hideMark/>
                </w:tcPr>
                <w:p w14:paraId="3DACADE4"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2497D2BB"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Darba uzskaites laika reģistrēšana/ielāde</w:t>
                  </w:r>
                </w:p>
              </w:tc>
              <w:tc>
                <w:tcPr>
                  <w:tcW w:w="1276" w:type="dxa"/>
                  <w:tcMar>
                    <w:top w:w="0" w:type="dxa"/>
                    <w:left w:w="108" w:type="dxa"/>
                    <w:bottom w:w="0" w:type="dxa"/>
                    <w:right w:w="108" w:type="dxa"/>
                  </w:tcMar>
                  <w:vAlign w:val="bottom"/>
                  <w:hideMark/>
                </w:tcPr>
                <w:p w14:paraId="6F7C0DAC"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30</w:t>
                  </w:r>
                </w:p>
              </w:tc>
              <w:tc>
                <w:tcPr>
                  <w:tcW w:w="802" w:type="dxa"/>
                  <w:tcMar>
                    <w:top w:w="0" w:type="dxa"/>
                    <w:left w:w="108" w:type="dxa"/>
                    <w:bottom w:w="0" w:type="dxa"/>
                    <w:right w:w="108" w:type="dxa"/>
                  </w:tcMar>
                  <w:vAlign w:val="bottom"/>
                  <w:hideMark/>
                </w:tcPr>
                <w:p w14:paraId="0525731A"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3D73A964" w14:textId="77777777" w:rsidTr="00E71B7E">
              <w:trPr>
                <w:trHeight w:val="315"/>
              </w:trPr>
              <w:tc>
                <w:tcPr>
                  <w:tcW w:w="625" w:type="dxa"/>
                  <w:tcMar>
                    <w:top w:w="0" w:type="dxa"/>
                    <w:left w:w="108" w:type="dxa"/>
                    <w:bottom w:w="0" w:type="dxa"/>
                    <w:right w:w="108" w:type="dxa"/>
                  </w:tcMar>
                  <w:vAlign w:val="bottom"/>
                  <w:hideMark/>
                </w:tcPr>
                <w:p w14:paraId="65A8204C"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7DEC01DC"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Datu izgūšana/lejupielāde</w:t>
                  </w:r>
                </w:p>
              </w:tc>
              <w:tc>
                <w:tcPr>
                  <w:tcW w:w="1276" w:type="dxa"/>
                  <w:tcMar>
                    <w:top w:w="0" w:type="dxa"/>
                    <w:left w:w="108" w:type="dxa"/>
                    <w:bottom w:w="0" w:type="dxa"/>
                    <w:right w:w="108" w:type="dxa"/>
                  </w:tcMar>
                  <w:vAlign w:val="bottom"/>
                  <w:hideMark/>
                </w:tcPr>
                <w:p w14:paraId="62105798"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27FD5A08"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4C9153A5" w14:textId="77777777" w:rsidTr="00E71B7E">
              <w:trPr>
                <w:trHeight w:val="315"/>
              </w:trPr>
              <w:tc>
                <w:tcPr>
                  <w:tcW w:w="625" w:type="dxa"/>
                  <w:tcMar>
                    <w:top w:w="0" w:type="dxa"/>
                    <w:left w:w="108" w:type="dxa"/>
                    <w:bottom w:w="0" w:type="dxa"/>
                    <w:right w:w="108" w:type="dxa"/>
                  </w:tcMar>
                  <w:vAlign w:val="center"/>
                  <w:hideMark/>
                </w:tcPr>
                <w:p w14:paraId="19363BEB"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3</w:t>
                  </w:r>
                </w:p>
              </w:tc>
              <w:tc>
                <w:tcPr>
                  <w:tcW w:w="4678" w:type="dxa"/>
                  <w:tcMar>
                    <w:top w:w="0" w:type="dxa"/>
                    <w:left w:w="108" w:type="dxa"/>
                    <w:bottom w:w="0" w:type="dxa"/>
                    <w:right w:w="108" w:type="dxa"/>
                  </w:tcMar>
                  <w:vAlign w:val="center"/>
                  <w:hideMark/>
                </w:tcPr>
                <w:p w14:paraId="50A57100" w14:textId="77777777" w:rsidR="00C308EC" w:rsidRPr="002C30C1" w:rsidRDefault="00C308EC" w:rsidP="002712A1">
                  <w:pPr>
                    <w:spacing w:after="0"/>
                    <w:rPr>
                      <w:rFonts w:ascii="Times New Roman" w:hAnsi="Times New Roman" w:cs="Times New Roman"/>
                      <w:b/>
                      <w:sz w:val="20"/>
                      <w:szCs w:val="20"/>
                    </w:rPr>
                  </w:pPr>
                  <w:r w:rsidRPr="002C30C1">
                    <w:rPr>
                      <w:rFonts w:ascii="Times New Roman" w:hAnsi="Times New Roman" w:cs="Times New Roman"/>
                      <w:b/>
                      <w:bCs/>
                      <w:color w:val="000000"/>
                      <w:sz w:val="20"/>
                      <w:szCs w:val="20"/>
                      <w:lang w:eastAsia="lv-LV"/>
                    </w:rPr>
                    <w:t>Integrācija - ārējās saskarnes</w:t>
                  </w:r>
                </w:p>
              </w:tc>
              <w:tc>
                <w:tcPr>
                  <w:tcW w:w="1276" w:type="dxa"/>
                  <w:tcMar>
                    <w:top w:w="0" w:type="dxa"/>
                    <w:left w:w="108" w:type="dxa"/>
                    <w:bottom w:w="0" w:type="dxa"/>
                    <w:right w:w="108" w:type="dxa"/>
                  </w:tcMar>
                  <w:vAlign w:val="center"/>
                  <w:hideMark/>
                </w:tcPr>
                <w:p w14:paraId="75ECE38A"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15</w:t>
                  </w:r>
                </w:p>
              </w:tc>
              <w:tc>
                <w:tcPr>
                  <w:tcW w:w="802" w:type="dxa"/>
                  <w:tcMar>
                    <w:top w:w="0" w:type="dxa"/>
                    <w:left w:w="108" w:type="dxa"/>
                    <w:bottom w:w="0" w:type="dxa"/>
                    <w:right w:w="108" w:type="dxa"/>
                  </w:tcMar>
                  <w:vAlign w:val="center"/>
                  <w:hideMark/>
                </w:tcPr>
                <w:p w14:paraId="1BE21D78"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5445</w:t>
                  </w:r>
                </w:p>
              </w:tc>
            </w:tr>
            <w:tr w:rsidR="00C308EC" w:rsidRPr="002C30C1" w14:paraId="147CAD22" w14:textId="77777777" w:rsidTr="00E71B7E">
              <w:trPr>
                <w:trHeight w:val="315"/>
              </w:trPr>
              <w:tc>
                <w:tcPr>
                  <w:tcW w:w="625" w:type="dxa"/>
                  <w:tcMar>
                    <w:top w:w="0" w:type="dxa"/>
                    <w:left w:w="108" w:type="dxa"/>
                    <w:bottom w:w="0" w:type="dxa"/>
                    <w:right w:w="108" w:type="dxa"/>
                  </w:tcMar>
                  <w:vAlign w:val="bottom"/>
                  <w:hideMark/>
                </w:tcPr>
                <w:p w14:paraId="7E42AC9E"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5EE514C5"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VID (tikai BIS pusē)</w:t>
                  </w:r>
                </w:p>
              </w:tc>
              <w:tc>
                <w:tcPr>
                  <w:tcW w:w="1276" w:type="dxa"/>
                  <w:tcMar>
                    <w:top w:w="0" w:type="dxa"/>
                    <w:left w:w="108" w:type="dxa"/>
                    <w:bottom w:w="0" w:type="dxa"/>
                    <w:right w:w="108" w:type="dxa"/>
                  </w:tcMar>
                  <w:vAlign w:val="bottom"/>
                  <w:hideMark/>
                </w:tcPr>
                <w:p w14:paraId="155AAEA6" w14:textId="77777777" w:rsidR="00C308EC" w:rsidRPr="002C30C1" w:rsidRDefault="00C308EC" w:rsidP="002712A1">
                  <w:pPr>
                    <w:spacing w:after="0"/>
                    <w:jc w:val="center"/>
                    <w:rPr>
                      <w:rFonts w:ascii="Times New Roman" w:hAnsi="Times New Roman" w:cs="Times New Roman"/>
                      <w:sz w:val="20"/>
                      <w:szCs w:val="20"/>
                    </w:rPr>
                  </w:pPr>
                </w:p>
              </w:tc>
              <w:tc>
                <w:tcPr>
                  <w:tcW w:w="802" w:type="dxa"/>
                  <w:tcMar>
                    <w:top w:w="0" w:type="dxa"/>
                    <w:left w:w="108" w:type="dxa"/>
                    <w:bottom w:w="0" w:type="dxa"/>
                    <w:right w:w="108" w:type="dxa"/>
                  </w:tcMar>
                  <w:vAlign w:val="bottom"/>
                  <w:hideMark/>
                </w:tcPr>
                <w:p w14:paraId="52EACB0E"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69FBFF66" w14:textId="77777777" w:rsidTr="00E71B7E">
              <w:trPr>
                <w:trHeight w:val="315"/>
              </w:trPr>
              <w:tc>
                <w:tcPr>
                  <w:tcW w:w="625" w:type="dxa"/>
                  <w:tcMar>
                    <w:top w:w="0" w:type="dxa"/>
                    <w:left w:w="108" w:type="dxa"/>
                    <w:bottom w:w="0" w:type="dxa"/>
                    <w:right w:w="108" w:type="dxa"/>
                  </w:tcMar>
                  <w:vAlign w:val="center"/>
                  <w:hideMark/>
                </w:tcPr>
                <w:p w14:paraId="0E0AAB0D" w14:textId="77777777" w:rsidR="00C308EC" w:rsidRPr="002C30C1" w:rsidRDefault="00C308EC" w:rsidP="002712A1">
                  <w:pPr>
                    <w:spacing w:after="0"/>
                    <w:jc w:val="right"/>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4</w:t>
                  </w:r>
                </w:p>
              </w:tc>
              <w:tc>
                <w:tcPr>
                  <w:tcW w:w="4678" w:type="dxa"/>
                  <w:tcMar>
                    <w:top w:w="0" w:type="dxa"/>
                    <w:left w:w="108" w:type="dxa"/>
                    <w:bottom w:w="0" w:type="dxa"/>
                    <w:right w:w="108" w:type="dxa"/>
                  </w:tcMar>
                  <w:vAlign w:val="center"/>
                  <w:hideMark/>
                </w:tcPr>
                <w:p w14:paraId="4A50BFF4"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Publicējamās saskarnes</w:t>
                  </w:r>
                </w:p>
              </w:tc>
              <w:tc>
                <w:tcPr>
                  <w:tcW w:w="1276" w:type="dxa"/>
                  <w:tcMar>
                    <w:top w:w="0" w:type="dxa"/>
                    <w:left w:w="108" w:type="dxa"/>
                    <w:bottom w:w="0" w:type="dxa"/>
                    <w:right w:w="108" w:type="dxa"/>
                  </w:tcMar>
                  <w:vAlign w:val="center"/>
                  <w:hideMark/>
                </w:tcPr>
                <w:p w14:paraId="16E0D041"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100</w:t>
                  </w:r>
                </w:p>
              </w:tc>
              <w:tc>
                <w:tcPr>
                  <w:tcW w:w="802" w:type="dxa"/>
                  <w:tcMar>
                    <w:top w:w="0" w:type="dxa"/>
                    <w:left w:w="108" w:type="dxa"/>
                    <w:bottom w:w="0" w:type="dxa"/>
                    <w:right w:w="108" w:type="dxa"/>
                  </w:tcMar>
                  <w:vAlign w:val="center"/>
                  <w:hideMark/>
                </w:tcPr>
                <w:p w14:paraId="49A21492"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36300</w:t>
                  </w:r>
                </w:p>
              </w:tc>
            </w:tr>
            <w:tr w:rsidR="00C308EC" w:rsidRPr="002C30C1" w14:paraId="638DFBCC" w14:textId="77777777" w:rsidTr="00E71B7E">
              <w:trPr>
                <w:trHeight w:val="315"/>
              </w:trPr>
              <w:tc>
                <w:tcPr>
                  <w:tcW w:w="625" w:type="dxa"/>
                  <w:tcMar>
                    <w:top w:w="0" w:type="dxa"/>
                    <w:left w:w="108" w:type="dxa"/>
                    <w:bottom w:w="0" w:type="dxa"/>
                    <w:right w:w="108" w:type="dxa"/>
                  </w:tcMar>
                  <w:vAlign w:val="bottom"/>
                  <w:hideMark/>
                </w:tcPr>
                <w:p w14:paraId="0381EE8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2AA7ADC5"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Līgumu reģistrēšana</w:t>
                  </w:r>
                </w:p>
              </w:tc>
              <w:tc>
                <w:tcPr>
                  <w:tcW w:w="1276" w:type="dxa"/>
                  <w:tcMar>
                    <w:top w:w="0" w:type="dxa"/>
                    <w:left w:w="108" w:type="dxa"/>
                    <w:bottom w:w="0" w:type="dxa"/>
                    <w:right w:w="108" w:type="dxa"/>
                  </w:tcMar>
                  <w:vAlign w:val="bottom"/>
                  <w:hideMark/>
                </w:tcPr>
                <w:p w14:paraId="7DC22F69"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30</w:t>
                  </w:r>
                </w:p>
              </w:tc>
              <w:tc>
                <w:tcPr>
                  <w:tcW w:w="802" w:type="dxa"/>
                  <w:tcMar>
                    <w:top w:w="0" w:type="dxa"/>
                    <w:left w:w="108" w:type="dxa"/>
                    <w:bottom w:w="0" w:type="dxa"/>
                    <w:right w:w="108" w:type="dxa"/>
                  </w:tcMar>
                  <w:vAlign w:val="bottom"/>
                  <w:hideMark/>
                </w:tcPr>
                <w:p w14:paraId="1DA1CEFA"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57BA5CFA" w14:textId="77777777" w:rsidTr="00E71B7E">
              <w:trPr>
                <w:trHeight w:val="315"/>
              </w:trPr>
              <w:tc>
                <w:tcPr>
                  <w:tcW w:w="625" w:type="dxa"/>
                  <w:tcMar>
                    <w:top w:w="0" w:type="dxa"/>
                    <w:left w:w="108" w:type="dxa"/>
                    <w:bottom w:w="0" w:type="dxa"/>
                    <w:right w:w="108" w:type="dxa"/>
                  </w:tcMar>
                  <w:vAlign w:val="bottom"/>
                  <w:hideMark/>
                </w:tcPr>
                <w:p w14:paraId="5901BD0A"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32BE131B"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Darba uzskaites reģistrēšana</w:t>
                  </w:r>
                </w:p>
              </w:tc>
              <w:tc>
                <w:tcPr>
                  <w:tcW w:w="1276" w:type="dxa"/>
                  <w:tcMar>
                    <w:top w:w="0" w:type="dxa"/>
                    <w:left w:w="108" w:type="dxa"/>
                    <w:bottom w:w="0" w:type="dxa"/>
                    <w:right w:w="108" w:type="dxa"/>
                  </w:tcMar>
                  <w:vAlign w:val="bottom"/>
                  <w:hideMark/>
                </w:tcPr>
                <w:p w14:paraId="40EFD0EB"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30</w:t>
                  </w:r>
                </w:p>
              </w:tc>
              <w:tc>
                <w:tcPr>
                  <w:tcW w:w="802" w:type="dxa"/>
                  <w:tcMar>
                    <w:top w:w="0" w:type="dxa"/>
                    <w:left w:w="108" w:type="dxa"/>
                    <w:bottom w:w="0" w:type="dxa"/>
                    <w:right w:w="108" w:type="dxa"/>
                  </w:tcMar>
                  <w:vAlign w:val="bottom"/>
                  <w:hideMark/>
                </w:tcPr>
                <w:p w14:paraId="4B2EA69B"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4D40B1CA" w14:textId="77777777" w:rsidTr="00E71B7E">
              <w:trPr>
                <w:trHeight w:val="315"/>
              </w:trPr>
              <w:tc>
                <w:tcPr>
                  <w:tcW w:w="625" w:type="dxa"/>
                  <w:tcMar>
                    <w:top w:w="0" w:type="dxa"/>
                    <w:left w:w="108" w:type="dxa"/>
                    <w:bottom w:w="0" w:type="dxa"/>
                    <w:right w:w="108" w:type="dxa"/>
                  </w:tcMar>
                  <w:vAlign w:val="bottom"/>
                  <w:hideMark/>
                </w:tcPr>
                <w:p w14:paraId="238DC667"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1101204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Datu publicēšana iesaistītajām iestādēm</w:t>
                  </w:r>
                </w:p>
              </w:tc>
              <w:tc>
                <w:tcPr>
                  <w:tcW w:w="1276" w:type="dxa"/>
                  <w:tcMar>
                    <w:top w:w="0" w:type="dxa"/>
                    <w:left w:w="108" w:type="dxa"/>
                    <w:bottom w:w="0" w:type="dxa"/>
                    <w:right w:w="108" w:type="dxa"/>
                  </w:tcMar>
                  <w:vAlign w:val="bottom"/>
                  <w:hideMark/>
                </w:tcPr>
                <w:p w14:paraId="733F3859"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40</w:t>
                  </w:r>
                </w:p>
              </w:tc>
              <w:tc>
                <w:tcPr>
                  <w:tcW w:w="802" w:type="dxa"/>
                  <w:tcMar>
                    <w:top w:w="0" w:type="dxa"/>
                    <w:left w:w="108" w:type="dxa"/>
                    <w:bottom w:w="0" w:type="dxa"/>
                    <w:right w:w="108" w:type="dxa"/>
                  </w:tcMar>
                  <w:vAlign w:val="bottom"/>
                  <w:hideMark/>
                </w:tcPr>
                <w:p w14:paraId="5B61AD42"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33C526D0" w14:textId="77777777" w:rsidTr="00E71B7E">
              <w:trPr>
                <w:trHeight w:val="315"/>
              </w:trPr>
              <w:tc>
                <w:tcPr>
                  <w:tcW w:w="625" w:type="dxa"/>
                  <w:tcMar>
                    <w:top w:w="0" w:type="dxa"/>
                    <w:left w:w="108" w:type="dxa"/>
                    <w:bottom w:w="0" w:type="dxa"/>
                    <w:right w:w="108" w:type="dxa"/>
                  </w:tcMar>
                  <w:vAlign w:val="bottom"/>
                  <w:hideMark/>
                </w:tcPr>
                <w:p w14:paraId="45F1730A"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5AD72C9C"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Kopā</w:t>
                  </w:r>
                </w:p>
              </w:tc>
              <w:tc>
                <w:tcPr>
                  <w:tcW w:w="1276" w:type="dxa"/>
                  <w:tcMar>
                    <w:top w:w="0" w:type="dxa"/>
                    <w:left w:w="108" w:type="dxa"/>
                    <w:bottom w:w="0" w:type="dxa"/>
                    <w:right w:w="108" w:type="dxa"/>
                  </w:tcMar>
                  <w:vAlign w:val="center"/>
                  <w:hideMark/>
                </w:tcPr>
                <w:p w14:paraId="0BD73EAE"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275,5</w:t>
                  </w:r>
                </w:p>
              </w:tc>
              <w:tc>
                <w:tcPr>
                  <w:tcW w:w="802" w:type="dxa"/>
                  <w:tcMar>
                    <w:top w:w="0" w:type="dxa"/>
                    <w:left w:w="108" w:type="dxa"/>
                    <w:bottom w:w="0" w:type="dxa"/>
                    <w:right w:w="108" w:type="dxa"/>
                  </w:tcMar>
                  <w:vAlign w:val="center"/>
                  <w:hideMark/>
                </w:tcPr>
                <w:p w14:paraId="5B8C632A" w14:textId="34D7DFC5" w:rsidR="00C308EC" w:rsidRPr="002C30C1" w:rsidRDefault="00C308EC" w:rsidP="002712A1">
                  <w:pPr>
                    <w:spacing w:after="0"/>
                    <w:jc w:val="center"/>
                    <w:rPr>
                      <w:rFonts w:ascii="Times New Roman" w:hAnsi="Times New Roman" w:cs="Times New Roman"/>
                      <w:b/>
                      <w:bCs/>
                      <w:color w:val="000000"/>
                      <w:sz w:val="20"/>
                      <w:szCs w:val="20"/>
                      <w:lang w:eastAsia="lv-LV"/>
                    </w:rPr>
                  </w:pPr>
                  <w:r w:rsidRPr="002C30C1">
                    <w:rPr>
                      <w:rFonts w:ascii="Times New Roman" w:hAnsi="Times New Roman" w:cs="Times New Roman"/>
                      <w:b/>
                      <w:bCs/>
                      <w:color w:val="000000"/>
                      <w:sz w:val="20"/>
                      <w:szCs w:val="20"/>
                      <w:lang w:eastAsia="lv-LV"/>
                    </w:rPr>
                    <w:t>100 007</w:t>
                  </w:r>
                </w:p>
              </w:tc>
            </w:tr>
          </w:tbl>
          <w:p w14:paraId="2CDB8668" w14:textId="06DF4F96" w:rsidR="00C308EC" w:rsidRPr="002C30C1" w:rsidRDefault="00C308EC" w:rsidP="002712A1">
            <w:pPr>
              <w:spacing w:after="0" w:line="240" w:lineRule="auto"/>
              <w:ind w:firstLine="63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 VEDLUDB pielāgošanas un uzturēšana</w:t>
            </w:r>
            <w:r w:rsidR="00954151"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izdevumi gadā ir 15 001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VEDLUDB uzturēšanai un nepieciešamo pielāgojumu veikšanai nepieciešami 15% no izveidošanas izmaksām ik gadu. Pēc BVKB pieredzes viena reģistra vidējās uzturēšanas izmaksas gadā ir 15% no izstrādes izmaksām, kas ietver </w:t>
            </w:r>
            <w:r w:rsidRPr="002C30C1">
              <w:rPr>
                <w:rFonts w:ascii="Times New Roman" w:eastAsia="Times New Roman" w:hAnsi="Times New Roman" w:cs="Times New Roman"/>
                <w:iCs/>
                <w:sz w:val="24"/>
                <w:szCs w:val="24"/>
                <w:lang w:eastAsia="lv-LV"/>
              </w:rPr>
              <w:lastRenderedPageBreak/>
              <w:t>tehniskās infrastruktūras uzturēšanas izmaksas un  funkcionalitātes pielāgošanas izmaksas atbilstoši citu sistēmas daļu izmaiņām. Ievērojot to, ka atbilstoši Ministru kabineta 201</w:t>
            </w:r>
            <w:r w:rsidR="00686C15" w:rsidRPr="002C30C1">
              <w:rPr>
                <w:rFonts w:ascii="Times New Roman" w:eastAsia="Times New Roman" w:hAnsi="Times New Roman" w:cs="Times New Roman"/>
                <w:iCs/>
                <w:sz w:val="24"/>
                <w:szCs w:val="24"/>
                <w:lang w:eastAsia="lv-LV"/>
              </w:rPr>
              <w:t>8</w:t>
            </w:r>
            <w:r w:rsidRPr="002C30C1">
              <w:rPr>
                <w:rFonts w:ascii="Times New Roman" w:eastAsia="Times New Roman" w:hAnsi="Times New Roman" w:cs="Times New Roman"/>
                <w:iCs/>
                <w:sz w:val="24"/>
                <w:szCs w:val="24"/>
                <w:lang w:eastAsia="lv-LV"/>
              </w:rPr>
              <w:t xml:space="preserve">.gada </w:t>
            </w:r>
            <w:r w:rsidR="00686C15" w:rsidRPr="002C30C1">
              <w:rPr>
                <w:rFonts w:ascii="Times New Roman" w:eastAsia="Times New Roman" w:hAnsi="Times New Roman" w:cs="Times New Roman"/>
                <w:iCs/>
                <w:sz w:val="24"/>
                <w:szCs w:val="24"/>
                <w:lang w:eastAsia="lv-LV"/>
              </w:rPr>
              <w:t>7</w:t>
            </w:r>
            <w:r w:rsidRPr="002C30C1">
              <w:rPr>
                <w:rFonts w:ascii="Times New Roman" w:eastAsia="Times New Roman" w:hAnsi="Times New Roman" w:cs="Times New Roman"/>
                <w:iCs/>
                <w:sz w:val="24"/>
                <w:szCs w:val="24"/>
                <w:lang w:eastAsia="lv-LV"/>
              </w:rPr>
              <w:t xml:space="preserve">.augusta sēdes (protokols Nr.37 73.§) protokollēmuma 5.punktam EDLUS dati uz VEDLUDB ir jāsāk nodot ar 2019.gada 1.jūliju, t.i., VEDLUDB ir jābūt izstrādātam līdz 2019.gada 1.jūlijam, izdevumi VEDLUDB uzturēšanai 2019.gadā sastāda pusi no plānotajiem VEDLUDB pielāgošanas un uzturēšanai izdevumiem gadā, t.i., 7500 </w:t>
            </w:r>
            <w:r w:rsidRPr="002C30C1">
              <w:rPr>
                <w:rFonts w:ascii="Times New Roman" w:eastAsia="Times New Roman" w:hAnsi="Times New Roman" w:cs="Times New Roman"/>
                <w:i/>
                <w:iCs/>
                <w:sz w:val="24"/>
                <w:szCs w:val="24"/>
                <w:lang w:eastAsia="lv-LV"/>
              </w:rPr>
              <w:t xml:space="preserve">euro </w:t>
            </w:r>
            <w:r w:rsidRPr="002C30C1">
              <w:rPr>
                <w:rFonts w:ascii="Times New Roman" w:eastAsia="Times New Roman" w:hAnsi="Times New Roman" w:cs="Times New Roman"/>
                <w:iCs/>
                <w:sz w:val="24"/>
                <w:szCs w:val="24"/>
                <w:lang w:eastAsia="lv-LV"/>
              </w:rPr>
              <w:t>(15 001 / 2=7500).</w:t>
            </w:r>
          </w:p>
          <w:p w14:paraId="776E8237" w14:textId="6266863D" w:rsidR="00C308EC" w:rsidRPr="002C30C1" w:rsidRDefault="00C308EC" w:rsidP="002712A1">
            <w:pPr>
              <w:spacing w:after="0" w:line="240" w:lineRule="auto"/>
              <w:ind w:firstLine="63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3.</w:t>
            </w:r>
            <w:r w:rsidR="00954151" w:rsidRPr="002C30C1">
              <w:rPr>
                <w:rFonts w:ascii="Times New Roman" w:eastAsia="Times New Roman" w:hAnsi="Times New Roman" w:cs="Times New Roman"/>
                <w:iCs/>
                <w:sz w:val="24"/>
                <w:szCs w:val="24"/>
                <w:lang w:eastAsia="lv-LV"/>
              </w:rPr>
              <w:t> </w:t>
            </w:r>
            <w:r w:rsidRPr="002C30C1">
              <w:rPr>
                <w:rFonts w:ascii="Times New Roman" w:eastAsia="Times New Roman" w:hAnsi="Times New Roman" w:cs="Times New Roman"/>
                <w:iCs/>
                <w:sz w:val="24"/>
                <w:szCs w:val="24"/>
                <w:lang w:eastAsia="lv-LV"/>
              </w:rPr>
              <w:t xml:space="preserve">VEDLUDB klientu apkalpošanai nepieciešams izveidot pakalpojumu vadītāja amata vietu BVKB, </w:t>
            </w:r>
            <w:r w:rsidRPr="002C30C1">
              <w:rPr>
                <w:rFonts w:ascii="Times New Roman" w:eastAsia="Times New Roman" w:hAnsi="Times New Roman"/>
                <w:iCs/>
                <w:sz w:val="24"/>
                <w:szCs w:val="24"/>
              </w:rPr>
              <w:t>pakalpojumu vadītājam būs jānodrošina arī VEDLUDB izstrādes atbalsts, t.sk., dalība VEDLUDB izstrādes intervijās un prasību definēšanā.</w:t>
            </w:r>
            <w:r w:rsidRPr="002C30C1">
              <w:rPr>
                <w:rFonts w:ascii="Times New Roman" w:eastAsia="Times New Roman" w:hAnsi="Times New Roman" w:cs="Times New Roman"/>
                <w:iCs/>
                <w:sz w:val="24"/>
                <w:szCs w:val="24"/>
                <w:lang w:eastAsia="lv-LV"/>
              </w:rPr>
              <w:t xml:space="preserve"> VEDLUDB klienti būs gan visi būvlaukumā nodarbinātie, kas varēs iegūt datus par savu būvlaukumā nostrādāto laiku, ģenerāluzņēmēji un apakšuzņēmēji, kam būs jāziņo par nodarbināto būvlaukumā pavadīto laiku, vai noslēgtajiem līgumiem atbilstoši likuma “Par nodokļiem un nodevām” prasībām. Tāpat VEDLUDB klienti būs valsts institūcijas, kurām būs jānodrošina datus. Pakalpojumu vadītāja mēnešalga (11.mēnešalgas grupa) plānota 25 723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ik gadu, sākot no 2019.gada:</w:t>
            </w:r>
          </w:p>
          <w:tbl>
            <w:tblPr>
              <w:tblStyle w:val="TableGrid"/>
              <w:tblW w:w="7571" w:type="dxa"/>
              <w:tblLook w:val="04A0" w:firstRow="1" w:lastRow="0" w:firstColumn="1" w:lastColumn="0" w:noHBand="0" w:noVBand="1"/>
            </w:tblPr>
            <w:tblGrid>
              <w:gridCol w:w="562"/>
              <w:gridCol w:w="3686"/>
              <w:gridCol w:w="3323"/>
            </w:tblGrid>
            <w:tr w:rsidR="00C308EC" w:rsidRPr="002C30C1" w14:paraId="415C863F" w14:textId="77777777" w:rsidTr="00E71B7E">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65E7B"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3811A"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 xml:space="preserve">Atalgojums </w:t>
                  </w:r>
                </w:p>
                <w:p w14:paraId="28DCBC48"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 xml:space="preserve">11.mēnešalgas grupa (amata saime/līmenis 19.3./II A) </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FD71F"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1382 x 12 = gadā 16 584;</w:t>
                  </w:r>
                </w:p>
              </w:tc>
            </w:tr>
            <w:tr w:rsidR="00C308EC" w:rsidRPr="002C30C1" w14:paraId="22AFA325" w14:textId="77777777" w:rsidTr="00E71B7E">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596EB64"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D12043"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10% vispārējās piemaksas</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46CF8860" w14:textId="7DB4179C"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16 584 x 0,1 = 1658</w:t>
                  </w:r>
                </w:p>
              </w:tc>
            </w:tr>
            <w:tr w:rsidR="00C308EC" w:rsidRPr="002C30C1" w14:paraId="2C2DBE5A" w14:textId="77777777" w:rsidTr="00E71B7E">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1274DE"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A1A4BDB"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10% prēmijas un naudas balvas</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DCD6EA" w14:textId="56624B8E"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16 584 x 0,1 = 1658</w:t>
                  </w:r>
                </w:p>
              </w:tc>
            </w:tr>
            <w:tr w:rsidR="00C308EC" w:rsidRPr="002C30C1" w14:paraId="5E7BE9C2" w14:textId="77777777" w:rsidTr="00E71B7E">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EC5962"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32E0AE0"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5% sociālās garantijas</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863FA08" w14:textId="291D728D"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16 584 x 0,05= 829</w:t>
                  </w:r>
                </w:p>
              </w:tc>
            </w:tr>
            <w:tr w:rsidR="00C308EC" w:rsidRPr="002C30C1" w14:paraId="07CFACE1" w14:textId="77777777" w:rsidTr="00E71B7E">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2C3A40C"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941C4"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Darba devēja soc. nodoklis</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DCDB23" w14:textId="38B629A2"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 xml:space="preserve">4 994  </w:t>
                  </w:r>
                </w:p>
              </w:tc>
            </w:tr>
            <w:tr w:rsidR="00C308EC" w:rsidRPr="002C30C1" w14:paraId="6CA1F6D3" w14:textId="77777777" w:rsidTr="00E71B7E">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27DB13" w14:textId="77777777" w:rsidR="00C308EC" w:rsidRPr="002C30C1" w:rsidRDefault="00C308EC" w:rsidP="002712A1">
                  <w:pPr>
                    <w:spacing w:after="0" w:line="240" w:lineRule="auto"/>
                    <w:jc w:val="both"/>
                    <w:rPr>
                      <w:rFonts w:eastAsia="Times New Roman" w:cs="Times New Roman"/>
                      <w:iCs/>
                      <w:sz w:val="20"/>
                      <w:szCs w:val="20"/>
                      <w:lang w:eastAsia="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50C4F9B"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Kopā</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56AFC5" w14:textId="4C72E25A"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25723</w:t>
                  </w:r>
                </w:p>
              </w:tc>
            </w:tr>
          </w:tbl>
          <w:p w14:paraId="09D3DAFC" w14:textId="095C1698" w:rsidR="00C308EC" w:rsidRPr="002C30C1" w:rsidRDefault="00C308EC" w:rsidP="002712A1">
            <w:pPr>
              <w:spacing w:after="0" w:line="240" w:lineRule="auto"/>
              <w:ind w:firstLine="631"/>
              <w:jc w:val="both"/>
              <w:rPr>
                <w:rFonts w:ascii="Times New Roman" w:eastAsia="Times New Roman" w:hAnsi="Times New Roman" w:cs="Times New Roman"/>
                <w:iCs/>
                <w:sz w:val="24"/>
                <w:szCs w:val="24"/>
                <w:lang w:eastAsia="lv-LV"/>
              </w:rPr>
            </w:pPr>
          </w:p>
        </w:tc>
      </w:tr>
      <w:tr w:rsidR="00C308EC" w:rsidRPr="002C30C1" w14:paraId="64883BF6" w14:textId="77777777" w:rsidTr="004B3267">
        <w:trPr>
          <w:cantSplit/>
          <w:tblCellSpacing w:w="20" w:type="dxa"/>
        </w:trPr>
        <w:tc>
          <w:tcPr>
            <w:tcW w:w="0" w:type="auto"/>
            <w:shd w:val="clear" w:color="auto" w:fill="auto"/>
            <w:hideMark/>
          </w:tcPr>
          <w:p w14:paraId="3F831AC8"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6.1. detalizēts ieņēmumu aprēķins</w:t>
            </w:r>
          </w:p>
        </w:tc>
        <w:tc>
          <w:tcPr>
            <w:tcW w:w="7673" w:type="dxa"/>
            <w:gridSpan w:val="7"/>
            <w:vMerge/>
            <w:shd w:val="clear" w:color="auto" w:fill="auto"/>
            <w:vAlign w:val="center"/>
            <w:hideMark/>
          </w:tcPr>
          <w:p w14:paraId="23A74ED6"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p>
        </w:tc>
      </w:tr>
      <w:tr w:rsidR="00C308EC" w:rsidRPr="002C30C1" w14:paraId="52866C4D" w14:textId="77777777" w:rsidTr="004B3267">
        <w:trPr>
          <w:cantSplit/>
          <w:tblCellSpacing w:w="20" w:type="dxa"/>
        </w:trPr>
        <w:tc>
          <w:tcPr>
            <w:tcW w:w="0" w:type="auto"/>
            <w:shd w:val="clear" w:color="auto" w:fill="auto"/>
            <w:hideMark/>
          </w:tcPr>
          <w:p w14:paraId="59712C80"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lastRenderedPageBreak/>
              <w:t>6.2. detalizēts izdevumu aprēķins</w:t>
            </w:r>
          </w:p>
        </w:tc>
        <w:tc>
          <w:tcPr>
            <w:tcW w:w="7673" w:type="dxa"/>
            <w:gridSpan w:val="7"/>
            <w:vMerge/>
            <w:shd w:val="clear" w:color="auto" w:fill="auto"/>
            <w:vAlign w:val="center"/>
            <w:hideMark/>
          </w:tcPr>
          <w:p w14:paraId="65C5060F"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p>
        </w:tc>
      </w:tr>
      <w:tr w:rsidR="00C308EC" w:rsidRPr="002C30C1" w14:paraId="71BF3436" w14:textId="77777777" w:rsidTr="004B3267">
        <w:trPr>
          <w:cantSplit/>
          <w:tblCellSpacing w:w="20" w:type="dxa"/>
        </w:trPr>
        <w:tc>
          <w:tcPr>
            <w:tcW w:w="0" w:type="auto"/>
            <w:shd w:val="clear" w:color="auto" w:fill="auto"/>
            <w:hideMark/>
          </w:tcPr>
          <w:p w14:paraId="09F5B3AC"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lastRenderedPageBreak/>
              <w:t>7. Amata vietu skaita izmaiņas</w:t>
            </w:r>
          </w:p>
        </w:tc>
        <w:tc>
          <w:tcPr>
            <w:tcW w:w="7673" w:type="dxa"/>
            <w:gridSpan w:val="7"/>
            <w:shd w:val="clear" w:color="auto" w:fill="auto"/>
            <w:hideMark/>
          </w:tcPr>
          <w:p w14:paraId="31FA7DF7" w14:textId="593AC834" w:rsidR="00C308EC" w:rsidRPr="002C30C1" w:rsidRDefault="00C308EC"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Kopējais amata vietu skaits EM resorā nemainīsies, jo BVKB amata vieta tiks pārdalīta no Centrālās statistikas pārvaldes.</w:t>
            </w:r>
          </w:p>
        </w:tc>
      </w:tr>
      <w:tr w:rsidR="00C308EC" w:rsidRPr="002C30C1" w14:paraId="585BCAA5" w14:textId="77777777" w:rsidTr="004B3267">
        <w:trPr>
          <w:cantSplit/>
          <w:tblCellSpacing w:w="20" w:type="dxa"/>
        </w:trPr>
        <w:tc>
          <w:tcPr>
            <w:tcW w:w="0" w:type="auto"/>
            <w:shd w:val="clear" w:color="auto" w:fill="auto"/>
            <w:hideMark/>
          </w:tcPr>
          <w:p w14:paraId="4F42E065"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8. Cita informācija</w:t>
            </w:r>
          </w:p>
        </w:tc>
        <w:tc>
          <w:tcPr>
            <w:tcW w:w="7673" w:type="dxa"/>
            <w:gridSpan w:val="7"/>
            <w:shd w:val="clear" w:color="auto" w:fill="auto"/>
            <w:hideMark/>
          </w:tcPr>
          <w:p w14:paraId="53A7685E" w14:textId="0BE608E5" w:rsidR="00C308EC" w:rsidRPr="002C30C1" w:rsidRDefault="00C308EC"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2019.gada valsts budžeta sagatavošanas procesā atbilstoši EM iesniegtajām prognozēm tiks precizēti un palielināti ieņēmumi no valsts nodevas par reģistrācijas darbībām būvkomersantu reģistrā un attiecīgi arī palielināti izdevumi EM budžeta programmā 20.00.00 “Būvniecība”, tajā skaitā 2019.gadam 1</w:t>
            </w:r>
            <w:r w:rsidR="00CC4714" w:rsidRPr="002C30C1">
              <w:rPr>
                <w:rFonts w:ascii="Times New Roman" w:eastAsia="Times New Roman" w:hAnsi="Times New Roman" w:cs="Times New Roman"/>
                <w:iCs/>
                <w:sz w:val="24"/>
                <w:szCs w:val="24"/>
                <w:lang w:eastAsia="lv-LV"/>
              </w:rPr>
              <w:t>33 230</w:t>
            </w:r>
            <w:r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apmērā, 2020. un 2021.gadam 40 724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apmērā ik gadu, lai nodrošinātu VEDLUDB izstrādi un uzturēšanu.</w:t>
            </w:r>
          </w:p>
        </w:tc>
      </w:tr>
      <w:tr w:rsidR="00C308EC" w:rsidRPr="002C30C1" w14:paraId="65EDCA4B" w14:textId="77777777" w:rsidTr="004B3267">
        <w:tblPrEx>
          <w:tblCellMar>
            <w:top w:w="30" w:type="dxa"/>
            <w:left w:w="30" w:type="dxa"/>
            <w:bottom w:w="30" w:type="dxa"/>
            <w:right w:w="30" w:type="dxa"/>
          </w:tblCellMar>
        </w:tblPrEx>
        <w:trPr>
          <w:cantSplit/>
          <w:tblCellSpacing w:w="20" w:type="dxa"/>
        </w:trPr>
        <w:tc>
          <w:tcPr>
            <w:tcW w:w="9128" w:type="dxa"/>
            <w:gridSpan w:val="8"/>
            <w:vAlign w:val="center"/>
            <w:hideMark/>
          </w:tcPr>
          <w:p w14:paraId="5479F661" w14:textId="77777777" w:rsidR="00C308EC" w:rsidRPr="002C30C1" w:rsidRDefault="00C308EC"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IV. Tiesību akta projekta ietekme uz spēkā esošo tiesību normu sistēmu</w:t>
            </w:r>
          </w:p>
        </w:tc>
      </w:tr>
      <w:tr w:rsidR="00224B17" w:rsidRPr="002C30C1" w14:paraId="3DD20F5A" w14:textId="77777777" w:rsidTr="004B3267">
        <w:tblPrEx>
          <w:tblCellMar>
            <w:top w:w="30" w:type="dxa"/>
            <w:left w:w="30" w:type="dxa"/>
            <w:bottom w:w="30" w:type="dxa"/>
            <w:right w:w="30" w:type="dxa"/>
          </w:tblCellMar>
        </w:tblPrEx>
        <w:trPr>
          <w:cantSplit/>
          <w:tblCellSpacing w:w="20" w:type="dxa"/>
        </w:trPr>
        <w:tc>
          <w:tcPr>
            <w:tcW w:w="9128" w:type="dxa"/>
            <w:gridSpan w:val="8"/>
            <w:vAlign w:val="center"/>
          </w:tcPr>
          <w:p w14:paraId="61315D38" w14:textId="19E76705" w:rsidR="00224B17" w:rsidRPr="002C30C1" w:rsidRDefault="00224B17" w:rsidP="002712A1">
            <w:pPr>
              <w:spacing w:after="0" w:line="240" w:lineRule="auto"/>
              <w:jc w:val="center"/>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Projekts šo jomu neskar.</w:t>
            </w:r>
          </w:p>
        </w:tc>
      </w:tr>
    </w:tbl>
    <w:p w14:paraId="1B14682C" w14:textId="00CE3DD8" w:rsidR="00D63D80" w:rsidRPr="002C30C1" w:rsidRDefault="00D63D80" w:rsidP="002712A1">
      <w:pPr>
        <w:spacing w:after="0" w:line="240" w:lineRule="auto"/>
        <w:rPr>
          <w:rFonts w:ascii="Times New Roman" w:eastAsia="Times New Roman" w:hAnsi="Times New Roman" w:cs="Times New Roman"/>
          <w:iCs/>
          <w:sz w:val="24"/>
          <w:szCs w:val="24"/>
          <w:lang w:val="en-US"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1BFA" w:rsidRPr="002C30C1" w14:paraId="35658992" w14:textId="77777777" w:rsidTr="005A1BFA">
        <w:trPr>
          <w:cantSplit/>
          <w:tblCellSpacing w:w="20" w:type="dxa"/>
        </w:trPr>
        <w:tc>
          <w:tcPr>
            <w:tcW w:w="5000" w:type="pct"/>
            <w:vAlign w:val="center"/>
            <w:hideMark/>
          </w:tcPr>
          <w:p w14:paraId="75B17F17" w14:textId="77777777" w:rsidR="005A1BFA" w:rsidRPr="002C30C1" w:rsidRDefault="005A1BFA" w:rsidP="002712A1">
            <w:pPr>
              <w:spacing w:after="0" w:line="240" w:lineRule="auto"/>
              <w:rPr>
                <w:rFonts w:ascii="Cambria" w:hAnsi="Cambria"/>
                <w:b/>
                <w:bCs/>
                <w:sz w:val="19"/>
                <w:szCs w:val="19"/>
              </w:rPr>
            </w:pPr>
            <w:r w:rsidRPr="002C30C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A1BFA" w:rsidRPr="002C30C1" w14:paraId="472F0983" w14:textId="77777777" w:rsidTr="005A1BFA">
        <w:trPr>
          <w:cantSplit/>
          <w:tblCellSpacing w:w="20" w:type="dxa"/>
        </w:trPr>
        <w:tc>
          <w:tcPr>
            <w:tcW w:w="5000" w:type="pct"/>
            <w:vAlign w:val="center"/>
          </w:tcPr>
          <w:p w14:paraId="67551C64" w14:textId="114FC90F" w:rsidR="005A1BFA" w:rsidRPr="002C30C1" w:rsidRDefault="005A1BFA" w:rsidP="002712A1">
            <w:pPr>
              <w:jc w:val="center"/>
              <w:rPr>
                <w:rFonts w:ascii="Cambria" w:hAnsi="Cambria"/>
                <w:b/>
                <w:bCs/>
                <w:sz w:val="19"/>
                <w:szCs w:val="19"/>
              </w:rPr>
            </w:pPr>
            <w:r w:rsidRPr="002C30C1">
              <w:rPr>
                <w:rFonts w:ascii="Times New Roman" w:eastAsia="Times New Roman" w:hAnsi="Times New Roman" w:cs="Times New Roman"/>
                <w:b/>
                <w:bCs/>
                <w:iCs/>
                <w:sz w:val="24"/>
                <w:szCs w:val="24"/>
                <w:lang w:eastAsia="lv-LV"/>
              </w:rPr>
              <w:t>Projekts šo jomu neskar.</w:t>
            </w:r>
          </w:p>
        </w:tc>
      </w:tr>
    </w:tbl>
    <w:p w14:paraId="03272AEA" w14:textId="77777777" w:rsidR="005A1BFA" w:rsidRPr="002C30C1" w:rsidRDefault="005A1BFA" w:rsidP="002712A1">
      <w:pPr>
        <w:spacing w:after="0" w:line="240" w:lineRule="auto"/>
        <w:rPr>
          <w:rFonts w:ascii="Times New Roman" w:eastAsia="Times New Roman" w:hAnsi="Times New Roman" w:cs="Times New Roman"/>
          <w:iCs/>
          <w:sz w:val="24"/>
          <w:szCs w:val="24"/>
          <w:lang w:val="en-US" w:eastAsia="lv-LV"/>
        </w:rPr>
      </w:pPr>
    </w:p>
    <w:p w14:paraId="3078F384" w14:textId="037DEF3E" w:rsidR="00323F13" w:rsidRPr="002C30C1" w:rsidRDefault="00323F13" w:rsidP="002712A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23F13" w:rsidRPr="002C30C1" w14:paraId="752FA694" w14:textId="77777777" w:rsidTr="00C37C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22E81F"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VI. Sabiedrības līdzdalība un komunikācijas aktivitātes</w:t>
            </w:r>
          </w:p>
        </w:tc>
      </w:tr>
      <w:tr w:rsidR="00323F13" w:rsidRPr="002C30C1" w14:paraId="211CF2AF" w14:textId="77777777" w:rsidTr="00C37C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167A3F"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5C8DBE"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90432C8" w14:textId="24D0C76A" w:rsidR="00323F13" w:rsidRPr="002C30C1" w:rsidRDefault="002C30C1" w:rsidP="002712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48351C" w:rsidRPr="002C30C1">
              <w:rPr>
                <w:rFonts w:ascii="Times New Roman" w:eastAsia="Times New Roman" w:hAnsi="Times New Roman" w:cs="Times New Roman"/>
                <w:iCs/>
                <w:sz w:val="24"/>
                <w:szCs w:val="24"/>
                <w:lang w:eastAsia="lv-LV"/>
              </w:rPr>
              <w:t>abiedrības līdzdalība tiks nodrošināta tālākajā Projekta skaņošanas gaitā. Vienlaikus Projekts tā izstrādes gaitā tika skaņots ar biedrību “L</w:t>
            </w:r>
            <w:r w:rsidR="006B4501" w:rsidRPr="002C30C1">
              <w:rPr>
                <w:rFonts w:ascii="Times New Roman" w:eastAsia="Times New Roman" w:hAnsi="Times New Roman" w:cs="Times New Roman"/>
                <w:iCs/>
                <w:sz w:val="24"/>
                <w:szCs w:val="24"/>
                <w:lang w:eastAsia="lv-LV"/>
              </w:rPr>
              <w:t>atvijas Būvuzņēmēju partnerība”.</w:t>
            </w:r>
            <w:r w:rsidR="0048351C" w:rsidRPr="002C30C1">
              <w:rPr>
                <w:rFonts w:ascii="Times New Roman" w:eastAsia="Times New Roman" w:hAnsi="Times New Roman" w:cs="Times New Roman"/>
                <w:iCs/>
                <w:sz w:val="24"/>
                <w:szCs w:val="24"/>
                <w:lang w:eastAsia="lv-LV"/>
              </w:rPr>
              <w:t xml:space="preserve"> </w:t>
            </w:r>
          </w:p>
        </w:tc>
      </w:tr>
      <w:tr w:rsidR="00323F13" w:rsidRPr="002C30C1" w14:paraId="3FB182D2" w14:textId="77777777" w:rsidTr="00C37C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D6BF"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BB95FE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1C43852" w14:textId="733E02B1" w:rsidR="00456598" w:rsidRPr="002C30C1" w:rsidRDefault="005A1BFA"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2018.gada 7.augustā Ministru kabinetā (protokols Nr.37 73.§) tika izskatīs Ekonomikas ministrijas sagatavotais Informatīvais ziņojums “Par Ministru kabineta 2017.gada 22.augusta protokola Nr.40 40.§ 4.punkta atzīšanu par spēku zaudējušu”, kurā ir ietverta informācija par nepieciešamajiem grozījumiem likumā “Par nodokļiem un nodevām”, lai pilnveidotu normatīvo regulējumu attiecībā uz elektronisko darba laika uzskaiti būvniecībā. Minētā informatīvā ziņojuma izstrādes laikā ar būvniecības nozari (t.sk. biedrību “Latvijas Būvuzņēmēju partnerība”) tika izdiskutēti nepieciešamie grozījumi likumā “Par nodokļiem un nodevām”, lai pilnveidotu elektronisko darba laika uzskaiti būvniecībā. Vienlaikus Projekts tā izstrādes gaitā tika skaņots ar biedrību “Latvijas Būvuzņēmēju partnerība”, kas 2018.gada 5.septembrī </w:t>
            </w:r>
            <w:r w:rsidR="00B0449A" w:rsidRPr="002C30C1">
              <w:rPr>
                <w:rFonts w:ascii="Times New Roman" w:eastAsia="Times New Roman" w:hAnsi="Times New Roman" w:cs="Times New Roman"/>
                <w:iCs/>
                <w:sz w:val="24"/>
                <w:szCs w:val="24"/>
                <w:lang w:eastAsia="lv-LV"/>
              </w:rPr>
              <w:t xml:space="preserve">un 2018.gada 8.novembrī </w:t>
            </w:r>
            <w:r w:rsidRPr="002C30C1">
              <w:rPr>
                <w:rFonts w:ascii="Times New Roman" w:eastAsia="Times New Roman" w:hAnsi="Times New Roman" w:cs="Times New Roman"/>
                <w:iCs/>
                <w:sz w:val="24"/>
                <w:szCs w:val="24"/>
                <w:lang w:eastAsia="lv-LV"/>
              </w:rPr>
              <w:t>sniegusi atzinumu</w:t>
            </w:r>
            <w:r w:rsidR="00B0449A"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par Projektu.</w:t>
            </w:r>
          </w:p>
        </w:tc>
      </w:tr>
      <w:tr w:rsidR="00323F13" w:rsidRPr="002C30C1" w14:paraId="61E8C790" w14:textId="77777777" w:rsidTr="00C37C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F494BF"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CFB30C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BFA03C2" w14:textId="00C11849" w:rsidR="00B0449A" w:rsidRPr="002C30C1" w:rsidRDefault="005A1BFA"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Biedrība “Latvijas Būvuzņēmēju partnerība”, lai novērstu likumā “Par nodokļiem un nodevām” ietvertā regulējuma attiecībā uz elektronisko darba laika uzskaiti būvniecībā atšķirīgu interpretāciju, atbalsta regulējuma pilnveidošanas nepieciešamību. Tāpat biedrība atbalsta EDLUS ieviešanas sliekšņa mazināšanu nozarē, jo t</w:t>
            </w:r>
            <w:r w:rsidR="00456598" w:rsidRPr="002C30C1">
              <w:rPr>
                <w:rFonts w:ascii="Times New Roman" w:eastAsia="Times New Roman" w:hAnsi="Times New Roman" w:cs="Times New Roman"/>
                <w:iCs/>
                <w:sz w:val="24"/>
                <w:szCs w:val="24"/>
                <w:lang w:eastAsia="lv-LV"/>
              </w:rPr>
              <w:t>as</w:t>
            </w:r>
            <w:r w:rsidRPr="002C30C1">
              <w:rPr>
                <w:rFonts w:ascii="Times New Roman" w:eastAsia="Times New Roman" w:hAnsi="Times New Roman" w:cs="Times New Roman"/>
                <w:iCs/>
                <w:sz w:val="24"/>
                <w:szCs w:val="24"/>
                <w:lang w:eastAsia="lv-LV"/>
              </w:rPr>
              <w:t xml:space="preserve"> sekmēs arī godīgu konkurenci būvniecības sektor</w:t>
            </w:r>
            <w:r w:rsidR="00456598" w:rsidRPr="002C30C1">
              <w:rPr>
                <w:rFonts w:ascii="Times New Roman" w:eastAsia="Times New Roman" w:hAnsi="Times New Roman" w:cs="Times New Roman"/>
                <w:iCs/>
                <w:sz w:val="24"/>
                <w:szCs w:val="24"/>
                <w:lang w:eastAsia="lv-LV"/>
              </w:rPr>
              <w:t>ā</w:t>
            </w:r>
            <w:r w:rsidRPr="002C30C1">
              <w:rPr>
                <w:rFonts w:ascii="Times New Roman" w:eastAsia="Times New Roman" w:hAnsi="Times New Roman" w:cs="Times New Roman"/>
                <w:iCs/>
                <w:sz w:val="24"/>
                <w:szCs w:val="24"/>
                <w:lang w:eastAsia="lv-LV"/>
              </w:rPr>
              <w:t xml:space="preserve">. Vienlaikus minētā biedrība nepiekrīt vairākiem priekšlikumiem, kas ietverti Projektā. Proti, biedrības ieskatā EDLUS datu labošana ir pieļaujama, ja labojumi ir veikti pamatoti un par to ir veikti auditācijas pieraksti EDLUS, tāpat biedrības ieskatā EDLUS </w:t>
            </w:r>
            <w:r w:rsidR="00E4781C" w:rsidRPr="002C30C1">
              <w:rPr>
                <w:rFonts w:ascii="Times New Roman" w:eastAsia="Times New Roman" w:hAnsi="Times New Roman" w:cs="Times New Roman"/>
                <w:iCs/>
                <w:sz w:val="24"/>
                <w:szCs w:val="24"/>
                <w:lang w:eastAsia="lv-LV"/>
              </w:rPr>
              <w:t>kā par būvlaukumā nodarbinātām personām nav reģistrējama informācija par inženiertīklu ierīkošanas un būvlaukuma uzturēšanas darbos iesaistītajām personām</w:t>
            </w:r>
            <w:r w:rsidR="00B0449A" w:rsidRPr="002C30C1">
              <w:rPr>
                <w:rFonts w:ascii="Times New Roman" w:eastAsia="Times New Roman" w:hAnsi="Times New Roman" w:cs="Times New Roman"/>
                <w:iCs/>
                <w:sz w:val="24"/>
                <w:szCs w:val="24"/>
                <w:lang w:eastAsia="lv-LV"/>
              </w:rPr>
              <w:t>. Šie biedrības iebildumi nav iekļauti Projektā, jo minētais ir izdiskutēts vairākkārt jau elektroniskās darba laika uzskaites būvniecībā regulējuma izstrādes posmā un tika secināts, ka gan datu labošana, gan visu būvlaukumā nodarbināto</w:t>
            </w:r>
            <w:r w:rsidR="00332980" w:rsidRPr="002C30C1">
              <w:rPr>
                <w:rFonts w:ascii="Times New Roman" w:eastAsia="Times New Roman" w:hAnsi="Times New Roman" w:cs="Times New Roman"/>
                <w:iCs/>
                <w:sz w:val="24"/>
                <w:szCs w:val="24"/>
                <w:lang w:eastAsia="lv-LV"/>
              </w:rPr>
              <w:t xml:space="preserve"> personu (t.sk. arī to personu, kas veic darbus būvlaukumā</w:t>
            </w:r>
            <w:r w:rsidR="00C63D9F" w:rsidRPr="002C30C1">
              <w:rPr>
                <w:rFonts w:ascii="Times New Roman" w:eastAsia="Times New Roman" w:hAnsi="Times New Roman" w:cs="Times New Roman"/>
                <w:iCs/>
                <w:sz w:val="24"/>
                <w:szCs w:val="24"/>
                <w:lang w:eastAsia="lv-LV"/>
              </w:rPr>
              <w:t>, kas tiešā veid</w:t>
            </w:r>
            <w:r w:rsidR="004A3F3F" w:rsidRPr="002C30C1">
              <w:rPr>
                <w:rFonts w:ascii="Times New Roman" w:eastAsia="Times New Roman" w:hAnsi="Times New Roman" w:cs="Times New Roman"/>
                <w:iCs/>
                <w:sz w:val="24"/>
                <w:szCs w:val="24"/>
                <w:lang w:eastAsia="lv-LV"/>
              </w:rPr>
              <w:t>ā</w:t>
            </w:r>
            <w:r w:rsidR="00C63D9F" w:rsidRPr="002C30C1">
              <w:rPr>
                <w:rFonts w:ascii="Times New Roman" w:eastAsia="Times New Roman" w:hAnsi="Times New Roman" w:cs="Times New Roman"/>
                <w:iCs/>
                <w:sz w:val="24"/>
                <w:szCs w:val="24"/>
                <w:lang w:eastAsia="lv-LV"/>
              </w:rPr>
              <w:t xml:space="preserve"> nav uzskatāmi par būves celtniecības darbiem, bet kas tiek veikti, lai būve atbilstu būves prasībām un kritērijiem un varētu tikt nodota ekspluatācijā</w:t>
            </w:r>
            <w:r w:rsidR="00332980" w:rsidRPr="002C30C1">
              <w:rPr>
                <w:rFonts w:ascii="Times New Roman" w:eastAsia="Times New Roman" w:hAnsi="Times New Roman" w:cs="Times New Roman"/>
                <w:iCs/>
                <w:sz w:val="24"/>
                <w:szCs w:val="24"/>
                <w:lang w:eastAsia="lv-LV"/>
              </w:rPr>
              <w:t>)</w:t>
            </w:r>
            <w:r w:rsidR="00B0449A" w:rsidRPr="002C30C1">
              <w:rPr>
                <w:rFonts w:ascii="Times New Roman" w:eastAsia="Times New Roman" w:hAnsi="Times New Roman" w:cs="Times New Roman"/>
                <w:iCs/>
                <w:sz w:val="24"/>
                <w:szCs w:val="24"/>
                <w:lang w:eastAsia="lv-LV"/>
              </w:rPr>
              <w:t xml:space="preserve"> nereģistrēšana EDLUS paver iespējas slēpt patiesi nostrādāto laiku būvlaukumā un nodarbināt personas nelegāli.</w:t>
            </w:r>
            <w:r w:rsidR="00332980" w:rsidRPr="002C30C1">
              <w:rPr>
                <w:rFonts w:ascii="Times New Roman" w:eastAsia="Times New Roman" w:hAnsi="Times New Roman" w:cs="Times New Roman"/>
                <w:iCs/>
                <w:sz w:val="24"/>
                <w:szCs w:val="24"/>
                <w:lang w:eastAsia="lv-LV"/>
              </w:rPr>
              <w:t xml:space="preserve"> Līdz ar to Projektā noteikts, ka EDLUS reģistrētie dati, kas attiecas uz laiku</w:t>
            </w:r>
            <w:r w:rsidR="00C63D9F" w:rsidRPr="002C30C1">
              <w:rPr>
                <w:rFonts w:ascii="Times New Roman" w:eastAsia="Times New Roman" w:hAnsi="Times New Roman" w:cs="Times New Roman"/>
                <w:iCs/>
                <w:sz w:val="24"/>
                <w:szCs w:val="24"/>
                <w:lang w:eastAsia="lv-LV"/>
              </w:rPr>
              <w:t xml:space="preserve"> un personu uzskaiti</w:t>
            </w:r>
            <w:r w:rsidR="00332980" w:rsidRPr="002C30C1">
              <w:rPr>
                <w:rFonts w:ascii="Times New Roman" w:eastAsia="Times New Roman" w:hAnsi="Times New Roman" w:cs="Times New Roman"/>
                <w:iCs/>
                <w:sz w:val="24"/>
                <w:szCs w:val="24"/>
                <w:lang w:eastAsia="lv-LV"/>
              </w:rPr>
              <w:t>, nav labojami. Savukārt inženiertīklu ierīkošanas un būvlaukuma uzturēšanas darbos iesaistītās personas ir reģistrējamas EDLUS kā būvlaukumā nodarbinātās personas.</w:t>
            </w:r>
            <w:r w:rsidR="00C63D9F" w:rsidRPr="002C30C1">
              <w:rPr>
                <w:rFonts w:ascii="Times New Roman" w:eastAsia="Times New Roman" w:hAnsi="Times New Roman" w:cs="Times New Roman"/>
                <w:iCs/>
                <w:sz w:val="24"/>
                <w:szCs w:val="24"/>
                <w:lang w:eastAsia="lv-LV"/>
              </w:rPr>
              <w:t xml:space="preserve"> </w:t>
            </w:r>
            <w:r w:rsidR="00135696" w:rsidRPr="002C30C1">
              <w:rPr>
                <w:rFonts w:ascii="Times New Roman" w:eastAsia="Times New Roman" w:hAnsi="Times New Roman" w:cs="Times New Roman"/>
                <w:iCs/>
                <w:sz w:val="24"/>
                <w:szCs w:val="24"/>
                <w:lang w:eastAsia="lv-LV"/>
              </w:rPr>
              <w:t>Tajā pat laikā, ņemot vērā, ka atsevišķ</w:t>
            </w:r>
            <w:r w:rsidR="00B24384" w:rsidRPr="002C30C1">
              <w:rPr>
                <w:rFonts w:ascii="Times New Roman" w:eastAsia="Times New Roman" w:hAnsi="Times New Roman" w:cs="Times New Roman"/>
                <w:iCs/>
                <w:sz w:val="24"/>
                <w:szCs w:val="24"/>
                <w:lang w:eastAsia="lv-LV"/>
              </w:rPr>
              <w:t>a</w:t>
            </w:r>
            <w:r w:rsidR="00135696" w:rsidRPr="002C30C1">
              <w:rPr>
                <w:rFonts w:ascii="Times New Roman" w:eastAsia="Times New Roman" w:hAnsi="Times New Roman" w:cs="Times New Roman"/>
                <w:iCs/>
                <w:sz w:val="24"/>
                <w:szCs w:val="24"/>
                <w:lang w:eastAsia="lv-LV"/>
              </w:rPr>
              <w:t xml:space="preserve">s institūcijas un </w:t>
            </w:r>
            <w:r w:rsidR="00135696" w:rsidRPr="002C30C1">
              <w:rPr>
                <w:rFonts w:ascii="Times New Roman" w:eastAsia="Times New Roman" w:hAnsi="Times New Roman" w:cs="Times New Roman"/>
                <w:iCs/>
                <w:sz w:val="24"/>
                <w:szCs w:val="24"/>
                <w:lang w:eastAsia="lv-LV"/>
              </w:rPr>
              <w:lastRenderedPageBreak/>
              <w:t xml:space="preserve">uzņēmumi sniedz gan maksas pakalpojumus, gan īsteno paveikto darbu, t.sk. kvalitātes, uzraudzību, lemjot par minētās personas darbinieka reģistrāciju EDLUS ir nepieciešams konkretizēt tās plānoto darbību būvobjektā. Piemēram, ja persona ir ieradusies, lai īstenotu tai normatīvajos aktos </w:t>
            </w:r>
            <w:r w:rsidR="00B24384" w:rsidRPr="002C30C1">
              <w:rPr>
                <w:rFonts w:ascii="Times New Roman" w:eastAsia="Times New Roman" w:hAnsi="Times New Roman" w:cs="Times New Roman"/>
                <w:iCs/>
                <w:sz w:val="24"/>
                <w:szCs w:val="24"/>
                <w:lang w:eastAsia="lv-LV"/>
              </w:rPr>
              <w:t xml:space="preserve">deleģēto </w:t>
            </w:r>
            <w:r w:rsidR="00135696" w:rsidRPr="002C30C1">
              <w:rPr>
                <w:rFonts w:ascii="Times New Roman" w:eastAsia="Times New Roman" w:hAnsi="Times New Roman" w:cs="Times New Roman"/>
                <w:iCs/>
                <w:sz w:val="24"/>
                <w:szCs w:val="24"/>
                <w:lang w:eastAsia="lv-LV"/>
              </w:rPr>
              <w:t>kontroles funkciju, tad persona nav reģistrējama, bet, ja persona veiks darba pienākumus, kas vērsti uz to, lai būve atbilstu būvprojektam, tad persona ir reģistrējama kā nodarbinātais.</w:t>
            </w:r>
          </w:p>
          <w:p w14:paraId="4D1BB2DC" w14:textId="1A3A6F55" w:rsidR="002B1591" w:rsidRPr="002C30C1" w:rsidRDefault="00332980"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Tāpat Projektā nav iestrādāts </w:t>
            </w:r>
            <w:r w:rsidR="00B0449A" w:rsidRPr="002C30C1">
              <w:rPr>
                <w:rFonts w:ascii="Times New Roman" w:eastAsia="Times New Roman" w:hAnsi="Times New Roman" w:cs="Times New Roman"/>
                <w:iCs/>
                <w:sz w:val="24"/>
                <w:szCs w:val="24"/>
                <w:lang w:eastAsia="lv-LV"/>
              </w:rPr>
              <w:t>biedrība</w:t>
            </w:r>
            <w:r w:rsidRPr="002C30C1">
              <w:rPr>
                <w:rFonts w:ascii="Times New Roman" w:eastAsia="Times New Roman" w:hAnsi="Times New Roman" w:cs="Times New Roman"/>
                <w:iCs/>
                <w:sz w:val="24"/>
                <w:szCs w:val="24"/>
                <w:lang w:eastAsia="lv-LV"/>
              </w:rPr>
              <w:t>s</w:t>
            </w:r>
            <w:r w:rsidR="00B0449A" w:rsidRPr="002C30C1">
              <w:rPr>
                <w:rFonts w:ascii="Times New Roman" w:eastAsia="Times New Roman" w:hAnsi="Times New Roman" w:cs="Times New Roman"/>
                <w:iCs/>
                <w:sz w:val="24"/>
                <w:szCs w:val="24"/>
                <w:lang w:eastAsia="lv-LV"/>
              </w:rPr>
              <w:t xml:space="preserve"> “Latvijas Būvuzņēmēju partnerība” </w:t>
            </w:r>
            <w:r w:rsidRPr="002C30C1">
              <w:rPr>
                <w:rFonts w:ascii="Times New Roman" w:eastAsia="Times New Roman" w:hAnsi="Times New Roman" w:cs="Times New Roman"/>
                <w:iCs/>
                <w:sz w:val="24"/>
                <w:szCs w:val="24"/>
                <w:lang w:eastAsia="lv-LV"/>
              </w:rPr>
              <w:t>iebildums par to, ka</w:t>
            </w:r>
            <w:r w:rsidR="00EE38A6" w:rsidRPr="002C30C1">
              <w:rPr>
                <w:rFonts w:ascii="Times New Roman" w:eastAsia="Times New Roman" w:hAnsi="Times New Roman" w:cs="Times New Roman"/>
                <w:iCs/>
                <w:sz w:val="24"/>
                <w:szCs w:val="24"/>
                <w:lang w:eastAsia="lv-LV"/>
              </w:rPr>
              <w:t>, aprēķinot summāro laiku EDLUS, ir jāņem vērā Darba likumā noteiktais attiecībā uz summēto darba laiku darbiniekiem. Minētais iebildums nav ņemts vērā, jo EDLUS summārais laiks paredz sasummēt laiku</w:t>
            </w:r>
            <w:r w:rsidR="00713EE6" w:rsidRPr="002C30C1">
              <w:rPr>
                <w:rFonts w:ascii="Times New Roman" w:eastAsia="Times New Roman" w:hAnsi="Times New Roman" w:cs="Times New Roman"/>
                <w:iCs/>
                <w:sz w:val="24"/>
                <w:szCs w:val="24"/>
                <w:lang w:eastAsia="lv-LV"/>
              </w:rPr>
              <w:t xml:space="preserve"> (</w:t>
            </w:r>
            <w:r w:rsidR="00C121C0" w:rsidRPr="002C30C1">
              <w:rPr>
                <w:rFonts w:ascii="Times New Roman" w:eastAsia="Times New Roman" w:hAnsi="Times New Roman" w:cs="Times New Roman"/>
                <w:iCs/>
                <w:sz w:val="24"/>
                <w:szCs w:val="24"/>
                <w:lang w:eastAsia="lv-LV"/>
              </w:rPr>
              <w:t xml:space="preserve">t.i., </w:t>
            </w:r>
            <w:r w:rsidR="00713EE6" w:rsidRPr="002C30C1">
              <w:rPr>
                <w:rFonts w:ascii="Times New Roman" w:eastAsia="Times New Roman" w:hAnsi="Times New Roman" w:cs="Times New Roman"/>
                <w:iCs/>
                <w:sz w:val="24"/>
                <w:szCs w:val="24"/>
                <w:lang w:eastAsia="lv-LV"/>
              </w:rPr>
              <w:t>diennakts ietvaros)</w:t>
            </w:r>
            <w:r w:rsidR="00EE38A6" w:rsidRPr="002C30C1">
              <w:rPr>
                <w:rFonts w:ascii="Times New Roman" w:eastAsia="Times New Roman" w:hAnsi="Times New Roman" w:cs="Times New Roman"/>
                <w:iCs/>
                <w:sz w:val="24"/>
                <w:szCs w:val="24"/>
                <w:lang w:eastAsia="lv-LV"/>
              </w:rPr>
              <w:t>, ko personas ir pavadījušas būvlaukumā</w:t>
            </w:r>
            <w:r w:rsidR="004A475F" w:rsidRPr="002C30C1">
              <w:rPr>
                <w:rFonts w:ascii="Times New Roman" w:eastAsia="Times New Roman" w:hAnsi="Times New Roman" w:cs="Times New Roman"/>
                <w:iCs/>
                <w:sz w:val="24"/>
                <w:szCs w:val="24"/>
                <w:lang w:eastAsia="lv-LV"/>
              </w:rPr>
              <w:t>,</w:t>
            </w:r>
            <w:r w:rsidR="00EE38A6" w:rsidRPr="002C30C1">
              <w:rPr>
                <w:rFonts w:ascii="Times New Roman" w:eastAsia="Times New Roman" w:hAnsi="Times New Roman" w:cs="Times New Roman"/>
                <w:iCs/>
                <w:sz w:val="24"/>
                <w:szCs w:val="24"/>
                <w:lang w:eastAsia="lv-LV"/>
              </w:rPr>
              <w:t xml:space="preserve"> un neattiecas </w:t>
            </w:r>
            <w:r w:rsidR="004A475F" w:rsidRPr="002C30C1">
              <w:rPr>
                <w:rFonts w:ascii="Times New Roman" w:eastAsia="Times New Roman" w:hAnsi="Times New Roman" w:cs="Times New Roman"/>
                <w:iCs/>
                <w:sz w:val="24"/>
                <w:szCs w:val="24"/>
                <w:lang w:eastAsia="lv-LV"/>
              </w:rPr>
              <w:t xml:space="preserve">uz </w:t>
            </w:r>
            <w:r w:rsidR="00EE38A6" w:rsidRPr="002C30C1">
              <w:rPr>
                <w:rFonts w:ascii="Times New Roman" w:eastAsia="Times New Roman" w:hAnsi="Times New Roman" w:cs="Times New Roman"/>
                <w:iCs/>
                <w:sz w:val="24"/>
                <w:szCs w:val="24"/>
                <w:lang w:eastAsia="lv-LV"/>
              </w:rPr>
              <w:t>Darba likumā</w:t>
            </w:r>
            <w:r w:rsidR="00C121C0" w:rsidRPr="002C30C1">
              <w:rPr>
                <w:rFonts w:ascii="Times New Roman" w:eastAsia="Times New Roman" w:hAnsi="Times New Roman" w:cs="Times New Roman"/>
                <w:iCs/>
                <w:sz w:val="24"/>
                <w:szCs w:val="24"/>
                <w:lang w:eastAsia="lv-LV"/>
              </w:rPr>
              <w:t xml:space="preserve"> noteikto summētā darba laika</w:t>
            </w:r>
            <w:r w:rsidR="00EE38A6" w:rsidRPr="002C30C1">
              <w:rPr>
                <w:rFonts w:ascii="Times New Roman" w:eastAsia="Times New Roman" w:hAnsi="Times New Roman" w:cs="Times New Roman"/>
                <w:iCs/>
                <w:sz w:val="24"/>
                <w:szCs w:val="24"/>
                <w:lang w:eastAsia="lv-LV"/>
              </w:rPr>
              <w:t xml:space="preserve"> </w:t>
            </w:r>
            <w:r w:rsidR="00713EE6" w:rsidRPr="002C30C1">
              <w:rPr>
                <w:rFonts w:ascii="Times New Roman" w:eastAsia="Times New Roman" w:hAnsi="Times New Roman" w:cs="Times New Roman"/>
                <w:iCs/>
                <w:sz w:val="24"/>
                <w:szCs w:val="24"/>
                <w:lang w:eastAsia="lv-LV"/>
              </w:rPr>
              <w:t>regulējumu</w:t>
            </w:r>
            <w:r w:rsidR="00EE38A6" w:rsidRPr="002C30C1">
              <w:rPr>
                <w:rFonts w:ascii="Times New Roman" w:eastAsia="Times New Roman" w:hAnsi="Times New Roman" w:cs="Times New Roman"/>
                <w:iCs/>
                <w:sz w:val="24"/>
                <w:szCs w:val="24"/>
                <w:lang w:eastAsia="lv-LV"/>
              </w:rPr>
              <w:t>.</w:t>
            </w:r>
          </w:p>
          <w:p w14:paraId="6B8B8135" w14:textId="4ECDC826" w:rsidR="00EE38A6" w:rsidRPr="002C30C1" w:rsidRDefault="00713EE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Projektā nav iestrādāti biedrības “Latvijas Būvuzņēmēju partnerība” iebildumi par to, ka likumā “Par nodokļiem un nodevām” ir jānosaka detalizētākas EDLUS tehniskās prasības, kā arī par to, ka EDLUS dati ir glabājami ne tikai Latvijas teritorijā izvietotajos datu centru serveros. Ņemot vērā to, ka likumā “Par nodokļiem un nodevām” ir noteiktas minimālās tehniskās prasības, kā arī EDLUS ir ieviests būvlaukumos jau no 2017.gada 1.oktobra, šobrīd Projektā netiek noteiktas jaunas EDLUS tehniskās prasības. Savukārt, ņemot vērā to, ka EDLUS tiek glabāti fizisko personu dati</w:t>
            </w:r>
            <w:r w:rsidR="00C121C0" w:rsidRPr="002C30C1">
              <w:rPr>
                <w:rFonts w:ascii="Times New Roman" w:eastAsia="Times New Roman" w:hAnsi="Times New Roman" w:cs="Times New Roman"/>
                <w:iCs/>
                <w:sz w:val="24"/>
                <w:szCs w:val="24"/>
                <w:lang w:eastAsia="lv-LV"/>
              </w:rPr>
              <w:t xml:space="preserve"> un tie ir </w:t>
            </w:r>
            <w:r w:rsidRPr="002C30C1">
              <w:rPr>
                <w:rFonts w:ascii="Times New Roman" w:eastAsia="Times New Roman" w:hAnsi="Times New Roman" w:cs="Times New Roman"/>
                <w:iCs/>
                <w:sz w:val="24"/>
                <w:szCs w:val="24"/>
                <w:lang w:eastAsia="lv-LV"/>
              </w:rPr>
              <w:t>izmantojami nodokļu administrēšanā, darba tiesisko attiecību reglamentējošo normatīvo aktu ievērošanas uzraudzībā un kontrolē</w:t>
            </w:r>
            <w:r w:rsidR="00C121C0" w:rsidRPr="002C30C1">
              <w:rPr>
                <w:rFonts w:ascii="Times New Roman" w:eastAsia="Times New Roman" w:hAnsi="Times New Roman" w:cs="Times New Roman"/>
                <w:iCs/>
                <w:sz w:val="24"/>
                <w:szCs w:val="24"/>
                <w:lang w:eastAsia="lv-LV"/>
              </w:rPr>
              <w:t>, kā arī</w:t>
            </w:r>
            <w:r w:rsidRPr="002C30C1">
              <w:rPr>
                <w:rFonts w:ascii="Times New Roman" w:eastAsia="Times New Roman" w:hAnsi="Times New Roman" w:cs="Times New Roman"/>
                <w:iCs/>
                <w:sz w:val="24"/>
                <w:szCs w:val="24"/>
                <w:lang w:eastAsia="lv-LV"/>
              </w:rPr>
              <w:t xml:space="preserve"> būvspeciālistu pienākumu izpildes kontrolē</w:t>
            </w:r>
            <w:r w:rsidR="00C121C0" w:rsidRPr="002C30C1">
              <w:rPr>
                <w:rFonts w:ascii="Times New Roman" w:eastAsia="Times New Roman" w:hAnsi="Times New Roman" w:cs="Times New Roman"/>
                <w:iCs/>
                <w:sz w:val="24"/>
                <w:szCs w:val="24"/>
                <w:lang w:eastAsia="lv-LV"/>
              </w:rPr>
              <w:t>, Projektā noteikts, ka EDLUS dati ir glabājami Latvijā izvietotajos datu centru serveros.</w:t>
            </w:r>
          </w:p>
        </w:tc>
      </w:tr>
      <w:tr w:rsidR="00323F13" w:rsidRPr="002C30C1" w14:paraId="5D14D979" w14:textId="77777777" w:rsidTr="00C37C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3CBC26"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70AD9A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4D4320"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Nav.</w:t>
            </w:r>
          </w:p>
        </w:tc>
      </w:tr>
    </w:tbl>
    <w:p w14:paraId="03E7CF4D" w14:textId="77777777" w:rsidR="00323F13" w:rsidRPr="002C30C1" w:rsidRDefault="00323F13" w:rsidP="002712A1">
      <w:pPr>
        <w:spacing w:after="0" w:line="240" w:lineRule="auto"/>
        <w:rPr>
          <w:rFonts w:ascii="Times New Roman" w:eastAsia="Times New Roman" w:hAnsi="Times New Roman" w:cs="Times New Roman"/>
          <w:iCs/>
          <w:sz w:val="24"/>
          <w:szCs w:val="24"/>
          <w:lang w:val="en-US" w:eastAsia="lv-LV"/>
        </w:rPr>
      </w:pPr>
      <w:r w:rsidRPr="002C30C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23F13" w:rsidRPr="002C30C1" w14:paraId="32B1D33C" w14:textId="77777777" w:rsidTr="00C37C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08765D"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23F13" w:rsidRPr="002C30C1" w14:paraId="56C57948" w14:textId="77777777" w:rsidTr="00C37C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016B9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89E5BD"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8C5FD4B" w14:textId="6369B940" w:rsidR="00304C5E" w:rsidRPr="002C30C1" w:rsidRDefault="00304C5E" w:rsidP="002712A1">
            <w:pPr>
              <w:pStyle w:val="NormalWeb"/>
              <w:spacing w:before="0" w:beforeAutospacing="0" w:after="0" w:afterAutospacing="0"/>
              <w:jc w:val="both"/>
              <w:rPr>
                <w:rFonts w:ascii="Times New Roman" w:hAnsi="Times New Roman" w:cs="Times New Roman"/>
                <w:color w:val="000000"/>
                <w:lang w:val="lv-LV"/>
              </w:rPr>
            </w:pPr>
            <w:r w:rsidRPr="002C30C1">
              <w:rPr>
                <w:rFonts w:ascii="Times New Roman" w:hAnsi="Times New Roman" w:cs="Times New Roman"/>
                <w:color w:val="000000"/>
                <w:lang w:val="lv-LV"/>
              </w:rPr>
              <w:t xml:space="preserve">VID, Valsts darba inspekcija, EM, </w:t>
            </w:r>
            <w:r w:rsidR="00232449" w:rsidRPr="002C30C1">
              <w:rPr>
                <w:rFonts w:ascii="Times New Roman" w:hAnsi="Times New Roman" w:cs="Times New Roman"/>
                <w:color w:val="000000"/>
                <w:lang w:val="lv-LV"/>
              </w:rPr>
              <w:t>BVKB</w:t>
            </w:r>
            <w:r w:rsidRPr="002C30C1">
              <w:rPr>
                <w:rFonts w:ascii="Times New Roman" w:hAnsi="Times New Roman" w:cs="Times New Roman"/>
                <w:color w:val="000000"/>
                <w:lang w:val="lv-LV"/>
              </w:rPr>
              <w:t>, CSP.</w:t>
            </w:r>
          </w:p>
          <w:p w14:paraId="353F41A0" w14:textId="1F2CE7D1" w:rsidR="00323F13" w:rsidRPr="002C30C1" w:rsidRDefault="00323F13" w:rsidP="002712A1">
            <w:pPr>
              <w:spacing w:after="0" w:line="240" w:lineRule="auto"/>
              <w:rPr>
                <w:rFonts w:ascii="Times New Roman" w:eastAsia="Times New Roman" w:hAnsi="Times New Roman" w:cs="Times New Roman"/>
                <w:iCs/>
                <w:sz w:val="24"/>
                <w:szCs w:val="24"/>
                <w:lang w:eastAsia="lv-LV"/>
              </w:rPr>
            </w:pPr>
          </w:p>
        </w:tc>
      </w:tr>
      <w:tr w:rsidR="00323F13" w:rsidRPr="002C30C1" w14:paraId="0A164B50" w14:textId="77777777" w:rsidTr="00304C5E">
        <w:trPr>
          <w:trHeight w:val="218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CA970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1183AC"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Projekta izpildes ietekme uz pārvaldes funkcijām un institucionālo struktūru.</w:t>
            </w:r>
            <w:r w:rsidRPr="002C30C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5F52EEE" w14:textId="77777777" w:rsidR="00323F13" w:rsidRPr="002C30C1" w:rsidRDefault="00323F1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Projekta izpildes rezultātā nav paredzēta esošo institūciju likvidācija vai reorganizācija, struktūra netiek ietekmēta. Izpilde tiks nodrošināta esošo cilvēkresursu ietvaros. </w:t>
            </w:r>
          </w:p>
        </w:tc>
      </w:tr>
      <w:tr w:rsidR="00323F13" w:rsidRPr="002C30C1" w14:paraId="56ADDB66" w14:textId="77777777" w:rsidTr="00C37C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3F04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361182"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4AA521" w14:textId="28B72509" w:rsidR="00323F13" w:rsidRPr="002C30C1" w:rsidRDefault="002235C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Nav.</w:t>
            </w:r>
          </w:p>
        </w:tc>
      </w:tr>
    </w:tbl>
    <w:p w14:paraId="66C6ADFF" w14:textId="77777777" w:rsidR="00323F13" w:rsidRPr="002C30C1" w:rsidRDefault="00323F13" w:rsidP="002712A1">
      <w:pPr>
        <w:spacing w:after="0" w:line="240" w:lineRule="auto"/>
        <w:rPr>
          <w:rFonts w:ascii="Times New Roman" w:hAnsi="Times New Roman" w:cs="Times New Roman"/>
          <w:sz w:val="28"/>
          <w:szCs w:val="28"/>
        </w:rPr>
      </w:pPr>
    </w:p>
    <w:p w14:paraId="6F0DF696" w14:textId="77777777" w:rsidR="00323F13" w:rsidRPr="002C30C1" w:rsidRDefault="00323F13" w:rsidP="002712A1">
      <w:pPr>
        <w:spacing w:after="0" w:line="240" w:lineRule="auto"/>
        <w:rPr>
          <w:rFonts w:ascii="Times New Roman" w:hAnsi="Times New Roman" w:cs="Times New Roman"/>
          <w:sz w:val="28"/>
          <w:szCs w:val="28"/>
        </w:rPr>
      </w:pPr>
    </w:p>
    <w:p w14:paraId="4348529B" w14:textId="07BB3A3C" w:rsidR="00323F13" w:rsidRPr="002C30C1" w:rsidRDefault="00F30C51" w:rsidP="002712A1">
      <w:pPr>
        <w:tabs>
          <w:tab w:val="left" w:pos="6804"/>
        </w:tabs>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4"/>
        </w:rPr>
        <w:t xml:space="preserve">Finanšu ministre </w:t>
      </w:r>
      <w:r>
        <w:rPr>
          <w:rFonts w:ascii="Times New Roman" w:hAnsi="Times New Roman"/>
          <w:sz w:val="28"/>
          <w:szCs w:val="24"/>
        </w:rPr>
        <w:tab/>
      </w:r>
      <w:bookmarkStart w:id="0" w:name="_GoBack"/>
      <w:bookmarkEnd w:id="0"/>
      <w:r w:rsidRPr="00F30C51">
        <w:rPr>
          <w:rFonts w:ascii="Times New Roman" w:hAnsi="Times New Roman"/>
          <w:sz w:val="28"/>
          <w:szCs w:val="24"/>
        </w:rPr>
        <w:t>D.Reizniece-Ozola</w:t>
      </w:r>
    </w:p>
    <w:p w14:paraId="4895CE56" w14:textId="618C6BCB" w:rsidR="00323F13" w:rsidRPr="002C30C1" w:rsidRDefault="00323F13" w:rsidP="002712A1">
      <w:pPr>
        <w:tabs>
          <w:tab w:val="left" w:pos="6804"/>
        </w:tabs>
        <w:spacing w:after="0" w:line="240" w:lineRule="auto"/>
        <w:jc w:val="both"/>
        <w:rPr>
          <w:rFonts w:ascii="Times New Roman" w:eastAsia="Times New Roman" w:hAnsi="Times New Roman" w:cs="Times New Roman"/>
          <w:sz w:val="28"/>
          <w:szCs w:val="28"/>
          <w:lang w:eastAsia="lv-LV"/>
        </w:rPr>
      </w:pPr>
    </w:p>
    <w:p w14:paraId="6310445A" w14:textId="0613FEF0"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4827E247" w14:textId="5BBF6FEE"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5A35E9CE" w14:textId="48B7C1EE"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4C97B348" w14:textId="4DFA20A3"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0FC2E03D" w14:textId="60A7FBB3"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276FF45F" w14:textId="78FC9A78"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0DBEE2EF" w14:textId="7785E056"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65FC28B1" w14:textId="54BF5585"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4B40BB70" w14:textId="016236EE"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2FE1ED41" w14:textId="1F2FC968"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074E6963" w14:textId="7B461D76"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4BE52D5B" w14:textId="4D49BCE1"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20DFDAA8" w14:textId="304AAE8C"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3C16FC63" w14:textId="67F226A5"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4FC17D81" w14:textId="01403883"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17C4A6ED" w14:textId="78D4CCED"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16C689C0" w14:textId="2C940BDB" w:rsidR="001F6A69" w:rsidRPr="002C30C1" w:rsidRDefault="001F6A69" w:rsidP="002712A1">
      <w:pPr>
        <w:tabs>
          <w:tab w:val="left" w:pos="6804"/>
        </w:tabs>
        <w:spacing w:after="0" w:line="240" w:lineRule="auto"/>
        <w:jc w:val="both"/>
        <w:rPr>
          <w:rFonts w:ascii="Times New Roman" w:eastAsia="Times New Roman" w:hAnsi="Times New Roman" w:cs="Times New Roman"/>
          <w:sz w:val="28"/>
          <w:szCs w:val="28"/>
          <w:lang w:eastAsia="lv-LV"/>
        </w:rPr>
      </w:pPr>
    </w:p>
    <w:p w14:paraId="4B110E54" w14:textId="65437E84"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69598743" w14:textId="238509D7"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41D7360D" w14:textId="77777777" w:rsidR="00403BF4" w:rsidRPr="002C30C1" w:rsidRDefault="00403BF4" w:rsidP="002712A1">
      <w:pPr>
        <w:tabs>
          <w:tab w:val="left" w:pos="6804"/>
        </w:tabs>
        <w:spacing w:after="0" w:line="240" w:lineRule="auto"/>
        <w:jc w:val="both"/>
        <w:rPr>
          <w:rFonts w:ascii="Times New Roman" w:eastAsia="Times New Roman" w:hAnsi="Times New Roman" w:cs="Times New Roman"/>
          <w:sz w:val="28"/>
          <w:szCs w:val="28"/>
          <w:lang w:eastAsia="lv-LV"/>
        </w:rPr>
      </w:pPr>
    </w:p>
    <w:p w14:paraId="3619A4C4" w14:textId="77777777" w:rsidR="00323F13" w:rsidRPr="002C30C1" w:rsidRDefault="00323F13" w:rsidP="002712A1">
      <w:pPr>
        <w:tabs>
          <w:tab w:val="left" w:pos="6804"/>
        </w:tabs>
        <w:spacing w:after="0" w:line="240" w:lineRule="auto"/>
        <w:jc w:val="both"/>
        <w:rPr>
          <w:rFonts w:ascii="Times New Roman" w:eastAsia="Times New Roman" w:hAnsi="Times New Roman" w:cs="Times New Roman"/>
          <w:sz w:val="20"/>
          <w:szCs w:val="20"/>
          <w:lang w:eastAsia="lv-LV"/>
        </w:rPr>
      </w:pPr>
      <w:r w:rsidRPr="002C30C1">
        <w:rPr>
          <w:rFonts w:ascii="Times New Roman" w:eastAsia="Times New Roman" w:hAnsi="Times New Roman" w:cs="Times New Roman"/>
          <w:sz w:val="20"/>
          <w:szCs w:val="20"/>
          <w:lang w:eastAsia="lv-LV"/>
        </w:rPr>
        <w:t>M.Valdmane 67095524</w:t>
      </w:r>
    </w:p>
    <w:p w14:paraId="10D2BFC8" w14:textId="77777777" w:rsidR="00323F13" w:rsidRPr="002C30C1" w:rsidRDefault="00F30C51" w:rsidP="002712A1">
      <w:pPr>
        <w:tabs>
          <w:tab w:val="left" w:pos="6804"/>
        </w:tabs>
        <w:spacing w:after="0" w:line="240" w:lineRule="auto"/>
        <w:jc w:val="both"/>
        <w:rPr>
          <w:rFonts w:ascii="Times New Roman" w:eastAsia="Times New Roman" w:hAnsi="Times New Roman" w:cs="Times New Roman"/>
          <w:sz w:val="20"/>
          <w:szCs w:val="20"/>
          <w:lang w:eastAsia="lv-LV"/>
        </w:rPr>
      </w:pPr>
      <w:hyperlink r:id="rId7" w:history="1">
        <w:r w:rsidR="00323F13" w:rsidRPr="002C30C1">
          <w:rPr>
            <w:rStyle w:val="Hyperlink"/>
            <w:rFonts w:ascii="Times New Roman" w:eastAsia="Times New Roman" w:hAnsi="Times New Roman" w:cs="Times New Roman"/>
            <w:sz w:val="20"/>
            <w:szCs w:val="20"/>
            <w:lang w:eastAsia="lv-LV"/>
          </w:rPr>
          <w:t>Marika.Valdmane@fm.gov.lv</w:t>
        </w:r>
      </w:hyperlink>
    </w:p>
    <w:p w14:paraId="00142790" w14:textId="77777777" w:rsidR="00323F13" w:rsidRPr="002C30C1" w:rsidRDefault="00323F13" w:rsidP="002712A1">
      <w:pPr>
        <w:tabs>
          <w:tab w:val="left" w:pos="6804"/>
        </w:tabs>
        <w:spacing w:after="0" w:line="240" w:lineRule="auto"/>
        <w:jc w:val="both"/>
        <w:rPr>
          <w:rFonts w:ascii="Times New Roman" w:eastAsia="Times New Roman" w:hAnsi="Times New Roman" w:cs="Times New Roman"/>
          <w:sz w:val="20"/>
          <w:szCs w:val="20"/>
          <w:lang w:eastAsia="lv-LV"/>
        </w:rPr>
      </w:pPr>
    </w:p>
    <w:p w14:paraId="203E72DE" w14:textId="77777777" w:rsidR="00323F13" w:rsidRPr="002C30C1" w:rsidRDefault="00323F13" w:rsidP="002712A1">
      <w:pPr>
        <w:spacing w:after="0" w:line="240" w:lineRule="auto"/>
        <w:rPr>
          <w:rFonts w:ascii="Times New Roman" w:eastAsia="Times New Roman" w:hAnsi="Times New Roman" w:cs="Times New Roman"/>
          <w:sz w:val="20"/>
          <w:szCs w:val="20"/>
          <w:lang w:eastAsia="lv-LV"/>
        </w:rPr>
      </w:pPr>
      <w:r w:rsidRPr="002C30C1">
        <w:rPr>
          <w:rFonts w:ascii="Times New Roman" w:eastAsia="Times New Roman" w:hAnsi="Times New Roman" w:cs="Times New Roman"/>
          <w:sz w:val="20"/>
          <w:szCs w:val="20"/>
          <w:lang w:eastAsia="lv-LV"/>
        </w:rPr>
        <w:t>K.Voiniča 67095567</w:t>
      </w:r>
    </w:p>
    <w:p w14:paraId="5AE8C236" w14:textId="21307968" w:rsidR="00AE5C99" w:rsidRPr="000C01F2" w:rsidRDefault="00F30C51" w:rsidP="002712A1">
      <w:pPr>
        <w:spacing w:after="0" w:line="240" w:lineRule="auto"/>
        <w:rPr>
          <w:rFonts w:ascii="Times New Roman" w:eastAsia="Times New Roman" w:hAnsi="Times New Roman" w:cs="Times New Roman"/>
          <w:sz w:val="24"/>
          <w:szCs w:val="24"/>
          <w:lang w:eastAsia="lv-LV"/>
        </w:rPr>
      </w:pPr>
      <w:hyperlink r:id="rId8" w:history="1">
        <w:r w:rsidR="00323F13" w:rsidRPr="002C30C1">
          <w:rPr>
            <w:rStyle w:val="Hyperlink"/>
            <w:rFonts w:ascii="Times New Roman" w:eastAsia="Times New Roman" w:hAnsi="Times New Roman" w:cs="Times New Roman"/>
            <w:sz w:val="20"/>
            <w:szCs w:val="20"/>
            <w:lang w:eastAsia="lv-LV"/>
          </w:rPr>
          <w:t>Kristine.Voinica@fm.gov.lv</w:t>
        </w:r>
      </w:hyperlink>
      <w:r w:rsidR="00323F13" w:rsidRPr="00AC0455">
        <w:rPr>
          <w:rFonts w:ascii="Times New Roman" w:eastAsia="Times New Roman" w:hAnsi="Times New Roman" w:cs="Times New Roman"/>
          <w:i/>
          <w:iCs/>
          <w:sz w:val="24"/>
          <w:szCs w:val="24"/>
          <w:lang w:eastAsia="lv-LV"/>
        </w:rPr>
        <w:t> </w:t>
      </w:r>
    </w:p>
    <w:sectPr w:rsidR="00AE5C99" w:rsidRPr="000C01F2" w:rsidSect="004B326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7C12" w14:textId="77777777" w:rsidR="00842BF1" w:rsidRDefault="00842BF1" w:rsidP="00323F13">
      <w:pPr>
        <w:spacing w:after="0" w:line="240" w:lineRule="auto"/>
      </w:pPr>
      <w:r>
        <w:separator/>
      </w:r>
    </w:p>
  </w:endnote>
  <w:endnote w:type="continuationSeparator" w:id="0">
    <w:p w14:paraId="4E94D887" w14:textId="77777777" w:rsidR="00842BF1" w:rsidRDefault="00842BF1" w:rsidP="0032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524F" w14:textId="0A210831" w:rsidR="00842BF1" w:rsidRPr="00894C55" w:rsidRDefault="00842BF1">
    <w:pPr>
      <w:pStyle w:val="Footer"/>
      <w:rPr>
        <w:rFonts w:ascii="Times New Roman" w:hAnsi="Times New Roman" w:cs="Times New Roman"/>
        <w:sz w:val="20"/>
        <w:szCs w:val="20"/>
      </w:rPr>
    </w:pPr>
    <w:r>
      <w:rPr>
        <w:rFonts w:ascii="Times New Roman" w:hAnsi="Times New Roman" w:cs="Times New Roman"/>
        <w:sz w:val="20"/>
        <w:szCs w:val="20"/>
      </w:rPr>
      <w:t>FMAnot_281118_NNL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BDFB" w14:textId="49706CE6" w:rsidR="00842BF1" w:rsidRPr="009A2654" w:rsidRDefault="00842BF1">
    <w:pPr>
      <w:pStyle w:val="Footer"/>
      <w:rPr>
        <w:rFonts w:ascii="Times New Roman" w:hAnsi="Times New Roman" w:cs="Times New Roman"/>
        <w:sz w:val="20"/>
        <w:szCs w:val="20"/>
      </w:rPr>
    </w:pPr>
    <w:r>
      <w:rPr>
        <w:rFonts w:ascii="Times New Roman" w:hAnsi="Times New Roman" w:cs="Times New Roman"/>
        <w:sz w:val="20"/>
        <w:szCs w:val="20"/>
      </w:rPr>
      <w:t>FMAnot_281118_NNL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5EB3" w14:textId="77777777" w:rsidR="00842BF1" w:rsidRDefault="00842BF1" w:rsidP="00323F13">
      <w:pPr>
        <w:spacing w:after="0" w:line="240" w:lineRule="auto"/>
      </w:pPr>
      <w:r>
        <w:separator/>
      </w:r>
    </w:p>
  </w:footnote>
  <w:footnote w:type="continuationSeparator" w:id="0">
    <w:p w14:paraId="248191FC" w14:textId="77777777" w:rsidR="00842BF1" w:rsidRDefault="00842BF1" w:rsidP="00323F13">
      <w:pPr>
        <w:spacing w:after="0" w:line="240" w:lineRule="auto"/>
      </w:pPr>
      <w:r>
        <w:continuationSeparator/>
      </w:r>
    </w:p>
  </w:footnote>
  <w:footnote w:id="1">
    <w:p w14:paraId="44A94DF3" w14:textId="288117A7" w:rsidR="00842BF1" w:rsidRDefault="00842BF1">
      <w:pPr>
        <w:pStyle w:val="FootnoteText"/>
      </w:pPr>
      <w:r>
        <w:rPr>
          <w:rStyle w:val="FootnoteReference"/>
        </w:rPr>
        <w:footnoteRef/>
      </w:r>
      <w:r>
        <w:t xml:space="preserve"> </w:t>
      </w:r>
      <w:hyperlink r:id="rId1" w:history="1">
        <w:r w:rsidRPr="00B909BD">
          <w:rPr>
            <w:rStyle w:val="Hyperlink"/>
          </w:rPr>
          <w:t>http://www.sseriga.edu/sites/default/files/2018-08/Enu_ekonomika_buvniecibas_nozare_2015_2017.pdf</w:t>
        </w:r>
      </w:hyperlink>
      <w:r>
        <w:t xml:space="preserve"> </w:t>
      </w:r>
    </w:p>
  </w:footnote>
  <w:footnote w:id="2">
    <w:p w14:paraId="2C0C2246" w14:textId="369882D3" w:rsidR="00842BF1" w:rsidRDefault="00842BF1">
      <w:pPr>
        <w:pStyle w:val="FootnoteText"/>
      </w:pPr>
      <w:r>
        <w:rPr>
          <w:rStyle w:val="FootnoteReference"/>
        </w:rPr>
        <w:footnoteRef/>
      </w:r>
      <w:r>
        <w:t xml:space="preserve"> </w:t>
      </w:r>
      <w:hyperlink r:id="rId2" w:history="1">
        <w:r w:rsidRPr="00B909BD">
          <w:rPr>
            <w:rStyle w:val="Hyperlink"/>
          </w:rPr>
          <w:t>https://www.vid.gov.lv/lv/darba-samaksa-1</w:t>
        </w:r>
      </w:hyperlink>
      <w:r>
        <w:t xml:space="preserve"> </w:t>
      </w:r>
    </w:p>
  </w:footnote>
  <w:footnote w:id="3">
    <w:p w14:paraId="1CE5CFBC" w14:textId="1D958EF7" w:rsidR="00842BF1" w:rsidRDefault="00842BF1">
      <w:pPr>
        <w:pStyle w:val="FootnoteText"/>
      </w:pPr>
      <w:r>
        <w:rPr>
          <w:rStyle w:val="FootnoteReference"/>
        </w:rPr>
        <w:footnoteRef/>
      </w:r>
      <w:r>
        <w:t xml:space="preserve"> </w:t>
      </w:r>
      <w:hyperlink r:id="rId3" w:history="1">
        <w:r w:rsidRPr="00137F30">
          <w:rPr>
            <w:rStyle w:val="Hyperlink"/>
          </w:rPr>
          <w:t>http://www.sseriga.edu/sites/default/files/2018-08/Enu_ekonomika_buvniecibas_nozare_2015_2016.pdf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rPr>
    </w:sdtEndPr>
    <w:sdtContent>
      <w:p w14:paraId="45D1D304" w14:textId="628AD35C" w:rsidR="00842BF1" w:rsidRPr="001F6A69" w:rsidRDefault="00842BF1">
        <w:pPr>
          <w:pStyle w:val="Header"/>
          <w:jc w:val="center"/>
          <w:rPr>
            <w:rFonts w:ascii="Times New Roman" w:hAnsi="Times New Roman" w:cs="Times New Roman"/>
          </w:rPr>
        </w:pPr>
        <w:r w:rsidRPr="001F6A69">
          <w:rPr>
            <w:rFonts w:ascii="Times New Roman" w:hAnsi="Times New Roman" w:cs="Times New Roman"/>
          </w:rPr>
          <w:fldChar w:fldCharType="begin"/>
        </w:r>
        <w:r w:rsidRPr="001F6A69">
          <w:rPr>
            <w:rFonts w:ascii="Times New Roman" w:hAnsi="Times New Roman" w:cs="Times New Roman"/>
          </w:rPr>
          <w:instrText xml:space="preserve"> PAGE   \* MERGEFORMAT </w:instrText>
        </w:r>
        <w:r w:rsidRPr="001F6A69">
          <w:rPr>
            <w:rFonts w:ascii="Times New Roman" w:hAnsi="Times New Roman" w:cs="Times New Roman"/>
          </w:rPr>
          <w:fldChar w:fldCharType="separate"/>
        </w:r>
        <w:r w:rsidR="00F30C51">
          <w:rPr>
            <w:rFonts w:ascii="Times New Roman" w:hAnsi="Times New Roman" w:cs="Times New Roman"/>
            <w:noProof/>
          </w:rPr>
          <w:t>17</w:t>
        </w:r>
        <w:r w:rsidRPr="001F6A69">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13"/>
    <w:rsid w:val="000027FF"/>
    <w:rsid w:val="00032913"/>
    <w:rsid w:val="00035163"/>
    <w:rsid w:val="00056724"/>
    <w:rsid w:val="0006529D"/>
    <w:rsid w:val="00071827"/>
    <w:rsid w:val="00091362"/>
    <w:rsid w:val="00091A29"/>
    <w:rsid w:val="00096698"/>
    <w:rsid w:val="000B41AE"/>
    <w:rsid w:val="000C01F2"/>
    <w:rsid w:val="000C1042"/>
    <w:rsid w:val="000C14A9"/>
    <w:rsid w:val="000C4CB3"/>
    <w:rsid w:val="000D360F"/>
    <w:rsid w:val="000D613C"/>
    <w:rsid w:val="000E1A89"/>
    <w:rsid w:val="000F27D4"/>
    <w:rsid w:val="000F5AC7"/>
    <w:rsid w:val="00107ED3"/>
    <w:rsid w:val="00110166"/>
    <w:rsid w:val="00110D64"/>
    <w:rsid w:val="00120975"/>
    <w:rsid w:val="00135696"/>
    <w:rsid w:val="00137565"/>
    <w:rsid w:val="00144226"/>
    <w:rsid w:val="00146729"/>
    <w:rsid w:val="00170937"/>
    <w:rsid w:val="00175288"/>
    <w:rsid w:val="00181F2F"/>
    <w:rsid w:val="001A10DC"/>
    <w:rsid w:val="001B091F"/>
    <w:rsid w:val="001B16A5"/>
    <w:rsid w:val="001B5728"/>
    <w:rsid w:val="001C75EB"/>
    <w:rsid w:val="001C7886"/>
    <w:rsid w:val="001D11F9"/>
    <w:rsid w:val="001E2F27"/>
    <w:rsid w:val="001F6A69"/>
    <w:rsid w:val="002002B6"/>
    <w:rsid w:val="00200394"/>
    <w:rsid w:val="00200EFB"/>
    <w:rsid w:val="00204D9B"/>
    <w:rsid w:val="002067D1"/>
    <w:rsid w:val="002235CE"/>
    <w:rsid w:val="00224B17"/>
    <w:rsid w:val="00232449"/>
    <w:rsid w:val="002373C0"/>
    <w:rsid w:val="00240293"/>
    <w:rsid w:val="00270DEC"/>
    <w:rsid w:val="002712A1"/>
    <w:rsid w:val="002871BC"/>
    <w:rsid w:val="002929A9"/>
    <w:rsid w:val="002B0B21"/>
    <w:rsid w:val="002B1591"/>
    <w:rsid w:val="002C2514"/>
    <w:rsid w:val="002C30C1"/>
    <w:rsid w:val="002C49CE"/>
    <w:rsid w:val="002C7036"/>
    <w:rsid w:val="002E717D"/>
    <w:rsid w:val="002F39AA"/>
    <w:rsid w:val="002F7D77"/>
    <w:rsid w:val="0030069E"/>
    <w:rsid w:val="003018EB"/>
    <w:rsid w:val="00304C5E"/>
    <w:rsid w:val="00306583"/>
    <w:rsid w:val="00310EF2"/>
    <w:rsid w:val="00312D1A"/>
    <w:rsid w:val="00314979"/>
    <w:rsid w:val="00323F13"/>
    <w:rsid w:val="00332980"/>
    <w:rsid w:val="00337066"/>
    <w:rsid w:val="00372AA1"/>
    <w:rsid w:val="00373170"/>
    <w:rsid w:val="00375BBA"/>
    <w:rsid w:val="0039482D"/>
    <w:rsid w:val="0039534C"/>
    <w:rsid w:val="003C60A3"/>
    <w:rsid w:val="003E15C9"/>
    <w:rsid w:val="00402CFA"/>
    <w:rsid w:val="00403BF4"/>
    <w:rsid w:val="00404E95"/>
    <w:rsid w:val="00412A06"/>
    <w:rsid w:val="00416C1C"/>
    <w:rsid w:val="00424A9B"/>
    <w:rsid w:val="00426B16"/>
    <w:rsid w:val="004511FB"/>
    <w:rsid w:val="00456598"/>
    <w:rsid w:val="004711F6"/>
    <w:rsid w:val="0048183C"/>
    <w:rsid w:val="0048351C"/>
    <w:rsid w:val="00496D5D"/>
    <w:rsid w:val="004A2454"/>
    <w:rsid w:val="004A3F3F"/>
    <w:rsid w:val="004A475F"/>
    <w:rsid w:val="004B19FC"/>
    <w:rsid w:val="004B3267"/>
    <w:rsid w:val="004D10E9"/>
    <w:rsid w:val="004D448D"/>
    <w:rsid w:val="004D58AF"/>
    <w:rsid w:val="004F688A"/>
    <w:rsid w:val="00512081"/>
    <w:rsid w:val="00517564"/>
    <w:rsid w:val="00580FC6"/>
    <w:rsid w:val="0059171C"/>
    <w:rsid w:val="00593D66"/>
    <w:rsid w:val="005A11F9"/>
    <w:rsid w:val="005A1BFA"/>
    <w:rsid w:val="005C4F34"/>
    <w:rsid w:val="005C508D"/>
    <w:rsid w:val="005C527D"/>
    <w:rsid w:val="005E4701"/>
    <w:rsid w:val="005F4C35"/>
    <w:rsid w:val="006051BD"/>
    <w:rsid w:val="0061241C"/>
    <w:rsid w:val="00617926"/>
    <w:rsid w:val="006313D6"/>
    <w:rsid w:val="006463DF"/>
    <w:rsid w:val="006522A8"/>
    <w:rsid w:val="00686C15"/>
    <w:rsid w:val="006927BA"/>
    <w:rsid w:val="00695EC3"/>
    <w:rsid w:val="00697743"/>
    <w:rsid w:val="006A17D5"/>
    <w:rsid w:val="006A4972"/>
    <w:rsid w:val="006A75FF"/>
    <w:rsid w:val="006B4501"/>
    <w:rsid w:val="006C1BD2"/>
    <w:rsid w:val="006C49C7"/>
    <w:rsid w:val="006D3B93"/>
    <w:rsid w:val="006E2585"/>
    <w:rsid w:val="006E5F34"/>
    <w:rsid w:val="006E61AB"/>
    <w:rsid w:val="00706DDD"/>
    <w:rsid w:val="00710BA4"/>
    <w:rsid w:val="00713EE6"/>
    <w:rsid w:val="00713EF4"/>
    <w:rsid w:val="00723F77"/>
    <w:rsid w:val="00725ED9"/>
    <w:rsid w:val="0072726A"/>
    <w:rsid w:val="00733000"/>
    <w:rsid w:val="00733AB0"/>
    <w:rsid w:val="007419A5"/>
    <w:rsid w:val="00764587"/>
    <w:rsid w:val="00773C3E"/>
    <w:rsid w:val="00775545"/>
    <w:rsid w:val="00780AA1"/>
    <w:rsid w:val="007831D2"/>
    <w:rsid w:val="007846DD"/>
    <w:rsid w:val="00784B50"/>
    <w:rsid w:val="00790873"/>
    <w:rsid w:val="00795F01"/>
    <w:rsid w:val="007A048F"/>
    <w:rsid w:val="007A5CA4"/>
    <w:rsid w:val="007B43A8"/>
    <w:rsid w:val="007C770C"/>
    <w:rsid w:val="007D112D"/>
    <w:rsid w:val="007D1F09"/>
    <w:rsid w:val="007D3A72"/>
    <w:rsid w:val="007F0A73"/>
    <w:rsid w:val="00803768"/>
    <w:rsid w:val="008216ED"/>
    <w:rsid w:val="00822A9D"/>
    <w:rsid w:val="00823A76"/>
    <w:rsid w:val="00824530"/>
    <w:rsid w:val="00835BB0"/>
    <w:rsid w:val="00840A2F"/>
    <w:rsid w:val="008427D3"/>
    <w:rsid w:val="00842BF1"/>
    <w:rsid w:val="00845776"/>
    <w:rsid w:val="00854FF4"/>
    <w:rsid w:val="00855055"/>
    <w:rsid w:val="00864747"/>
    <w:rsid w:val="00871E72"/>
    <w:rsid w:val="00877C9E"/>
    <w:rsid w:val="00880C31"/>
    <w:rsid w:val="008810E5"/>
    <w:rsid w:val="00884927"/>
    <w:rsid w:val="00892DFF"/>
    <w:rsid w:val="00893528"/>
    <w:rsid w:val="008B7DD4"/>
    <w:rsid w:val="008C0F05"/>
    <w:rsid w:val="008D1852"/>
    <w:rsid w:val="008E5234"/>
    <w:rsid w:val="008E7C15"/>
    <w:rsid w:val="008F5673"/>
    <w:rsid w:val="00903484"/>
    <w:rsid w:val="009252E5"/>
    <w:rsid w:val="009344B4"/>
    <w:rsid w:val="00942D2E"/>
    <w:rsid w:val="00950EBC"/>
    <w:rsid w:val="00951FFD"/>
    <w:rsid w:val="00954151"/>
    <w:rsid w:val="009562EB"/>
    <w:rsid w:val="009646A3"/>
    <w:rsid w:val="00966B8E"/>
    <w:rsid w:val="009A5515"/>
    <w:rsid w:val="009B0442"/>
    <w:rsid w:val="009B4F84"/>
    <w:rsid w:val="009C1009"/>
    <w:rsid w:val="009C4A75"/>
    <w:rsid w:val="009D2A59"/>
    <w:rsid w:val="009D308F"/>
    <w:rsid w:val="00A13505"/>
    <w:rsid w:val="00A137C6"/>
    <w:rsid w:val="00A3416A"/>
    <w:rsid w:val="00A420C4"/>
    <w:rsid w:val="00A45A60"/>
    <w:rsid w:val="00A509DF"/>
    <w:rsid w:val="00A66CB2"/>
    <w:rsid w:val="00A71CC6"/>
    <w:rsid w:val="00A817C3"/>
    <w:rsid w:val="00AA6E38"/>
    <w:rsid w:val="00AC4EF2"/>
    <w:rsid w:val="00AD40B2"/>
    <w:rsid w:val="00AD57E9"/>
    <w:rsid w:val="00AE3C52"/>
    <w:rsid w:val="00AE5C99"/>
    <w:rsid w:val="00AF3B95"/>
    <w:rsid w:val="00AF59A7"/>
    <w:rsid w:val="00AF70A7"/>
    <w:rsid w:val="00AF7615"/>
    <w:rsid w:val="00B0449A"/>
    <w:rsid w:val="00B168EF"/>
    <w:rsid w:val="00B20A98"/>
    <w:rsid w:val="00B24384"/>
    <w:rsid w:val="00B3355B"/>
    <w:rsid w:val="00B530E0"/>
    <w:rsid w:val="00B85331"/>
    <w:rsid w:val="00B92703"/>
    <w:rsid w:val="00B972C2"/>
    <w:rsid w:val="00BA21C5"/>
    <w:rsid w:val="00BA67A1"/>
    <w:rsid w:val="00BA69E7"/>
    <w:rsid w:val="00BB3140"/>
    <w:rsid w:val="00BB57D3"/>
    <w:rsid w:val="00BD2BEF"/>
    <w:rsid w:val="00BD6BD6"/>
    <w:rsid w:val="00BF61D8"/>
    <w:rsid w:val="00C10C1B"/>
    <w:rsid w:val="00C10D88"/>
    <w:rsid w:val="00C121C0"/>
    <w:rsid w:val="00C21746"/>
    <w:rsid w:val="00C273A4"/>
    <w:rsid w:val="00C308EC"/>
    <w:rsid w:val="00C36BC7"/>
    <w:rsid w:val="00C37C4C"/>
    <w:rsid w:val="00C41334"/>
    <w:rsid w:val="00C45546"/>
    <w:rsid w:val="00C45D25"/>
    <w:rsid w:val="00C547C9"/>
    <w:rsid w:val="00C62EC8"/>
    <w:rsid w:val="00C63D9F"/>
    <w:rsid w:val="00C650C8"/>
    <w:rsid w:val="00C85D8A"/>
    <w:rsid w:val="00C8600C"/>
    <w:rsid w:val="00C968C5"/>
    <w:rsid w:val="00CB27B9"/>
    <w:rsid w:val="00CC1A01"/>
    <w:rsid w:val="00CC4714"/>
    <w:rsid w:val="00CD7485"/>
    <w:rsid w:val="00CE688D"/>
    <w:rsid w:val="00D1158F"/>
    <w:rsid w:val="00D146F4"/>
    <w:rsid w:val="00D216D9"/>
    <w:rsid w:val="00D22DC0"/>
    <w:rsid w:val="00D24A87"/>
    <w:rsid w:val="00D2783B"/>
    <w:rsid w:val="00D36F04"/>
    <w:rsid w:val="00D448F0"/>
    <w:rsid w:val="00D47013"/>
    <w:rsid w:val="00D5154B"/>
    <w:rsid w:val="00D63D80"/>
    <w:rsid w:val="00D6414F"/>
    <w:rsid w:val="00D65511"/>
    <w:rsid w:val="00D930CA"/>
    <w:rsid w:val="00D96827"/>
    <w:rsid w:val="00D9764D"/>
    <w:rsid w:val="00D97AE1"/>
    <w:rsid w:val="00DA2CFA"/>
    <w:rsid w:val="00DB6CB9"/>
    <w:rsid w:val="00DB71BF"/>
    <w:rsid w:val="00DD0737"/>
    <w:rsid w:val="00DE0FAF"/>
    <w:rsid w:val="00DE3474"/>
    <w:rsid w:val="00DF699F"/>
    <w:rsid w:val="00E01E89"/>
    <w:rsid w:val="00E10FFA"/>
    <w:rsid w:val="00E20EB4"/>
    <w:rsid w:val="00E23321"/>
    <w:rsid w:val="00E2446D"/>
    <w:rsid w:val="00E4781C"/>
    <w:rsid w:val="00E5313C"/>
    <w:rsid w:val="00E56965"/>
    <w:rsid w:val="00E56A91"/>
    <w:rsid w:val="00E56CE5"/>
    <w:rsid w:val="00E65A14"/>
    <w:rsid w:val="00E71B7E"/>
    <w:rsid w:val="00E81190"/>
    <w:rsid w:val="00E814CD"/>
    <w:rsid w:val="00EA4949"/>
    <w:rsid w:val="00EA6D5B"/>
    <w:rsid w:val="00EB308D"/>
    <w:rsid w:val="00EC3BFD"/>
    <w:rsid w:val="00EC7C17"/>
    <w:rsid w:val="00EE38A6"/>
    <w:rsid w:val="00EF400A"/>
    <w:rsid w:val="00F15593"/>
    <w:rsid w:val="00F1615E"/>
    <w:rsid w:val="00F168E4"/>
    <w:rsid w:val="00F30C51"/>
    <w:rsid w:val="00F31868"/>
    <w:rsid w:val="00F34D39"/>
    <w:rsid w:val="00F5012E"/>
    <w:rsid w:val="00F55D68"/>
    <w:rsid w:val="00F835F5"/>
    <w:rsid w:val="00FB151A"/>
    <w:rsid w:val="00FB6F13"/>
    <w:rsid w:val="00FD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9804BF"/>
  <w15:chartTrackingRefBased/>
  <w15:docId w15:val="{FFB6661E-E375-4DD9-8CEC-3663DF80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13"/>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3F13"/>
    <w:rPr>
      <w:color w:val="0000FF"/>
      <w:u w:val="single"/>
    </w:rPr>
  </w:style>
  <w:style w:type="paragraph" w:styleId="Header">
    <w:name w:val="header"/>
    <w:basedOn w:val="Normal"/>
    <w:link w:val="HeaderChar"/>
    <w:uiPriority w:val="99"/>
    <w:unhideWhenUsed/>
    <w:rsid w:val="00323F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F13"/>
    <w:rPr>
      <w:lang w:val="lv-LV"/>
    </w:rPr>
  </w:style>
  <w:style w:type="paragraph" w:styleId="Footer">
    <w:name w:val="footer"/>
    <w:basedOn w:val="Normal"/>
    <w:link w:val="FooterChar"/>
    <w:uiPriority w:val="99"/>
    <w:unhideWhenUsed/>
    <w:rsid w:val="00323F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F13"/>
    <w:rPr>
      <w:lang w:val="lv-LV"/>
    </w:rPr>
  </w:style>
  <w:style w:type="paragraph" w:styleId="FootnoteText">
    <w:name w:val="footnote text"/>
    <w:basedOn w:val="Normal"/>
    <w:link w:val="FootnoteTextChar"/>
    <w:uiPriority w:val="99"/>
    <w:semiHidden/>
    <w:unhideWhenUsed/>
    <w:rsid w:val="00323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F13"/>
    <w:rPr>
      <w:sz w:val="20"/>
      <w:szCs w:val="20"/>
      <w:lang w:val="lv-LV"/>
    </w:rPr>
  </w:style>
  <w:style w:type="character" w:styleId="FootnoteReference">
    <w:name w:val="footnote reference"/>
    <w:basedOn w:val="DefaultParagraphFont"/>
    <w:uiPriority w:val="99"/>
    <w:semiHidden/>
    <w:unhideWhenUsed/>
    <w:rsid w:val="00323F13"/>
    <w:rPr>
      <w:vertAlign w:val="superscript"/>
    </w:rPr>
  </w:style>
  <w:style w:type="paragraph" w:customStyle="1" w:styleId="naislab">
    <w:name w:val="naislab"/>
    <w:basedOn w:val="Normal"/>
    <w:rsid w:val="007D1F09"/>
    <w:pPr>
      <w:spacing w:before="75" w:after="75" w:line="240" w:lineRule="auto"/>
      <w:jc w:val="right"/>
    </w:pPr>
    <w:rPr>
      <w:rFonts w:ascii="Times New Roman" w:eastAsia="Times New Roman" w:hAnsi="Times New Roman" w:cs="Times New Roman"/>
      <w:sz w:val="24"/>
      <w:szCs w:val="24"/>
      <w:lang w:eastAsia="lv-LV"/>
    </w:rPr>
  </w:style>
  <w:style w:type="paragraph" w:customStyle="1" w:styleId="Default">
    <w:name w:val="Default"/>
    <w:rsid w:val="00877C9E"/>
    <w:pPr>
      <w:autoSpaceDE w:val="0"/>
      <w:autoSpaceDN w:val="0"/>
      <w:adjustRightInd w:val="0"/>
    </w:pPr>
    <w:rPr>
      <w:rFonts w:ascii="Times New Roman" w:hAnsi="Times New Roman" w:cs="Times New Roman"/>
      <w:color w:val="000000"/>
      <w:sz w:val="24"/>
      <w:szCs w:val="24"/>
      <w:lang w:val="lv-LV"/>
    </w:rPr>
  </w:style>
  <w:style w:type="character" w:styleId="CommentReference">
    <w:name w:val="annotation reference"/>
    <w:basedOn w:val="DefaultParagraphFont"/>
    <w:uiPriority w:val="99"/>
    <w:semiHidden/>
    <w:unhideWhenUsed/>
    <w:rsid w:val="00C10C1B"/>
    <w:rPr>
      <w:sz w:val="16"/>
      <w:szCs w:val="16"/>
    </w:rPr>
  </w:style>
  <w:style w:type="paragraph" w:styleId="CommentText">
    <w:name w:val="annotation text"/>
    <w:basedOn w:val="Normal"/>
    <w:link w:val="CommentTextChar"/>
    <w:uiPriority w:val="99"/>
    <w:semiHidden/>
    <w:unhideWhenUsed/>
    <w:rsid w:val="00C10C1B"/>
    <w:pPr>
      <w:spacing w:line="240" w:lineRule="auto"/>
    </w:pPr>
    <w:rPr>
      <w:sz w:val="20"/>
      <w:szCs w:val="20"/>
    </w:rPr>
  </w:style>
  <w:style w:type="character" w:customStyle="1" w:styleId="CommentTextChar">
    <w:name w:val="Comment Text Char"/>
    <w:basedOn w:val="DefaultParagraphFont"/>
    <w:link w:val="CommentText"/>
    <w:uiPriority w:val="99"/>
    <w:semiHidden/>
    <w:rsid w:val="00C10C1B"/>
    <w:rPr>
      <w:sz w:val="20"/>
      <w:szCs w:val="20"/>
      <w:lang w:val="lv-LV"/>
    </w:rPr>
  </w:style>
  <w:style w:type="paragraph" w:styleId="CommentSubject">
    <w:name w:val="annotation subject"/>
    <w:basedOn w:val="CommentText"/>
    <w:next w:val="CommentText"/>
    <w:link w:val="CommentSubjectChar"/>
    <w:uiPriority w:val="99"/>
    <w:semiHidden/>
    <w:unhideWhenUsed/>
    <w:rsid w:val="00C10C1B"/>
    <w:rPr>
      <w:b/>
      <w:bCs/>
    </w:rPr>
  </w:style>
  <w:style w:type="character" w:customStyle="1" w:styleId="CommentSubjectChar">
    <w:name w:val="Comment Subject Char"/>
    <w:basedOn w:val="CommentTextChar"/>
    <w:link w:val="CommentSubject"/>
    <w:uiPriority w:val="99"/>
    <w:semiHidden/>
    <w:rsid w:val="00C10C1B"/>
    <w:rPr>
      <w:b/>
      <w:bCs/>
      <w:sz w:val="20"/>
      <w:szCs w:val="20"/>
      <w:lang w:val="lv-LV"/>
    </w:rPr>
  </w:style>
  <w:style w:type="paragraph" w:styleId="BalloonText">
    <w:name w:val="Balloon Text"/>
    <w:basedOn w:val="Normal"/>
    <w:link w:val="BalloonTextChar"/>
    <w:uiPriority w:val="99"/>
    <w:semiHidden/>
    <w:unhideWhenUsed/>
    <w:rsid w:val="00C10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C1B"/>
    <w:rPr>
      <w:rFonts w:ascii="Segoe UI" w:hAnsi="Segoe UI" w:cs="Segoe UI"/>
      <w:sz w:val="18"/>
      <w:szCs w:val="18"/>
      <w:lang w:val="lv-LV"/>
    </w:rPr>
  </w:style>
  <w:style w:type="paragraph" w:styleId="NormalWeb">
    <w:name w:val="Normal (Web)"/>
    <w:basedOn w:val="Normal"/>
    <w:rsid w:val="00304C5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Revision">
    <w:name w:val="Revision"/>
    <w:hidden/>
    <w:uiPriority w:val="99"/>
    <w:semiHidden/>
    <w:rsid w:val="0030069E"/>
    <w:rPr>
      <w:lang w:val="lv-LV"/>
    </w:rPr>
  </w:style>
  <w:style w:type="table" w:styleId="TableGrid">
    <w:name w:val="Table Grid"/>
    <w:basedOn w:val="TableNormal"/>
    <w:uiPriority w:val="39"/>
    <w:rsid w:val="009A5515"/>
    <w:rPr>
      <w:rFonts w:ascii="Times New Roman" w:hAnsi="Times New Roman"/>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D40B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5039">
      <w:bodyDiv w:val="1"/>
      <w:marLeft w:val="0"/>
      <w:marRight w:val="0"/>
      <w:marTop w:val="0"/>
      <w:marBottom w:val="0"/>
      <w:divBdr>
        <w:top w:val="none" w:sz="0" w:space="0" w:color="auto"/>
        <w:left w:val="none" w:sz="0" w:space="0" w:color="auto"/>
        <w:bottom w:val="none" w:sz="0" w:space="0" w:color="auto"/>
        <w:right w:val="none" w:sz="0" w:space="0" w:color="auto"/>
      </w:divBdr>
    </w:div>
    <w:div w:id="660962599">
      <w:bodyDiv w:val="1"/>
      <w:marLeft w:val="0"/>
      <w:marRight w:val="0"/>
      <w:marTop w:val="0"/>
      <w:marBottom w:val="0"/>
      <w:divBdr>
        <w:top w:val="none" w:sz="0" w:space="0" w:color="auto"/>
        <w:left w:val="none" w:sz="0" w:space="0" w:color="auto"/>
        <w:bottom w:val="none" w:sz="0" w:space="0" w:color="auto"/>
        <w:right w:val="none" w:sz="0" w:space="0" w:color="auto"/>
      </w:divBdr>
      <w:divsChild>
        <w:div w:id="1127044893">
          <w:marLeft w:val="0"/>
          <w:marRight w:val="0"/>
          <w:marTop w:val="0"/>
          <w:marBottom w:val="0"/>
          <w:divBdr>
            <w:top w:val="none" w:sz="0" w:space="0" w:color="auto"/>
            <w:left w:val="none" w:sz="0" w:space="0" w:color="auto"/>
            <w:bottom w:val="none" w:sz="0" w:space="0" w:color="auto"/>
            <w:right w:val="none" w:sz="0" w:space="0" w:color="auto"/>
          </w:divBdr>
          <w:divsChild>
            <w:div w:id="767117712">
              <w:marLeft w:val="0"/>
              <w:marRight w:val="0"/>
              <w:marTop w:val="0"/>
              <w:marBottom w:val="0"/>
              <w:divBdr>
                <w:top w:val="none" w:sz="0" w:space="0" w:color="auto"/>
                <w:left w:val="none" w:sz="0" w:space="0" w:color="auto"/>
                <w:bottom w:val="none" w:sz="0" w:space="0" w:color="auto"/>
                <w:right w:val="none" w:sz="0" w:space="0" w:color="auto"/>
              </w:divBdr>
              <w:divsChild>
                <w:div w:id="985939600">
                  <w:marLeft w:val="0"/>
                  <w:marRight w:val="0"/>
                  <w:marTop w:val="0"/>
                  <w:marBottom w:val="0"/>
                  <w:divBdr>
                    <w:top w:val="none" w:sz="0" w:space="0" w:color="auto"/>
                    <w:left w:val="none" w:sz="0" w:space="0" w:color="auto"/>
                    <w:bottom w:val="none" w:sz="0" w:space="0" w:color="auto"/>
                    <w:right w:val="none" w:sz="0" w:space="0" w:color="auto"/>
                  </w:divBdr>
                  <w:divsChild>
                    <w:div w:id="179510836">
                      <w:marLeft w:val="0"/>
                      <w:marRight w:val="0"/>
                      <w:marTop w:val="0"/>
                      <w:marBottom w:val="0"/>
                      <w:divBdr>
                        <w:top w:val="none" w:sz="0" w:space="0" w:color="auto"/>
                        <w:left w:val="none" w:sz="0" w:space="0" w:color="auto"/>
                        <w:bottom w:val="none" w:sz="0" w:space="0" w:color="auto"/>
                        <w:right w:val="none" w:sz="0" w:space="0" w:color="auto"/>
                      </w:divBdr>
                      <w:divsChild>
                        <w:div w:id="187792861">
                          <w:marLeft w:val="0"/>
                          <w:marRight w:val="0"/>
                          <w:marTop w:val="0"/>
                          <w:marBottom w:val="0"/>
                          <w:divBdr>
                            <w:top w:val="none" w:sz="0" w:space="0" w:color="auto"/>
                            <w:left w:val="none" w:sz="0" w:space="0" w:color="auto"/>
                            <w:bottom w:val="none" w:sz="0" w:space="0" w:color="auto"/>
                            <w:right w:val="none" w:sz="0" w:space="0" w:color="auto"/>
                          </w:divBdr>
                          <w:divsChild>
                            <w:div w:id="8681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92967">
      <w:bodyDiv w:val="1"/>
      <w:marLeft w:val="0"/>
      <w:marRight w:val="0"/>
      <w:marTop w:val="0"/>
      <w:marBottom w:val="0"/>
      <w:divBdr>
        <w:top w:val="none" w:sz="0" w:space="0" w:color="auto"/>
        <w:left w:val="none" w:sz="0" w:space="0" w:color="auto"/>
        <w:bottom w:val="none" w:sz="0" w:space="0" w:color="auto"/>
        <w:right w:val="none" w:sz="0" w:space="0" w:color="auto"/>
      </w:divBdr>
    </w:div>
    <w:div w:id="1340082221">
      <w:bodyDiv w:val="1"/>
      <w:marLeft w:val="0"/>
      <w:marRight w:val="0"/>
      <w:marTop w:val="0"/>
      <w:marBottom w:val="0"/>
      <w:divBdr>
        <w:top w:val="none" w:sz="0" w:space="0" w:color="auto"/>
        <w:left w:val="none" w:sz="0" w:space="0" w:color="auto"/>
        <w:bottom w:val="none" w:sz="0" w:space="0" w:color="auto"/>
        <w:right w:val="none" w:sz="0" w:space="0" w:color="auto"/>
      </w:divBdr>
    </w:div>
    <w:div w:id="1381202741">
      <w:bodyDiv w:val="1"/>
      <w:marLeft w:val="0"/>
      <w:marRight w:val="0"/>
      <w:marTop w:val="0"/>
      <w:marBottom w:val="0"/>
      <w:divBdr>
        <w:top w:val="none" w:sz="0" w:space="0" w:color="auto"/>
        <w:left w:val="none" w:sz="0" w:space="0" w:color="auto"/>
        <w:bottom w:val="none" w:sz="0" w:space="0" w:color="auto"/>
        <w:right w:val="none" w:sz="0" w:space="0" w:color="auto"/>
      </w:divBdr>
      <w:divsChild>
        <w:div w:id="1445615024">
          <w:marLeft w:val="0"/>
          <w:marRight w:val="0"/>
          <w:marTop w:val="0"/>
          <w:marBottom w:val="0"/>
          <w:divBdr>
            <w:top w:val="none" w:sz="0" w:space="0" w:color="auto"/>
            <w:left w:val="none" w:sz="0" w:space="0" w:color="auto"/>
            <w:bottom w:val="none" w:sz="0" w:space="0" w:color="auto"/>
            <w:right w:val="none" w:sz="0" w:space="0" w:color="auto"/>
          </w:divBdr>
          <w:divsChild>
            <w:div w:id="1073039791">
              <w:marLeft w:val="0"/>
              <w:marRight w:val="0"/>
              <w:marTop w:val="0"/>
              <w:marBottom w:val="0"/>
              <w:divBdr>
                <w:top w:val="none" w:sz="0" w:space="0" w:color="auto"/>
                <w:left w:val="none" w:sz="0" w:space="0" w:color="auto"/>
                <w:bottom w:val="none" w:sz="0" w:space="0" w:color="auto"/>
                <w:right w:val="none" w:sz="0" w:space="0" w:color="auto"/>
              </w:divBdr>
              <w:divsChild>
                <w:div w:id="1187790997">
                  <w:marLeft w:val="0"/>
                  <w:marRight w:val="0"/>
                  <w:marTop w:val="0"/>
                  <w:marBottom w:val="0"/>
                  <w:divBdr>
                    <w:top w:val="none" w:sz="0" w:space="0" w:color="auto"/>
                    <w:left w:val="none" w:sz="0" w:space="0" w:color="auto"/>
                    <w:bottom w:val="none" w:sz="0" w:space="0" w:color="auto"/>
                    <w:right w:val="none" w:sz="0" w:space="0" w:color="auto"/>
                  </w:divBdr>
                  <w:divsChild>
                    <w:div w:id="242418463">
                      <w:marLeft w:val="0"/>
                      <w:marRight w:val="0"/>
                      <w:marTop w:val="0"/>
                      <w:marBottom w:val="0"/>
                      <w:divBdr>
                        <w:top w:val="none" w:sz="0" w:space="0" w:color="auto"/>
                        <w:left w:val="none" w:sz="0" w:space="0" w:color="auto"/>
                        <w:bottom w:val="none" w:sz="0" w:space="0" w:color="auto"/>
                        <w:right w:val="none" w:sz="0" w:space="0" w:color="auto"/>
                      </w:divBdr>
                      <w:divsChild>
                        <w:div w:id="889804644">
                          <w:marLeft w:val="0"/>
                          <w:marRight w:val="0"/>
                          <w:marTop w:val="0"/>
                          <w:marBottom w:val="0"/>
                          <w:divBdr>
                            <w:top w:val="none" w:sz="0" w:space="0" w:color="auto"/>
                            <w:left w:val="none" w:sz="0" w:space="0" w:color="auto"/>
                            <w:bottom w:val="none" w:sz="0" w:space="0" w:color="auto"/>
                            <w:right w:val="none" w:sz="0" w:space="0" w:color="auto"/>
                          </w:divBdr>
                          <w:divsChild>
                            <w:div w:id="13763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1690">
      <w:bodyDiv w:val="1"/>
      <w:marLeft w:val="0"/>
      <w:marRight w:val="0"/>
      <w:marTop w:val="0"/>
      <w:marBottom w:val="0"/>
      <w:divBdr>
        <w:top w:val="none" w:sz="0" w:space="0" w:color="auto"/>
        <w:left w:val="none" w:sz="0" w:space="0" w:color="auto"/>
        <w:bottom w:val="none" w:sz="0" w:space="0" w:color="auto"/>
        <w:right w:val="none" w:sz="0" w:space="0" w:color="auto"/>
      </w:divBdr>
      <w:divsChild>
        <w:div w:id="882909615">
          <w:marLeft w:val="0"/>
          <w:marRight w:val="0"/>
          <w:marTop w:val="0"/>
          <w:marBottom w:val="0"/>
          <w:divBdr>
            <w:top w:val="none" w:sz="0" w:space="0" w:color="auto"/>
            <w:left w:val="none" w:sz="0" w:space="0" w:color="auto"/>
            <w:bottom w:val="none" w:sz="0" w:space="0" w:color="auto"/>
            <w:right w:val="none" w:sz="0" w:space="0" w:color="auto"/>
          </w:divBdr>
          <w:divsChild>
            <w:div w:id="547306121">
              <w:marLeft w:val="0"/>
              <w:marRight w:val="0"/>
              <w:marTop w:val="0"/>
              <w:marBottom w:val="0"/>
              <w:divBdr>
                <w:top w:val="none" w:sz="0" w:space="0" w:color="auto"/>
                <w:left w:val="none" w:sz="0" w:space="0" w:color="auto"/>
                <w:bottom w:val="none" w:sz="0" w:space="0" w:color="auto"/>
                <w:right w:val="none" w:sz="0" w:space="0" w:color="auto"/>
              </w:divBdr>
              <w:divsChild>
                <w:div w:id="1479764920">
                  <w:marLeft w:val="0"/>
                  <w:marRight w:val="0"/>
                  <w:marTop w:val="0"/>
                  <w:marBottom w:val="0"/>
                  <w:divBdr>
                    <w:top w:val="none" w:sz="0" w:space="0" w:color="auto"/>
                    <w:left w:val="none" w:sz="0" w:space="0" w:color="auto"/>
                    <w:bottom w:val="none" w:sz="0" w:space="0" w:color="auto"/>
                    <w:right w:val="none" w:sz="0" w:space="0" w:color="auto"/>
                  </w:divBdr>
                  <w:divsChild>
                    <w:div w:id="1063259076">
                      <w:marLeft w:val="0"/>
                      <w:marRight w:val="0"/>
                      <w:marTop w:val="0"/>
                      <w:marBottom w:val="0"/>
                      <w:divBdr>
                        <w:top w:val="none" w:sz="0" w:space="0" w:color="auto"/>
                        <w:left w:val="none" w:sz="0" w:space="0" w:color="auto"/>
                        <w:bottom w:val="none" w:sz="0" w:space="0" w:color="auto"/>
                        <w:right w:val="none" w:sz="0" w:space="0" w:color="auto"/>
                      </w:divBdr>
                      <w:divsChild>
                        <w:div w:id="351079418">
                          <w:marLeft w:val="0"/>
                          <w:marRight w:val="0"/>
                          <w:marTop w:val="0"/>
                          <w:marBottom w:val="0"/>
                          <w:divBdr>
                            <w:top w:val="none" w:sz="0" w:space="0" w:color="auto"/>
                            <w:left w:val="none" w:sz="0" w:space="0" w:color="auto"/>
                            <w:bottom w:val="none" w:sz="0" w:space="0" w:color="auto"/>
                            <w:right w:val="none" w:sz="0" w:space="0" w:color="auto"/>
                          </w:divBdr>
                          <w:divsChild>
                            <w:div w:id="19985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966409">
      <w:bodyDiv w:val="1"/>
      <w:marLeft w:val="0"/>
      <w:marRight w:val="0"/>
      <w:marTop w:val="0"/>
      <w:marBottom w:val="0"/>
      <w:divBdr>
        <w:top w:val="none" w:sz="0" w:space="0" w:color="auto"/>
        <w:left w:val="none" w:sz="0" w:space="0" w:color="auto"/>
        <w:bottom w:val="none" w:sz="0" w:space="0" w:color="auto"/>
        <w:right w:val="none" w:sz="0" w:space="0" w:color="auto"/>
      </w:divBdr>
      <w:divsChild>
        <w:div w:id="1713574769">
          <w:marLeft w:val="0"/>
          <w:marRight w:val="0"/>
          <w:marTop w:val="0"/>
          <w:marBottom w:val="0"/>
          <w:divBdr>
            <w:top w:val="none" w:sz="0" w:space="0" w:color="auto"/>
            <w:left w:val="none" w:sz="0" w:space="0" w:color="auto"/>
            <w:bottom w:val="none" w:sz="0" w:space="0" w:color="auto"/>
            <w:right w:val="none" w:sz="0" w:space="0" w:color="auto"/>
          </w:divBdr>
          <w:divsChild>
            <w:div w:id="299579131">
              <w:marLeft w:val="0"/>
              <w:marRight w:val="0"/>
              <w:marTop w:val="0"/>
              <w:marBottom w:val="0"/>
              <w:divBdr>
                <w:top w:val="none" w:sz="0" w:space="0" w:color="auto"/>
                <w:left w:val="none" w:sz="0" w:space="0" w:color="auto"/>
                <w:bottom w:val="none" w:sz="0" w:space="0" w:color="auto"/>
                <w:right w:val="none" w:sz="0" w:space="0" w:color="auto"/>
              </w:divBdr>
              <w:divsChild>
                <w:div w:id="584654824">
                  <w:marLeft w:val="0"/>
                  <w:marRight w:val="0"/>
                  <w:marTop w:val="0"/>
                  <w:marBottom w:val="0"/>
                  <w:divBdr>
                    <w:top w:val="none" w:sz="0" w:space="0" w:color="auto"/>
                    <w:left w:val="none" w:sz="0" w:space="0" w:color="auto"/>
                    <w:bottom w:val="none" w:sz="0" w:space="0" w:color="auto"/>
                    <w:right w:val="none" w:sz="0" w:space="0" w:color="auto"/>
                  </w:divBdr>
                  <w:divsChild>
                    <w:div w:id="1463695862">
                      <w:marLeft w:val="0"/>
                      <w:marRight w:val="0"/>
                      <w:marTop w:val="0"/>
                      <w:marBottom w:val="0"/>
                      <w:divBdr>
                        <w:top w:val="none" w:sz="0" w:space="0" w:color="auto"/>
                        <w:left w:val="none" w:sz="0" w:space="0" w:color="auto"/>
                        <w:bottom w:val="none" w:sz="0" w:space="0" w:color="auto"/>
                        <w:right w:val="none" w:sz="0" w:space="0" w:color="auto"/>
                      </w:divBdr>
                      <w:divsChild>
                        <w:div w:id="1939680949">
                          <w:marLeft w:val="0"/>
                          <w:marRight w:val="0"/>
                          <w:marTop w:val="0"/>
                          <w:marBottom w:val="0"/>
                          <w:divBdr>
                            <w:top w:val="none" w:sz="0" w:space="0" w:color="auto"/>
                            <w:left w:val="none" w:sz="0" w:space="0" w:color="auto"/>
                            <w:bottom w:val="none" w:sz="0" w:space="0" w:color="auto"/>
                            <w:right w:val="none" w:sz="0" w:space="0" w:color="auto"/>
                          </w:divBdr>
                          <w:divsChild>
                            <w:div w:id="16236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oinica@f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ka.Valdmane@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seriga.edu/sites/default/files/2018-08/Enu_ekonomika_buvniecibas_nozare_2015_2016.pdf" TargetMode="External"/><Relationship Id="rId2" Type="http://schemas.openxmlformats.org/officeDocument/2006/relationships/hyperlink" Target="https://www.vid.gov.lv/lv/darba-samaksa-1" TargetMode="External"/><Relationship Id="rId1" Type="http://schemas.openxmlformats.org/officeDocument/2006/relationships/hyperlink" Target="http://www.sseriga.edu/sites/default/files/2018-08/Enu_ekonomika_buvniecibas_nozare_2015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C01D-9595-47EB-BFC7-73282B37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TotalTime>
  <Pages>18</Pages>
  <Words>24872</Words>
  <Characters>14178</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Company>Finanšu Ministrija</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Sākotnējās ietekmes novērtējuma ziņojums (anotācija)</dc:subject>
  <dc:creator>Marika Valdmane</dc:creator>
  <cp:keywords/>
  <dc:description>Marika.Valdmane@fm.gov.lv
67095524
Kristine.Voinica@fm.gov.lv
67095567</dc:description>
  <cp:lastModifiedBy>Marika Valdmane</cp:lastModifiedBy>
  <cp:revision>218</cp:revision>
  <cp:lastPrinted>2018-11-29T08:54:00Z</cp:lastPrinted>
  <dcterms:created xsi:type="dcterms:W3CDTF">2018-09-06T12:06:00Z</dcterms:created>
  <dcterms:modified xsi:type="dcterms:W3CDTF">2018-11-29T10:17:00Z</dcterms:modified>
</cp:coreProperties>
</file>