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10B" w:rsidRPr="00EC5819" w:rsidRDefault="00C6510B" w:rsidP="00C6510B">
      <w:pPr>
        <w:pStyle w:val="BodyText2"/>
        <w:tabs>
          <w:tab w:val="left" w:pos="1560"/>
        </w:tabs>
        <w:jc w:val="center"/>
        <w:rPr>
          <w:b/>
          <w:sz w:val="26"/>
          <w:szCs w:val="26"/>
        </w:rPr>
      </w:pPr>
      <w:r w:rsidRPr="00EC5819">
        <w:rPr>
          <w:b/>
          <w:sz w:val="26"/>
          <w:szCs w:val="26"/>
        </w:rPr>
        <w:t>Ministru kabineta noteikumu projekta</w:t>
      </w:r>
    </w:p>
    <w:p w:rsidR="00587C81" w:rsidRPr="00EC5819" w:rsidRDefault="00C6510B" w:rsidP="00587C81">
      <w:pPr>
        <w:pStyle w:val="BodyText2"/>
        <w:tabs>
          <w:tab w:val="left" w:pos="1560"/>
        </w:tabs>
        <w:jc w:val="center"/>
        <w:rPr>
          <w:b/>
          <w:sz w:val="26"/>
          <w:szCs w:val="26"/>
        </w:rPr>
      </w:pPr>
      <w:r w:rsidRPr="00EC5819">
        <w:rPr>
          <w:b/>
          <w:sz w:val="26"/>
          <w:szCs w:val="26"/>
        </w:rPr>
        <w:t>„Transfertcenu dokumentācija un kārtība, kādā noslēdzama nodokļu maksātāja un nodokļu administrācijas iepriekšēja vienošanās par tirgus cenas (vērtības) noteikšanu darījumam vai darījumu veidam” sākotnējās ietekmes novērtējuma ziņojums (anotācija)</w:t>
      </w:r>
    </w:p>
    <w:p w:rsidR="00587C81" w:rsidRPr="00EC5819" w:rsidRDefault="00587C81" w:rsidP="00587C81">
      <w:pPr>
        <w:pStyle w:val="BodyText2"/>
        <w:tabs>
          <w:tab w:val="left" w:pos="1560"/>
        </w:tabs>
        <w:jc w:val="center"/>
        <w:rPr>
          <w:b/>
          <w:sz w:val="26"/>
          <w:szCs w:val="26"/>
          <w:lang w:eastAsia="zh-CN"/>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21"/>
        <w:gridCol w:w="6434"/>
      </w:tblGrid>
      <w:tr w:rsidR="0091261F" w:rsidRPr="00EC5819" w:rsidTr="00081A5D">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543AA6" w:rsidRPr="00EC5819" w:rsidRDefault="00543AA6" w:rsidP="00081A5D">
            <w:pPr>
              <w:spacing w:before="100" w:beforeAutospacing="1" w:after="100" w:afterAutospacing="1" w:line="360" w:lineRule="auto"/>
              <w:ind w:firstLine="300"/>
              <w:jc w:val="center"/>
              <w:rPr>
                <w:rFonts w:ascii="Times New Roman" w:eastAsia="Times New Roman" w:hAnsi="Times New Roman" w:cs="Times New Roman"/>
                <w:b/>
                <w:bCs/>
                <w:sz w:val="26"/>
                <w:szCs w:val="26"/>
                <w:lang w:eastAsia="lv-LV"/>
              </w:rPr>
            </w:pPr>
            <w:r w:rsidRPr="00EC5819">
              <w:rPr>
                <w:rFonts w:ascii="Times New Roman" w:eastAsia="Times New Roman" w:hAnsi="Times New Roman" w:cs="Times New Roman"/>
                <w:b/>
                <w:sz w:val="26"/>
                <w:szCs w:val="26"/>
              </w:rPr>
              <w:t>Tiesību akta projekta anotācijas kopsavilkums</w:t>
            </w:r>
          </w:p>
        </w:tc>
      </w:tr>
      <w:tr w:rsidR="0091261F" w:rsidRPr="00EC5819" w:rsidTr="00281052">
        <w:tc>
          <w:tcPr>
            <w:tcW w:w="1447" w:type="pct"/>
            <w:tcBorders>
              <w:top w:val="outset" w:sz="6" w:space="0" w:color="414142"/>
              <w:left w:val="outset" w:sz="6" w:space="0" w:color="414142"/>
              <w:bottom w:val="outset" w:sz="6" w:space="0" w:color="414142"/>
              <w:right w:val="outset" w:sz="6" w:space="0" w:color="414142"/>
            </w:tcBorders>
            <w:hideMark/>
          </w:tcPr>
          <w:p w:rsidR="00543AA6" w:rsidRPr="00EC5819" w:rsidRDefault="00543AA6" w:rsidP="00081A5D">
            <w:pPr>
              <w:spacing w:after="0" w:line="240" w:lineRule="auto"/>
              <w:jc w:val="both"/>
              <w:rPr>
                <w:rFonts w:ascii="Times New Roman" w:eastAsia="Times New Roman" w:hAnsi="Times New Roman" w:cs="Times New Roman"/>
                <w:sz w:val="26"/>
                <w:szCs w:val="26"/>
                <w:lang w:eastAsia="lv-LV"/>
              </w:rPr>
            </w:pPr>
            <w:r w:rsidRPr="00EC5819">
              <w:rPr>
                <w:rFonts w:ascii="Times New Roman" w:eastAsia="Times New Roman" w:hAnsi="Times New Roman" w:cs="Times New Roman"/>
                <w:sz w:val="26"/>
                <w:szCs w:val="26"/>
              </w:rPr>
              <w:t>Mērķis, risinājums un projekta spēkā stāšanās laiks (500 zīmes bez atstarpēm)</w:t>
            </w:r>
          </w:p>
        </w:tc>
        <w:tc>
          <w:tcPr>
            <w:tcW w:w="3553" w:type="pct"/>
            <w:tcBorders>
              <w:top w:val="outset" w:sz="6" w:space="0" w:color="414142"/>
              <w:left w:val="outset" w:sz="6" w:space="0" w:color="414142"/>
              <w:bottom w:val="outset" w:sz="6" w:space="0" w:color="414142"/>
              <w:right w:val="outset" w:sz="6" w:space="0" w:color="414142"/>
            </w:tcBorders>
            <w:hideMark/>
          </w:tcPr>
          <w:p w:rsidR="00E4382C" w:rsidRPr="00EC5819" w:rsidRDefault="00E4382C" w:rsidP="00281052">
            <w:pPr>
              <w:spacing w:after="0" w:line="240" w:lineRule="auto"/>
              <w:jc w:val="both"/>
              <w:rPr>
                <w:rFonts w:ascii="Times New Roman" w:eastAsia="Times New Roman" w:hAnsi="Times New Roman" w:cs="Times New Roman"/>
                <w:sz w:val="26"/>
                <w:szCs w:val="26"/>
              </w:rPr>
            </w:pPr>
            <w:r w:rsidRPr="00EC5819">
              <w:rPr>
                <w:rFonts w:ascii="Times New Roman" w:eastAsia="Times New Roman" w:hAnsi="Times New Roman" w:cs="Times New Roman"/>
                <w:sz w:val="26"/>
                <w:szCs w:val="26"/>
              </w:rPr>
              <w:t>Noteikumu projekts:</w:t>
            </w:r>
          </w:p>
          <w:p w:rsidR="005015B7" w:rsidRPr="00EC5819" w:rsidRDefault="00C6510B" w:rsidP="00281052">
            <w:pPr>
              <w:pStyle w:val="ListParagraph"/>
              <w:numPr>
                <w:ilvl w:val="0"/>
                <w:numId w:val="6"/>
              </w:numPr>
              <w:spacing w:after="0" w:line="240" w:lineRule="auto"/>
              <w:ind w:left="77" w:firstLine="283"/>
              <w:jc w:val="both"/>
              <w:rPr>
                <w:rFonts w:ascii="Times New Roman" w:eastAsia="Times New Roman" w:hAnsi="Times New Roman" w:cs="Times New Roman"/>
                <w:sz w:val="26"/>
                <w:szCs w:val="26"/>
              </w:rPr>
            </w:pPr>
            <w:r w:rsidRPr="00EC5819">
              <w:rPr>
                <w:rFonts w:ascii="Times New Roman" w:eastAsia="Times New Roman" w:hAnsi="Times New Roman" w:cs="Times New Roman"/>
                <w:sz w:val="26"/>
                <w:szCs w:val="26"/>
              </w:rPr>
              <w:t>nosaka transfertcenu dokumentācijā (globālajā dokumentācijā un vietējā dokumentācijā) ietveramo detalizētu inform</w:t>
            </w:r>
            <w:r w:rsidR="005015B7" w:rsidRPr="00EC5819">
              <w:rPr>
                <w:rFonts w:ascii="Times New Roman" w:eastAsia="Times New Roman" w:hAnsi="Times New Roman" w:cs="Times New Roman"/>
                <w:sz w:val="26"/>
                <w:szCs w:val="26"/>
              </w:rPr>
              <w:t>āciju.</w:t>
            </w:r>
            <w:r w:rsidRPr="00EC5819">
              <w:rPr>
                <w:rFonts w:ascii="Times New Roman" w:eastAsia="Times New Roman" w:hAnsi="Times New Roman" w:cs="Times New Roman"/>
                <w:sz w:val="26"/>
                <w:szCs w:val="26"/>
              </w:rPr>
              <w:t xml:space="preserve"> Tādējādi transfertcenu dokumentācijas tiesiskais regulējums tiks saskaņots ar jaunāko starptautisko praksi</w:t>
            </w:r>
            <w:r w:rsidR="005015B7" w:rsidRPr="00EC5819">
              <w:rPr>
                <w:rFonts w:ascii="Times New Roman" w:eastAsia="Times New Roman" w:hAnsi="Times New Roman" w:cs="Times New Roman"/>
                <w:sz w:val="26"/>
                <w:szCs w:val="26"/>
              </w:rPr>
              <w:t>, kā rezultātā</w:t>
            </w:r>
            <w:r w:rsidRPr="00EC5819">
              <w:rPr>
                <w:rFonts w:ascii="Times New Roman" w:eastAsia="Times New Roman" w:hAnsi="Times New Roman" w:cs="Times New Roman"/>
                <w:sz w:val="26"/>
                <w:szCs w:val="26"/>
              </w:rPr>
              <w:t xml:space="preserve"> </w:t>
            </w:r>
            <w:r w:rsidR="005015B7" w:rsidRPr="00EC5819">
              <w:rPr>
                <w:rFonts w:ascii="Times New Roman" w:eastAsia="Times New Roman" w:hAnsi="Times New Roman" w:cs="Times New Roman"/>
                <w:sz w:val="26"/>
                <w:szCs w:val="26"/>
              </w:rPr>
              <w:t>VID būs pieejama informācija, kas svarīga transfertcenu riska analīzei, savukārt nodokļu maksātājam, tiesiskais regulējums būs skaidrāks, jo saskanēs ar OECD Transfertcen</w:t>
            </w:r>
            <w:r w:rsidR="00281052" w:rsidRPr="00EC5819">
              <w:rPr>
                <w:rFonts w:ascii="Times New Roman" w:eastAsia="Times New Roman" w:hAnsi="Times New Roman" w:cs="Times New Roman"/>
                <w:sz w:val="26"/>
                <w:szCs w:val="26"/>
              </w:rPr>
              <w:t>u vadlīniju 2017.gada redakciju;</w:t>
            </w:r>
          </w:p>
          <w:p w:rsidR="00543AA6" w:rsidRPr="00EC5819" w:rsidRDefault="00E4382C" w:rsidP="00281052">
            <w:pPr>
              <w:pStyle w:val="ListParagraph"/>
              <w:numPr>
                <w:ilvl w:val="0"/>
                <w:numId w:val="6"/>
              </w:numPr>
              <w:spacing w:after="0" w:line="240" w:lineRule="auto"/>
              <w:ind w:left="77" w:firstLine="207"/>
              <w:jc w:val="both"/>
              <w:rPr>
                <w:rFonts w:ascii="Times New Roman" w:hAnsi="Times New Roman" w:cs="Times New Roman"/>
                <w:lang w:eastAsia="lv-LV"/>
              </w:rPr>
            </w:pPr>
            <w:r w:rsidRPr="00EC5819">
              <w:rPr>
                <w:rFonts w:ascii="Times New Roman" w:eastAsia="Times New Roman" w:hAnsi="Times New Roman" w:cs="Times New Roman"/>
                <w:sz w:val="26"/>
                <w:szCs w:val="26"/>
              </w:rPr>
              <w:t>saskaņo iesniegumā par iepriekšēju vienošanos norādāmo informāciju ar jaunajām transfertcenu dokumentācijas prasībām.</w:t>
            </w:r>
          </w:p>
          <w:p w:rsidR="00D03821" w:rsidRPr="00EC5819" w:rsidRDefault="00D03821" w:rsidP="00281052">
            <w:pPr>
              <w:spacing w:after="0" w:line="240" w:lineRule="auto"/>
              <w:jc w:val="both"/>
              <w:rPr>
                <w:sz w:val="26"/>
                <w:szCs w:val="26"/>
                <w:lang w:eastAsia="lv-LV"/>
              </w:rPr>
            </w:pPr>
            <w:r w:rsidRPr="00EC5819">
              <w:rPr>
                <w:rFonts w:ascii="Times New Roman" w:hAnsi="Times New Roman" w:cs="Times New Roman"/>
                <w:sz w:val="26"/>
                <w:szCs w:val="26"/>
                <w:lang w:eastAsia="lv-LV"/>
              </w:rPr>
              <w:t>Noteikumi stāsies spēkā pēc noteikumu projekta pieņemšanas Ministru kabinetā.</w:t>
            </w:r>
          </w:p>
        </w:tc>
      </w:tr>
    </w:tbl>
    <w:p w:rsidR="00543AA6" w:rsidRPr="00EC5819" w:rsidRDefault="00543AA6" w:rsidP="00543AA6">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5"/>
        <w:gridCol w:w="2177"/>
        <w:gridCol w:w="6323"/>
      </w:tblGrid>
      <w:tr w:rsidR="0091261F" w:rsidRPr="00EC5819" w:rsidTr="00EE517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43AA6" w:rsidRPr="00EC5819" w:rsidRDefault="00543AA6" w:rsidP="00081A5D">
            <w:pPr>
              <w:spacing w:before="100" w:beforeAutospacing="1" w:after="100" w:afterAutospacing="1" w:line="360" w:lineRule="auto"/>
              <w:ind w:firstLine="300"/>
              <w:jc w:val="center"/>
              <w:rPr>
                <w:rFonts w:ascii="Times New Roman" w:eastAsia="Times New Roman" w:hAnsi="Times New Roman" w:cs="Times New Roman"/>
                <w:b/>
                <w:bCs/>
                <w:sz w:val="26"/>
                <w:szCs w:val="26"/>
                <w:lang w:eastAsia="lv-LV"/>
              </w:rPr>
            </w:pPr>
            <w:r w:rsidRPr="00EC5819">
              <w:rPr>
                <w:rFonts w:ascii="Times New Roman" w:eastAsia="Times New Roman" w:hAnsi="Times New Roman" w:cs="Times New Roman"/>
                <w:b/>
                <w:bCs/>
                <w:sz w:val="26"/>
                <w:szCs w:val="26"/>
                <w:lang w:eastAsia="lv-LV"/>
              </w:rPr>
              <w:t>I. Tiesību akta projekta izstrādes nepieciešamība</w:t>
            </w:r>
          </w:p>
        </w:tc>
      </w:tr>
      <w:tr w:rsidR="0091261F" w:rsidRPr="00EC5819" w:rsidTr="00EE5179">
        <w:tc>
          <w:tcPr>
            <w:tcW w:w="297" w:type="pct"/>
            <w:tcBorders>
              <w:top w:val="outset" w:sz="6" w:space="0" w:color="414142"/>
              <w:left w:val="outset" w:sz="6" w:space="0" w:color="414142"/>
              <w:bottom w:val="outset" w:sz="6" w:space="0" w:color="414142"/>
              <w:right w:val="outset" w:sz="6" w:space="0" w:color="414142"/>
            </w:tcBorders>
            <w:hideMark/>
          </w:tcPr>
          <w:p w:rsidR="00543AA6" w:rsidRPr="00EC5819"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EC5819">
              <w:rPr>
                <w:rFonts w:ascii="Times New Roman" w:eastAsia="Times New Roman" w:hAnsi="Times New Roman" w:cs="Times New Roman"/>
                <w:sz w:val="26"/>
                <w:szCs w:val="26"/>
                <w:lang w:eastAsia="lv-LV"/>
              </w:rPr>
              <w:t>1.</w:t>
            </w:r>
          </w:p>
        </w:tc>
        <w:tc>
          <w:tcPr>
            <w:tcW w:w="1207" w:type="pct"/>
            <w:tcBorders>
              <w:top w:val="outset" w:sz="6" w:space="0" w:color="414142"/>
              <w:left w:val="outset" w:sz="6" w:space="0" w:color="414142"/>
              <w:bottom w:val="outset" w:sz="6" w:space="0" w:color="414142"/>
              <w:right w:val="outset" w:sz="6" w:space="0" w:color="414142"/>
            </w:tcBorders>
            <w:hideMark/>
          </w:tcPr>
          <w:p w:rsidR="00543AA6" w:rsidRPr="00EC5819" w:rsidRDefault="00543AA6" w:rsidP="00081A5D">
            <w:pPr>
              <w:spacing w:after="0" w:line="240" w:lineRule="auto"/>
              <w:jc w:val="both"/>
              <w:rPr>
                <w:rFonts w:ascii="Times New Roman" w:eastAsia="Times New Roman" w:hAnsi="Times New Roman" w:cs="Times New Roman"/>
                <w:sz w:val="26"/>
                <w:szCs w:val="26"/>
                <w:lang w:eastAsia="lv-LV"/>
              </w:rPr>
            </w:pPr>
            <w:r w:rsidRPr="00EC5819">
              <w:rPr>
                <w:rFonts w:ascii="Times New Roman" w:eastAsia="Times New Roman" w:hAnsi="Times New Roman" w:cs="Times New Roman"/>
                <w:sz w:val="26"/>
                <w:szCs w:val="26"/>
                <w:lang w:eastAsia="lv-LV"/>
              </w:rPr>
              <w:t>Pamatojums</w:t>
            </w:r>
          </w:p>
        </w:tc>
        <w:tc>
          <w:tcPr>
            <w:tcW w:w="3496" w:type="pct"/>
            <w:tcBorders>
              <w:top w:val="outset" w:sz="6" w:space="0" w:color="414142"/>
              <w:left w:val="outset" w:sz="6" w:space="0" w:color="414142"/>
              <w:bottom w:val="outset" w:sz="6" w:space="0" w:color="414142"/>
              <w:right w:val="outset" w:sz="6" w:space="0" w:color="414142"/>
            </w:tcBorders>
            <w:hideMark/>
          </w:tcPr>
          <w:p w:rsidR="00543AA6" w:rsidRPr="00EC5819" w:rsidRDefault="00C6510B" w:rsidP="0060121B">
            <w:pPr>
              <w:spacing w:after="0" w:line="240" w:lineRule="auto"/>
              <w:jc w:val="both"/>
              <w:rPr>
                <w:rFonts w:ascii="Times New Roman" w:eastAsia="Times New Roman" w:hAnsi="Times New Roman" w:cs="Times New Roman"/>
                <w:sz w:val="26"/>
                <w:szCs w:val="26"/>
                <w:lang w:eastAsia="lv-LV"/>
              </w:rPr>
            </w:pPr>
            <w:r w:rsidRPr="00EC5819">
              <w:rPr>
                <w:rFonts w:ascii="Times New Roman" w:eastAsia="Times New Roman" w:hAnsi="Times New Roman" w:cs="Times New Roman"/>
                <w:bCs/>
                <w:sz w:val="26"/>
                <w:szCs w:val="26"/>
                <w:lang w:eastAsia="lv-LV"/>
              </w:rPr>
              <w:t>Ministru kabineta noteikumu projekts “</w:t>
            </w:r>
            <w:r w:rsidR="00D03821" w:rsidRPr="00EC5819">
              <w:rPr>
                <w:rFonts w:ascii="Times New Roman" w:eastAsia="Times New Roman" w:hAnsi="Times New Roman" w:cs="Times New Roman"/>
                <w:bCs/>
                <w:sz w:val="26"/>
                <w:szCs w:val="26"/>
                <w:lang w:eastAsia="lv-LV"/>
              </w:rPr>
              <w:t>Transfertcenu dokumentācija un kārtība,</w:t>
            </w:r>
            <w:r w:rsidR="00D03821" w:rsidRPr="00EC5819" w:rsidDel="00D03821">
              <w:rPr>
                <w:rFonts w:ascii="Times New Roman" w:eastAsia="Times New Roman" w:hAnsi="Times New Roman" w:cs="Times New Roman"/>
                <w:bCs/>
                <w:sz w:val="26"/>
                <w:szCs w:val="26"/>
                <w:lang w:eastAsia="lv-LV"/>
              </w:rPr>
              <w:t xml:space="preserve"> </w:t>
            </w:r>
            <w:r w:rsidRPr="00EC5819">
              <w:rPr>
                <w:rFonts w:ascii="Times New Roman" w:eastAsia="Times New Roman" w:hAnsi="Times New Roman" w:cs="Times New Roman"/>
                <w:bCs/>
                <w:sz w:val="26"/>
                <w:szCs w:val="26"/>
                <w:lang w:eastAsia="lv-LV"/>
              </w:rPr>
              <w:t>kādā noslēdzama nodokļu maksātāja un nodokļu administrācijas iepriekšēja vienošanās par tirgus cenas (vērtības) noteikšanu darījumam vai darījumu veidam” (turpmāk – noteikumu projekts) sagatavots saskaņā ar likuma "Par nodokļiem un nodevām" (turpmāk – Likums) 15.</w:t>
            </w:r>
            <w:r w:rsidRPr="00EC5819">
              <w:rPr>
                <w:rFonts w:ascii="Times New Roman" w:eastAsia="Times New Roman" w:hAnsi="Times New Roman" w:cs="Times New Roman"/>
                <w:bCs/>
                <w:sz w:val="26"/>
                <w:szCs w:val="26"/>
                <w:vertAlign w:val="superscript"/>
                <w:lang w:eastAsia="lv-LV"/>
              </w:rPr>
              <w:t>2</w:t>
            </w:r>
            <w:r w:rsidRPr="00EC5819">
              <w:rPr>
                <w:rFonts w:ascii="Times New Roman" w:eastAsia="Times New Roman" w:hAnsi="Times New Roman" w:cs="Times New Roman"/>
                <w:bCs/>
                <w:sz w:val="26"/>
                <w:szCs w:val="26"/>
                <w:lang w:eastAsia="lv-LV"/>
              </w:rPr>
              <w:t xml:space="preserve">panta desmito un divpadsmito daļu </w:t>
            </w:r>
            <w:r w:rsidR="00381188" w:rsidRPr="00EC5819">
              <w:rPr>
                <w:rFonts w:ascii="Times New Roman" w:eastAsia="Times New Roman" w:hAnsi="Times New Roman" w:cs="Times New Roman"/>
                <w:bCs/>
                <w:sz w:val="26"/>
                <w:szCs w:val="26"/>
                <w:lang w:eastAsia="lv-LV"/>
              </w:rPr>
              <w:t xml:space="preserve">(grozījumi Saeimā </w:t>
            </w:r>
            <w:r w:rsidR="007E3B4F" w:rsidRPr="00EC5819">
              <w:rPr>
                <w:rFonts w:ascii="Times New Roman" w:eastAsia="Times New Roman" w:hAnsi="Times New Roman" w:cs="Times New Roman"/>
                <w:bCs/>
                <w:sz w:val="26"/>
                <w:szCs w:val="26"/>
                <w:lang w:eastAsia="lv-LV"/>
              </w:rPr>
              <w:t xml:space="preserve">3.lasījumā pieņemti </w:t>
            </w:r>
            <w:r w:rsidR="00381188" w:rsidRPr="00EC5819">
              <w:rPr>
                <w:rFonts w:ascii="Times New Roman" w:eastAsia="Times New Roman" w:hAnsi="Times New Roman" w:cs="Times New Roman"/>
                <w:bCs/>
                <w:sz w:val="26"/>
                <w:szCs w:val="26"/>
                <w:lang w:eastAsia="lv-LV"/>
              </w:rPr>
              <w:t>2018.gada 25.oktobrī</w:t>
            </w:r>
            <w:r w:rsidR="007E3B4F" w:rsidRPr="00EC5819">
              <w:rPr>
                <w:rFonts w:ascii="Times New Roman" w:eastAsia="Times New Roman" w:hAnsi="Times New Roman" w:cs="Times New Roman"/>
                <w:bCs/>
                <w:sz w:val="26"/>
                <w:szCs w:val="26"/>
                <w:lang w:eastAsia="lv-LV"/>
              </w:rPr>
              <w:t>, likum</w:t>
            </w:r>
            <w:r w:rsidR="0060121B">
              <w:rPr>
                <w:rFonts w:ascii="Times New Roman" w:eastAsia="Times New Roman" w:hAnsi="Times New Roman" w:cs="Times New Roman"/>
                <w:bCs/>
                <w:sz w:val="26"/>
                <w:szCs w:val="26"/>
                <w:lang w:eastAsia="lv-LV"/>
              </w:rPr>
              <w:t>s izsludināts 2018.gada 14.novembrī</w:t>
            </w:r>
            <w:r w:rsidR="00ED6B16">
              <w:rPr>
                <w:rFonts w:ascii="Times New Roman" w:eastAsia="Times New Roman" w:hAnsi="Times New Roman" w:cs="Times New Roman"/>
                <w:bCs/>
                <w:sz w:val="26"/>
                <w:szCs w:val="26"/>
                <w:lang w:eastAsia="lv-LV"/>
              </w:rPr>
              <w:t>, stājies spēkā 2018.gada 28.novembrī</w:t>
            </w:r>
            <w:r w:rsidR="00381188" w:rsidRPr="00EC5819">
              <w:rPr>
                <w:rFonts w:ascii="Times New Roman" w:eastAsia="Times New Roman" w:hAnsi="Times New Roman" w:cs="Times New Roman"/>
                <w:bCs/>
                <w:sz w:val="26"/>
                <w:szCs w:val="26"/>
                <w:lang w:eastAsia="lv-LV"/>
              </w:rPr>
              <w:t>)</w:t>
            </w:r>
            <w:r w:rsidR="00E43424" w:rsidRPr="00EC5819">
              <w:rPr>
                <w:rFonts w:ascii="Times New Roman" w:eastAsia="Times New Roman" w:hAnsi="Times New Roman" w:cs="Times New Roman"/>
                <w:bCs/>
                <w:sz w:val="26"/>
                <w:szCs w:val="26"/>
                <w:lang w:eastAsia="lv-LV"/>
              </w:rPr>
              <w:t xml:space="preserve"> </w:t>
            </w:r>
            <w:r w:rsidRPr="00EC5819">
              <w:rPr>
                <w:rFonts w:ascii="Times New Roman" w:eastAsia="Times New Roman" w:hAnsi="Times New Roman" w:cs="Times New Roman"/>
                <w:bCs/>
                <w:sz w:val="26"/>
                <w:szCs w:val="26"/>
                <w:lang w:eastAsia="lv-LV"/>
              </w:rPr>
              <w:t>un 16.</w:t>
            </w:r>
            <w:r w:rsidRPr="00EC5819">
              <w:rPr>
                <w:rFonts w:ascii="Times New Roman" w:eastAsia="Times New Roman" w:hAnsi="Times New Roman" w:cs="Times New Roman"/>
                <w:bCs/>
                <w:sz w:val="26"/>
                <w:szCs w:val="26"/>
                <w:vertAlign w:val="superscript"/>
                <w:lang w:eastAsia="lv-LV"/>
              </w:rPr>
              <w:t>1</w:t>
            </w:r>
            <w:r w:rsidRPr="00EC5819">
              <w:rPr>
                <w:rFonts w:ascii="Times New Roman" w:eastAsia="Times New Roman" w:hAnsi="Times New Roman" w:cs="Times New Roman"/>
                <w:bCs/>
                <w:sz w:val="26"/>
                <w:szCs w:val="26"/>
                <w:lang w:eastAsia="lv-LV"/>
              </w:rPr>
              <w:t>panta trešo daļu.</w:t>
            </w:r>
          </w:p>
        </w:tc>
      </w:tr>
      <w:tr w:rsidR="0091261F" w:rsidRPr="00EC5819" w:rsidTr="00EE5179">
        <w:tc>
          <w:tcPr>
            <w:tcW w:w="297" w:type="pct"/>
            <w:tcBorders>
              <w:top w:val="outset" w:sz="6" w:space="0" w:color="414142"/>
              <w:left w:val="outset" w:sz="6" w:space="0" w:color="414142"/>
              <w:bottom w:val="outset" w:sz="6" w:space="0" w:color="414142"/>
              <w:right w:val="outset" w:sz="6" w:space="0" w:color="414142"/>
            </w:tcBorders>
            <w:hideMark/>
          </w:tcPr>
          <w:p w:rsidR="00543AA6" w:rsidRPr="00EC5819"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EC5819">
              <w:rPr>
                <w:rFonts w:ascii="Times New Roman" w:eastAsia="Times New Roman" w:hAnsi="Times New Roman" w:cs="Times New Roman"/>
                <w:sz w:val="26"/>
                <w:szCs w:val="26"/>
                <w:lang w:eastAsia="lv-LV"/>
              </w:rPr>
              <w:t>2.</w:t>
            </w:r>
          </w:p>
        </w:tc>
        <w:tc>
          <w:tcPr>
            <w:tcW w:w="1207" w:type="pct"/>
            <w:tcBorders>
              <w:top w:val="outset" w:sz="6" w:space="0" w:color="414142"/>
              <w:left w:val="outset" w:sz="6" w:space="0" w:color="414142"/>
              <w:bottom w:val="outset" w:sz="6" w:space="0" w:color="414142"/>
              <w:right w:val="outset" w:sz="6" w:space="0" w:color="414142"/>
            </w:tcBorders>
            <w:hideMark/>
          </w:tcPr>
          <w:p w:rsidR="009D4FD7" w:rsidRDefault="00543AA6" w:rsidP="00081A5D">
            <w:pPr>
              <w:spacing w:after="0" w:line="240" w:lineRule="auto"/>
              <w:jc w:val="both"/>
              <w:rPr>
                <w:rFonts w:ascii="Times New Roman" w:eastAsia="Times New Roman" w:hAnsi="Times New Roman" w:cs="Times New Roman"/>
                <w:sz w:val="26"/>
                <w:szCs w:val="26"/>
                <w:lang w:eastAsia="lv-LV"/>
              </w:rPr>
            </w:pPr>
            <w:r w:rsidRPr="00EC5819">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p w:rsidR="009D4FD7" w:rsidRPr="009D4FD7" w:rsidRDefault="009D4FD7" w:rsidP="009D4FD7">
            <w:pPr>
              <w:rPr>
                <w:rFonts w:ascii="Times New Roman" w:eastAsia="Times New Roman" w:hAnsi="Times New Roman" w:cs="Times New Roman"/>
                <w:sz w:val="26"/>
                <w:szCs w:val="26"/>
                <w:lang w:eastAsia="lv-LV"/>
              </w:rPr>
            </w:pPr>
          </w:p>
          <w:p w:rsidR="009D4FD7" w:rsidRPr="009D4FD7" w:rsidRDefault="009D4FD7" w:rsidP="009D4FD7">
            <w:pPr>
              <w:rPr>
                <w:rFonts w:ascii="Times New Roman" w:eastAsia="Times New Roman" w:hAnsi="Times New Roman" w:cs="Times New Roman"/>
                <w:sz w:val="26"/>
                <w:szCs w:val="26"/>
                <w:lang w:eastAsia="lv-LV"/>
              </w:rPr>
            </w:pPr>
          </w:p>
          <w:p w:rsidR="00543AA6" w:rsidRPr="009D4FD7" w:rsidRDefault="00543AA6" w:rsidP="009D4FD7">
            <w:pPr>
              <w:rPr>
                <w:rFonts w:ascii="Times New Roman" w:eastAsia="Times New Roman" w:hAnsi="Times New Roman" w:cs="Times New Roman"/>
                <w:sz w:val="26"/>
                <w:szCs w:val="26"/>
                <w:lang w:eastAsia="lv-LV"/>
              </w:rPr>
            </w:pPr>
          </w:p>
        </w:tc>
        <w:tc>
          <w:tcPr>
            <w:tcW w:w="3496" w:type="pct"/>
            <w:tcBorders>
              <w:top w:val="outset" w:sz="6" w:space="0" w:color="414142"/>
              <w:left w:val="outset" w:sz="6" w:space="0" w:color="414142"/>
              <w:bottom w:val="outset" w:sz="6" w:space="0" w:color="414142"/>
              <w:right w:val="outset" w:sz="6" w:space="0" w:color="414142"/>
            </w:tcBorders>
          </w:tcPr>
          <w:p w:rsidR="00CF571D" w:rsidRPr="00EC5819" w:rsidRDefault="00CF571D" w:rsidP="00CF571D">
            <w:pPr>
              <w:tabs>
                <w:tab w:val="left" w:pos="4455"/>
              </w:tabs>
              <w:spacing w:after="0" w:line="240" w:lineRule="auto"/>
              <w:jc w:val="both"/>
              <w:rPr>
                <w:rFonts w:ascii="Times New Roman" w:eastAsia="Times New Roman" w:hAnsi="Times New Roman" w:cs="Times New Roman"/>
                <w:b/>
                <w:sz w:val="26"/>
                <w:szCs w:val="26"/>
                <w:u w:val="single"/>
              </w:rPr>
            </w:pPr>
            <w:r w:rsidRPr="00EC5819">
              <w:rPr>
                <w:rFonts w:ascii="Times New Roman" w:eastAsia="Times New Roman" w:hAnsi="Times New Roman" w:cs="Times New Roman"/>
                <w:b/>
                <w:sz w:val="26"/>
                <w:szCs w:val="26"/>
                <w:u w:val="single"/>
              </w:rPr>
              <w:t>Transfertcenu dokumentācijas tiesiskais regulējums</w:t>
            </w:r>
          </w:p>
          <w:p w:rsidR="00CF571D" w:rsidRPr="00EC5819" w:rsidRDefault="00CF571D" w:rsidP="00CF571D">
            <w:pPr>
              <w:tabs>
                <w:tab w:val="left" w:pos="4455"/>
              </w:tabs>
              <w:spacing w:after="0" w:line="240" w:lineRule="auto"/>
              <w:jc w:val="both"/>
              <w:rPr>
                <w:rFonts w:ascii="Times New Roman" w:eastAsia="Times New Roman" w:hAnsi="Times New Roman" w:cs="Times New Roman"/>
                <w:sz w:val="26"/>
                <w:szCs w:val="26"/>
              </w:rPr>
            </w:pPr>
            <w:r w:rsidRPr="00EC5819">
              <w:rPr>
                <w:rFonts w:ascii="Times New Roman" w:eastAsia="Times New Roman" w:hAnsi="Times New Roman" w:cs="Times New Roman"/>
                <w:sz w:val="26"/>
                <w:szCs w:val="26"/>
              </w:rPr>
              <w:t>Nodokļu maksātājiem –</w:t>
            </w:r>
            <w:r w:rsidR="00A271DE" w:rsidRPr="00EC5819">
              <w:rPr>
                <w:rFonts w:ascii="Times New Roman" w:eastAsia="Times New Roman" w:hAnsi="Times New Roman" w:cs="Times New Roman"/>
                <w:sz w:val="26"/>
                <w:szCs w:val="26"/>
              </w:rPr>
              <w:t xml:space="preserve"> </w:t>
            </w:r>
            <w:r w:rsidRPr="00EC5819">
              <w:rPr>
                <w:rFonts w:ascii="Times New Roman" w:eastAsia="Times New Roman" w:hAnsi="Times New Roman" w:cs="Times New Roman"/>
                <w:sz w:val="26"/>
                <w:szCs w:val="26"/>
              </w:rPr>
              <w:t>komercsabiedrībām, kuras veic darījumus ar saistītiem ārvalstu uzņēmumiem – ir saistošs transfertcenu tiesiskais regulējums, atbilstoši kuram komercsabiedrībām darījumos ar saistītiem ārvalstu uzņēmumiem ir pienākums noteikt cenu, kas atbilst tirgus cenai, tādējādi nodrošinot, lai komercsabiedrības peļņa mākslīgi netiktu pārcelta uz valsti, kurā nodokļu režīms ir labvēlīgāks. Svarīgs transfertcenu tiesiskā regulējuma elements ir transfertcenu dokumentācija. Viens no tās mērķiem ir nodrošināt pierādījumus</w:t>
            </w:r>
            <w:r w:rsidR="00D03821" w:rsidRPr="00EC5819">
              <w:rPr>
                <w:rFonts w:ascii="Times New Roman" w:eastAsia="Times New Roman" w:hAnsi="Times New Roman" w:cs="Times New Roman"/>
                <w:sz w:val="26"/>
                <w:szCs w:val="26"/>
              </w:rPr>
              <w:t>,</w:t>
            </w:r>
            <w:r w:rsidRPr="00EC5819">
              <w:rPr>
                <w:rFonts w:ascii="Times New Roman" w:eastAsia="Times New Roman" w:hAnsi="Times New Roman" w:cs="Times New Roman"/>
                <w:sz w:val="26"/>
                <w:szCs w:val="26"/>
              </w:rPr>
              <w:t xml:space="preserve"> ka attiecīgā darījuma cena (vērtība) atbilst tirgus cenai (vērtībai). Latvijā transfertcenu dokumentācijas tiesiskais regulējums pastāv kopš </w:t>
            </w:r>
            <w:r w:rsidR="006128D6" w:rsidRPr="00EC5819">
              <w:rPr>
                <w:rFonts w:ascii="Times New Roman" w:eastAsia="Times New Roman" w:hAnsi="Times New Roman" w:cs="Times New Roman"/>
                <w:sz w:val="26"/>
                <w:szCs w:val="26"/>
              </w:rPr>
              <w:t>2012</w:t>
            </w:r>
            <w:r w:rsidRPr="00EC5819">
              <w:rPr>
                <w:rFonts w:ascii="Times New Roman" w:eastAsia="Times New Roman" w:hAnsi="Times New Roman" w:cs="Times New Roman"/>
                <w:sz w:val="26"/>
                <w:szCs w:val="26"/>
              </w:rPr>
              <w:t>.gada. Taču ņemot vērā starptautisko nodokļu tiesību straujo attīstību pasaulē, 201</w:t>
            </w:r>
            <w:r w:rsidR="00E43424" w:rsidRPr="00EC5819">
              <w:rPr>
                <w:rFonts w:ascii="Times New Roman" w:eastAsia="Times New Roman" w:hAnsi="Times New Roman" w:cs="Times New Roman"/>
                <w:sz w:val="26"/>
                <w:szCs w:val="26"/>
              </w:rPr>
              <w:t>8</w:t>
            </w:r>
            <w:r w:rsidRPr="00EC5819">
              <w:rPr>
                <w:rFonts w:ascii="Times New Roman" w:eastAsia="Times New Roman" w:hAnsi="Times New Roman" w:cs="Times New Roman"/>
                <w:sz w:val="26"/>
                <w:szCs w:val="26"/>
              </w:rPr>
              <w:t xml:space="preserve">.gada </w:t>
            </w:r>
            <w:r w:rsidR="00E43424" w:rsidRPr="00EC5819">
              <w:rPr>
                <w:rFonts w:ascii="Times New Roman" w:eastAsia="Times New Roman" w:hAnsi="Times New Roman" w:cs="Times New Roman"/>
                <w:sz w:val="26"/>
                <w:szCs w:val="26"/>
              </w:rPr>
              <w:t>nogalē</w:t>
            </w:r>
            <w:r w:rsidRPr="00EC5819">
              <w:rPr>
                <w:rFonts w:ascii="Times New Roman" w:eastAsia="Times New Roman" w:hAnsi="Times New Roman" w:cs="Times New Roman"/>
                <w:sz w:val="26"/>
                <w:szCs w:val="26"/>
              </w:rPr>
              <w:t xml:space="preserve"> </w:t>
            </w:r>
            <w:r w:rsidR="00885843">
              <w:rPr>
                <w:rFonts w:ascii="Times New Roman" w:eastAsia="Times New Roman" w:hAnsi="Times New Roman" w:cs="Times New Roman"/>
                <w:sz w:val="26"/>
                <w:szCs w:val="26"/>
              </w:rPr>
              <w:t>stājās</w:t>
            </w:r>
            <w:r w:rsidRPr="00EC5819">
              <w:rPr>
                <w:rFonts w:ascii="Times New Roman" w:eastAsia="Times New Roman" w:hAnsi="Times New Roman" w:cs="Times New Roman"/>
                <w:sz w:val="26"/>
                <w:szCs w:val="26"/>
              </w:rPr>
              <w:t xml:space="preserve"> spēkā grozījumi Likumā, ar kuriem pārskatīts transfertcenu dokumentācijas regulējums, ieviešot OECD dokumenta "Transfertcenu noteikšanas vadlīnijas daudznacionāliem uzņēmumiem un nodokļu administrācijām" (turpmāk – </w:t>
            </w:r>
            <w:r w:rsidR="006128D6" w:rsidRPr="00EC5819">
              <w:rPr>
                <w:rFonts w:ascii="Times New Roman" w:eastAsia="Times New Roman" w:hAnsi="Times New Roman" w:cs="Times New Roman"/>
                <w:sz w:val="26"/>
                <w:szCs w:val="26"/>
              </w:rPr>
              <w:t xml:space="preserve">OECD </w:t>
            </w:r>
            <w:r w:rsidRPr="00EC5819">
              <w:rPr>
                <w:rFonts w:ascii="Times New Roman" w:eastAsia="Times New Roman" w:hAnsi="Times New Roman" w:cs="Times New Roman"/>
                <w:sz w:val="26"/>
                <w:szCs w:val="26"/>
              </w:rPr>
              <w:t xml:space="preserve">Transfertcenu vadlīnijas) 2017.gada redakcijā ietvertās </w:t>
            </w:r>
            <w:proofErr w:type="spellStart"/>
            <w:r w:rsidRPr="00EC5819">
              <w:rPr>
                <w:rFonts w:ascii="Times New Roman" w:eastAsia="Times New Roman" w:hAnsi="Times New Roman" w:cs="Times New Roman"/>
                <w:sz w:val="26"/>
                <w:szCs w:val="26"/>
              </w:rPr>
              <w:t>trīspakāpju</w:t>
            </w:r>
            <w:proofErr w:type="spellEnd"/>
            <w:r w:rsidRPr="00EC5819">
              <w:rPr>
                <w:rFonts w:ascii="Times New Roman" w:eastAsia="Times New Roman" w:hAnsi="Times New Roman" w:cs="Times New Roman"/>
                <w:sz w:val="26"/>
                <w:szCs w:val="26"/>
              </w:rPr>
              <w:t xml:space="preserve"> transfertcenu dokumentācijas daļas – globālo dokumentāciju un vietējo dokumentāciju. Likums </w:t>
            </w:r>
            <w:r w:rsidR="00885843">
              <w:rPr>
                <w:rFonts w:ascii="Times New Roman" w:eastAsia="Times New Roman" w:hAnsi="Times New Roman" w:cs="Times New Roman"/>
                <w:sz w:val="26"/>
                <w:szCs w:val="26"/>
              </w:rPr>
              <w:t>nosaka</w:t>
            </w:r>
            <w:r w:rsidRPr="00EC5819">
              <w:rPr>
                <w:rFonts w:ascii="Times New Roman" w:eastAsia="Times New Roman" w:hAnsi="Times New Roman" w:cs="Times New Roman"/>
                <w:sz w:val="26"/>
                <w:szCs w:val="26"/>
              </w:rPr>
              <w:t xml:space="preserve"> globālās dokumentācijas un vietējās dokumentācijas galvenās sastāvdaļas, vienlaikus deleģējot Ministru kabinetam noteikt transfertcenu dokumentācijā ietveramās informācijas detalizētu saturu. Līdz ar to nepieciešams izdot noteikumu</w:t>
            </w:r>
            <w:r w:rsidR="00885843">
              <w:rPr>
                <w:rFonts w:ascii="Times New Roman" w:eastAsia="Times New Roman" w:hAnsi="Times New Roman" w:cs="Times New Roman"/>
                <w:sz w:val="26"/>
                <w:szCs w:val="26"/>
              </w:rPr>
              <w:t>s</w:t>
            </w:r>
            <w:r w:rsidRPr="00EC5819">
              <w:rPr>
                <w:rFonts w:ascii="Times New Roman" w:eastAsia="Times New Roman" w:hAnsi="Times New Roman" w:cs="Times New Roman"/>
                <w:sz w:val="26"/>
                <w:szCs w:val="26"/>
              </w:rPr>
              <w:t xml:space="preserve">, </w:t>
            </w:r>
            <w:r w:rsidR="00885843">
              <w:rPr>
                <w:rFonts w:ascii="Times New Roman" w:eastAsia="Times New Roman" w:hAnsi="Times New Roman" w:cs="Times New Roman"/>
                <w:sz w:val="26"/>
                <w:szCs w:val="26"/>
              </w:rPr>
              <w:t>tajos</w:t>
            </w:r>
            <w:r w:rsidRPr="00EC5819">
              <w:rPr>
                <w:rFonts w:ascii="Times New Roman" w:eastAsia="Times New Roman" w:hAnsi="Times New Roman" w:cs="Times New Roman"/>
                <w:sz w:val="26"/>
                <w:szCs w:val="26"/>
              </w:rPr>
              <w:t xml:space="preserve"> ietverot normas, kurās, ievērojot Likumā paredzētos principus, noteiktas globālās dokumentācijas un vietējās dokumentācijas detalizētas prasības.</w:t>
            </w:r>
          </w:p>
          <w:p w:rsidR="00796FC7" w:rsidRPr="00EC5819" w:rsidRDefault="00D12ED7" w:rsidP="00D12ED7">
            <w:pPr>
              <w:tabs>
                <w:tab w:val="left" w:pos="4455"/>
              </w:tabs>
              <w:spacing w:after="0" w:line="240" w:lineRule="auto"/>
              <w:jc w:val="both"/>
              <w:rPr>
                <w:rFonts w:ascii="Times New Roman" w:eastAsia="Times New Roman" w:hAnsi="Times New Roman" w:cs="Times New Roman"/>
                <w:sz w:val="26"/>
                <w:szCs w:val="26"/>
              </w:rPr>
            </w:pPr>
            <w:r w:rsidRPr="00EC5819">
              <w:rPr>
                <w:rFonts w:ascii="Times New Roman" w:eastAsia="Times New Roman" w:hAnsi="Times New Roman" w:cs="Times New Roman"/>
                <w:sz w:val="26"/>
                <w:szCs w:val="26"/>
              </w:rPr>
              <w:t>Likuma 15.</w:t>
            </w:r>
            <w:r w:rsidRPr="00EC5819">
              <w:rPr>
                <w:rFonts w:ascii="Times New Roman" w:eastAsia="Times New Roman" w:hAnsi="Times New Roman" w:cs="Times New Roman"/>
                <w:sz w:val="26"/>
                <w:szCs w:val="26"/>
                <w:vertAlign w:val="superscript"/>
              </w:rPr>
              <w:t>2</w:t>
            </w:r>
            <w:r w:rsidRPr="00EC5819">
              <w:rPr>
                <w:rFonts w:ascii="Times New Roman" w:eastAsia="Times New Roman" w:hAnsi="Times New Roman" w:cs="Times New Roman"/>
                <w:sz w:val="26"/>
                <w:szCs w:val="26"/>
              </w:rPr>
              <w:t xml:space="preserve"> panta </w:t>
            </w:r>
            <w:r w:rsidR="00796FC7" w:rsidRPr="00EC5819">
              <w:rPr>
                <w:rFonts w:ascii="Times New Roman" w:eastAsia="Times New Roman" w:hAnsi="Times New Roman" w:cs="Times New Roman"/>
                <w:sz w:val="26"/>
                <w:szCs w:val="26"/>
              </w:rPr>
              <w:t>divpadsmitā</w:t>
            </w:r>
            <w:r w:rsidRPr="00EC5819">
              <w:rPr>
                <w:rFonts w:ascii="Times New Roman" w:eastAsia="Times New Roman" w:hAnsi="Times New Roman" w:cs="Times New Roman"/>
                <w:sz w:val="26"/>
                <w:szCs w:val="26"/>
              </w:rPr>
              <w:t xml:space="preserve"> </w:t>
            </w:r>
            <w:r w:rsidR="00796FC7" w:rsidRPr="00EC5819">
              <w:rPr>
                <w:rFonts w:ascii="Times New Roman" w:eastAsia="Times New Roman" w:hAnsi="Times New Roman" w:cs="Times New Roman"/>
                <w:sz w:val="26"/>
                <w:szCs w:val="26"/>
              </w:rPr>
              <w:t>daļa pilnvaro Ministru kabinetu noteikt vienkāršotajā transfertcenu dokumentācijā ietveramo informāciju, ja nodokļu normatīvajos aktos ir paredzēta vienkāršota transfertcenu noteikšanas kārtība. OECD Transfertcenu vadlīnijas paredz vairākus risinājumus vienkāršotas transfertcenu noteikšanas kārtībai, tajā skaitā, zemas pievienotās vērtības pakalpojumiem</w:t>
            </w:r>
            <w:r w:rsidR="003D4CA4" w:rsidRPr="00EC5819">
              <w:rPr>
                <w:rFonts w:ascii="Times New Roman" w:eastAsia="Times New Roman" w:hAnsi="Times New Roman" w:cs="Times New Roman"/>
                <w:sz w:val="26"/>
                <w:szCs w:val="26"/>
              </w:rPr>
              <w:t xml:space="preserve"> (noteikta veida (</w:t>
            </w:r>
            <w:r w:rsidR="006F3558" w:rsidRPr="00EC5819">
              <w:rPr>
                <w:rFonts w:ascii="Times New Roman" w:eastAsia="Times New Roman" w:hAnsi="Times New Roman" w:cs="Times New Roman"/>
                <w:sz w:val="26"/>
                <w:szCs w:val="26"/>
              </w:rPr>
              <w:t>parasti juridiskie</w:t>
            </w:r>
            <w:r w:rsidR="003D4CA4" w:rsidRPr="00EC5819">
              <w:rPr>
                <w:rFonts w:ascii="Times New Roman" w:eastAsia="Times New Roman" w:hAnsi="Times New Roman" w:cs="Times New Roman"/>
                <w:sz w:val="26"/>
                <w:szCs w:val="26"/>
              </w:rPr>
              <w:t xml:space="preserve">, grāmatvedības, IT </w:t>
            </w:r>
            <w:r w:rsidR="006F3558" w:rsidRPr="00EC5819">
              <w:rPr>
                <w:rFonts w:ascii="Times New Roman" w:eastAsia="Times New Roman" w:hAnsi="Times New Roman" w:cs="Times New Roman"/>
                <w:sz w:val="26"/>
                <w:szCs w:val="26"/>
              </w:rPr>
              <w:t>u.tml</w:t>
            </w:r>
            <w:r w:rsidR="003D4CA4" w:rsidRPr="00EC5819">
              <w:rPr>
                <w:rFonts w:ascii="Times New Roman" w:eastAsia="Times New Roman" w:hAnsi="Times New Roman" w:cs="Times New Roman"/>
                <w:sz w:val="26"/>
                <w:szCs w:val="26"/>
              </w:rPr>
              <w:t>.) pakalpojumi, kas rada zemu transfertcenu risku)</w:t>
            </w:r>
            <w:r w:rsidR="006F3558" w:rsidRPr="00EC5819">
              <w:rPr>
                <w:rStyle w:val="FootnoteReference"/>
                <w:rFonts w:ascii="Times New Roman" w:eastAsia="Times New Roman" w:hAnsi="Times New Roman" w:cs="Times New Roman"/>
                <w:sz w:val="26"/>
                <w:szCs w:val="26"/>
              </w:rPr>
              <w:footnoteReference w:id="1"/>
            </w:r>
            <w:r w:rsidR="00796FC7" w:rsidRPr="00EC5819">
              <w:rPr>
                <w:rFonts w:ascii="Times New Roman" w:eastAsia="Times New Roman" w:hAnsi="Times New Roman" w:cs="Times New Roman"/>
                <w:sz w:val="26"/>
                <w:szCs w:val="26"/>
              </w:rPr>
              <w:t>, kā arī tā saucamā “droša patvēruma” (</w:t>
            </w:r>
            <w:proofErr w:type="spellStart"/>
            <w:r w:rsidR="00796FC7" w:rsidRPr="00EC5819">
              <w:rPr>
                <w:rFonts w:ascii="Times New Roman" w:eastAsia="Times New Roman" w:hAnsi="Times New Roman" w:cs="Times New Roman"/>
                <w:sz w:val="26"/>
                <w:szCs w:val="26"/>
              </w:rPr>
              <w:t>angļ</w:t>
            </w:r>
            <w:proofErr w:type="spellEnd"/>
            <w:r w:rsidR="00796FC7" w:rsidRPr="00EC5819">
              <w:rPr>
                <w:rFonts w:ascii="Times New Roman" w:eastAsia="Times New Roman" w:hAnsi="Times New Roman" w:cs="Times New Roman"/>
                <w:sz w:val="26"/>
                <w:szCs w:val="26"/>
              </w:rPr>
              <w:t xml:space="preserve">.: </w:t>
            </w:r>
            <w:proofErr w:type="spellStart"/>
            <w:r w:rsidR="00796FC7" w:rsidRPr="00EC5819">
              <w:rPr>
                <w:rFonts w:ascii="Times New Roman" w:eastAsia="Times New Roman" w:hAnsi="Times New Roman" w:cs="Times New Roman"/>
                <w:i/>
                <w:sz w:val="26"/>
                <w:szCs w:val="26"/>
              </w:rPr>
              <w:t>safe</w:t>
            </w:r>
            <w:proofErr w:type="spellEnd"/>
            <w:r w:rsidR="00796FC7" w:rsidRPr="00EC5819">
              <w:rPr>
                <w:rFonts w:ascii="Times New Roman" w:eastAsia="Times New Roman" w:hAnsi="Times New Roman" w:cs="Times New Roman"/>
                <w:i/>
                <w:sz w:val="26"/>
                <w:szCs w:val="26"/>
              </w:rPr>
              <w:t xml:space="preserve"> </w:t>
            </w:r>
            <w:proofErr w:type="spellStart"/>
            <w:r w:rsidR="00796FC7" w:rsidRPr="00EC5819">
              <w:rPr>
                <w:rFonts w:ascii="Times New Roman" w:eastAsia="Times New Roman" w:hAnsi="Times New Roman" w:cs="Times New Roman"/>
                <w:i/>
                <w:sz w:val="26"/>
                <w:szCs w:val="26"/>
              </w:rPr>
              <w:t>harbour</w:t>
            </w:r>
            <w:proofErr w:type="spellEnd"/>
            <w:r w:rsidR="00796FC7" w:rsidRPr="00EC5819">
              <w:rPr>
                <w:rFonts w:ascii="Times New Roman" w:eastAsia="Times New Roman" w:hAnsi="Times New Roman" w:cs="Times New Roman"/>
                <w:sz w:val="26"/>
                <w:szCs w:val="26"/>
              </w:rPr>
              <w:t>)</w:t>
            </w:r>
            <w:r w:rsidR="003D4CA4" w:rsidRPr="00EC5819">
              <w:rPr>
                <w:rFonts w:ascii="Times New Roman" w:eastAsia="Times New Roman" w:hAnsi="Times New Roman" w:cs="Times New Roman"/>
                <w:sz w:val="26"/>
                <w:szCs w:val="26"/>
              </w:rPr>
              <w:t xml:space="preserve"> regulējuma</w:t>
            </w:r>
            <w:r w:rsidR="006F33F2">
              <w:rPr>
                <w:rFonts w:ascii="Times New Roman" w:eastAsia="Times New Roman" w:hAnsi="Times New Roman" w:cs="Times New Roman"/>
                <w:sz w:val="26"/>
                <w:szCs w:val="26"/>
              </w:rPr>
              <w:t>m</w:t>
            </w:r>
            <w:r w:rsidR="003D4CA4" w:rsidRPr="00EC5819">
              <w:rPr>
                <w:rFonts w:ascii="Times New Roman" w:eastAsia="Times New Roman" w:hAnsi="Times New Roman" w:cs="Times New Roman"/>
                <w:sz w:val="26"/>
                <w:szCs w:val="26"/>
              </w:rPr>
              <w:t xml:space="preserve"> (</w:t>
            </w:r>
            <w:r w:rsidR="006F3558" w:rsidRPr="00EC5819">
              <w:rPr>
                <w:rFonts w:ascii="Times New Roman" w:eastAsia="Times New Roman" w:hAnsi="Times New Roman" w:cs="Times New Roman"/>
                <w:sz w:val="26"/>
                <w:szCs w:val="26"/>
              </w:rPr>
              <w:t>kad valsts nosaka vienkāršotus transfertcenu noteikšanas principus noteiktais kategorijas darījumiem noteiktajos gadījumos)</w:t>
            </w:r>
            <w:r w:rsidR="006F3558" w:rsidRPr="00EC5819">
              <w:rPr>
                <w:rStyle w:val="FootnoteReference"/>
                <w:rFonts w:ascii="Times New Roman" w:eastAsia="Times New Roman" w:hAnsi="Times New Roman" w:cs="Times New Roman"/>
                <w:sz w:val="26"/>
                <w:szCs w:val="26"/>
              </w:rPr>
              <w:footnoteReference w:id="2"/>
            </w:r>
            <w:r w:rsidR="003637CF" w:rsidRPr="00EC5819">
              <w:rPr>
                <w:rFonts w:ascii="Times New Roman" w:eastAsia="Times New Roman" w:hAnsi="Times New Roman" w:cs="Times New Roman"/>
                <w:sz w:val="26"/>
                <w:szCs w:val="26"/>
              </w:rPr>
              <w:t>. Latvijas nodokļu normatīvajos aktos tuvākajā laikā</w:t>
            </w:r>
            <w:r w:rsidR="00F57756" w:rsidRPr="00EC5819">
              <w:rPr>
                <w:rFonts w:ascii="Times New Roman" w:eastAsia="Times New Roman" w:hAnsi="Times New Roman" w:cs="Times New Roman"/>
                <w:sz w:val="26"/>
                <w:szCs w:val="26"/>
              </w:rPr>
              <w:t xml:space="preserve"> (paredzams 2019.gada janvārī) </w:t>
            </w:r>
            <w:r w:rsidR="003637CF" w:rsidRPr="00EC5819">
              <w:rPr>
                <w:rFonts w:ascii="Times New Roman" w:eastAsia="Times New Roman" w:hAnsi="Times New Roman" w:cs="Times New Roman"/>
                <w:sz w:val="26"/>
                <w:szCs w:val="26"/>
              </w:rPr>
              <w:t>paredzēts (veicot attiecīgus grozījumus Ministru kabineta 2017.gada 14.novembra noteikumos Nr.677 “Uzņēmumu ienākuma nodokļa likuma normu piemērošanas noteikumi”</w:t>
            </w:r>
            <w:r w:rsidR="00C24F1D" w:rsidRPr="00EC5819">
              <w:rPr>
                <w:rFonts w:ascii="Times New Roman" w:eastAsia="Times New Roman" w:hAnsi="Times New Roman" w:cs="Times New Roman"/>
                <w:sz w:val="26"/>
                <w:szCs w:val="26"/>
              </w:rPr>
              <w:t xml:space="preserve"> (izdoti</w:t>
            </w:r>
            <w:r w:rsidR="006B1CD4" w:rsidRPr="00EC5819">
              <w:rPr>
                <w:rFonts w:ascii="Times New Roman" w:eastAsia="Times New Roman" w:hAnsi="Times New Roman" w:cs="Times New Roman"/>
                <w:sz w:val="26"/>
                <w:szCs w:val="26"/>
              </w:rPr>
              <w:t>,</w:t>
            </w:r>
            <w:r w:rsidR="00C24F1D" w:rsidRPr="00EC5819">
              <w:rPr>
                <w:rFonts w:ascii="Times New Roman" w:eastAsia="Times New Roman" w:hAnsi="Times New Roman" w:cs="Times New Roman"/>
                <w:sz w:val="26"/>
                <w:szCs w:val="26"/>
              </w:rPr>
              <w:t xml:space="preserve"> pamatojoties uz Uzņēmumu ienākuma nodokļa likuma normām</w:t>
            </w:r>
            <w:r w:rsidR="003637CF" w:rsidRPr="00EC5819">
              <w:rPr>
                <w:rFonts w:ascii="Times New Roman" w:eastAsia="Times New Roman" w:hAnsi="Times New Roman" w:cs="Times New Roman"/>
                <w:sz w:val="26"/>
                <w:szCs w:val="26"/>
              </w:rPr>
              <w:t>) noteikt vienkāršoto transfertcenu noteikšanas kārtību attiecībā uz zemas pievienotās vērtības pakalpojumiem. T</w:t>
            </w:r>
            <w:r w:rsidR="006B1CD4" w:rsidRPr="00EC5819">
              <w:rPr>
                <w:rFonts w:ascii="Times New Roman" w:eastAsia="Times New Roman" w:hAnsi="Times New Roman" w:cs="Times New Roman"/>
                <w:sz w:val="26"/>
                <w:szCs w:val="26"/>
              </w:rPr>
              <w:t>ā</w:t>
            </w:r>
            <w:r w:rsidR="003637CF" w:rsidRPr="00EC5819">
              <w:rPr>
                <w:rFonts w:ascii="Times New Roman" w:eastAsia="Times New Roman" w:hAnsi="Times New Roman" w:cs="Times New Roman"/>
                <w:sz w:val="26"/>
                <w:szCs w:val="26"/>
              </w:rPr>
              <w:t>dēļ</w:t>
            </w:r>
            <w:r w:rsidR="003F31DB" w:rsidRPr="00EC5819">
              <w:rPr>
                <w:rFonts w:ascii="Times New Roman" w:eastAsia="Times New Roman" w:hAnsi="Times New Roman" w:cs="Times New Roman"/>
                <w:sz w:val="26"/>
                <w:szCs w:val="26"/>
              </w:rPr>
              <w:t xml:space="preserve">, </w:t>
            </w:r>
            <w:r w:rsidR="00C24F1D" w:rsidRPr="00EC5819">
              <w:rPr>
                <w:rFonts w:ascii="Times New Roman" w:eastAsia="Times New Roman" w:hAnsi="Times New Roman" w:cs="Times New Roman"/>
                <w:sz w:val="26"/>
                <w:szCs w:val="26"/>
              </w:rPr>
              <w:t xml:space="preserve">lai </w:t>
            </w:r>
            <w:r w:rsidR="003F31DB" w:rsidRPr="00EC5819">
              <w:rPr>
                <w:rFonts w:ascii="Times New Roman" w:eastAsia="Times New Roman" w:hAnsi="Times New Roman" w:cs="Times New Roman"/>
                <w:sz w:val="26"/>
                <w:szCs w:val="26"/>
              </w:rPr>
              <w:t>minētajā gadījumā nodokļu maksātājs varētu ne tikai noteikt vienkāršotā veidā transfertcenu, bet arī sagatavot vienkāršotu dokumentāciju,</w:t>
            </w:r>
            <w:r w:rsidR="003637CF" w:rsidRPr="00EC5819">
              <w:rPr>
                <w:rFonts w:ascii="Times New Roman" w:eastAsia="Times New Roman" w:hAnsi="Times New Roman" w:cs="Times New Roman"/>
                <w:sz w:val="26"/>
                <w:szCs w:val="26"/>
              </w:rPr>
              <w:t xml:space="preserve"> noteikumu projektā nepieciešams paredzēt iespēju nodokļu maksātājam sagatavot vienkāršoto transfertcenu dokumentāciju zemas pievienotās vērtības pakalpojumiem.</w:t>
            </w:r>
            <w:r w:rsidR="003F31DB" w:rsidRPr="00EC5819">
              <w:rPr>
                <w:rFonts w:ascii="Times New Roman" w:eastAsia="Times New Roman" w:hAnsi="Times New Roman" w:cs="Times New Roman"/>
                <w:sz w:val="26"/>
                <w:szCs w:val="26"/>
              </w:rPr>
              <w:t xml:space="preserve"> </w:t>
            </w:r>
            <w:r w:rsidR="00C24F1D" w:rsidRPr="00EC5819">
              <w:rPr>
                <w:rFonts w:ascii="Times New Roman" w:eastAsia="Times New Roman" w:hAnsi="Times New Roman" w:cs="Times New Roman"/>
                <w:sz w:val="26"/>
                <w:szCs w:val="26"/>
              </w:rPr>
              <w:t>Savukārt g</w:t>
            </w:r>
            <w:r w:rsidR="003F31DB" w:rsidRPr="00EC5819">
              <w:rPr>
                <w:rFonts w:ascii="Times New Roman" w:eastAsia="Times New Roman" w:hAnsi="Times New Roman" w:cs="Times New Roman"/>
                <w:sz w:val="26"/>
                <w:szCs w:val="26"/>
              </w:rPr>
              <w:t xml:space="preserve">adījumā, ja nākotnē nodokļu normatīvajos aktos tiks paredzēta vienkāršotas transfertcenu noteikšanas kārtība arī citos gadījumos, esošā Likuma deleģējuma ietvaros būs nepieciešams veikt </w:t>
            </w:r>
            <w:r w:rsidR="00C15054" w:rsidRPr="00EC5819">
              <w:rPr>
                <w:rFonts w:ascii="Times New Roman" w:eastAsia="Times New Roman" w:hAnsi="Times New Roman" w:cs="Times New Roman"/>
                <w:sz w:val="26"/>
                <w:szCs w:val="26"/>
              </w:rPr>
              <w:t>n</w:t>
            </w:r>
            <w:r w:rsidR="003F31DB" w:rsidRPr="00EC5819">
              <w:rPr>
                <w:rFonts w:ascii="Times New Roman" w:eastAsia="Times New Roman" w:hAnsi="Times New Roman" w:cs="Times New Roman"/>
                <w:sz w:val="26"/>
                <w:szCs w:val="26"/>
              </w:rPr>
              <w:t>oteikumu projekt</w:t>
            </w:r>
            <w:r w:rsidR="006B1CD4" w:rsidRPr="00EC5819">
              <w:rPr>
                <w:rFonts w:ascii="Times New Roman" w:eastAsia="Times New Roman" w:hAnsi="Times New Roman" w:cs="Times New Roman"/>
                <w:sz w:val="26"/>
                <w:szCs w:val="26"/>
              </w:rPr>
              <w:t>ā</w:t>
            </w:r>
            <w:r w:rsidR="003F31DB" w:rsidRPr="00EC5819">
              <w:rPr>
                <w:rFonts w:ascii="Times New Roman" w:eastAsia="Times New Roman" w:hAnsi="Times New Roman" w:cs="Times New Roman"/>
                <w:sz w:val="26"/>
                <w:szCs w:val="26"/>
              </w:rPr>
              <w:t xml:space="preserve"> </w:t>
            </w:r>
            <w:r w:rsidR="006B1CD4" w:rsidRPr="00EC5819">
              <w:rPr>
                <w:rFonts w:ascii="Times New Roman" w:eastAsia="Times New Roman" w:hAnsi="Times New Roman" w:cs="Times New Roman"/>
                <w:sz w:val="26"/>
                <w:szCs w:val="26"/>
              </w:rPr>
              <w:t xml:space="preserve">iekļautā regulējuma </w:t>
            </w:r>
            <w:r w:rsidR="003F31DB" w:rsidRPr="00EC5819">
              <w:rPr>
                <w:rFonts w:ascii="Times New Roman" w:eastAsia="Times New Roman" w:hAnsi="Times New Roman" w:cs="Times New Roman"/>
                <w:sz w:val="26"/>
                <w:szCs w:val="26"/>
              </w:rPr>
              <w:t>grozījumus</w:t>
            </w:r>
            <w:r w:rsidR="00F57756" w:rsidRPr="00EC5819">
              <w:rPr>
                <w:rFonts w:ascii="Times New Roman" w:eastAsia="Times New Roman" w:hAnsi="Times New Roman" w:cs="Times New Roman"/>
                <w:sz w:val="26"/>
                <w:szCs w:val="26"/>
              </w:rPr>
              <w:t xml:space="preserve">, papildinot </w:t>
            </w:r>
            <w:r w:rsidR="00DC0330" w:rsidRPr="00EC5819">
              <w:rPr>
                <w:rFonts w:ascii="Times New Roman" w:eastAsia="Times New Roman" w:hAnsi="Times New Roman" w:cs="Times New Roman"/>
                <w:sz w:val="26"/>
                <w:szCs w:val="26"/>
              </w:rPr>
              <w:t>noteikumus ar jaunām vienkāršotas transfertcenu dokumentācijas prasībām, kuras būs piemērotas attiecīgajam vienkāršotas transfertcenu noteikšanas regulējumam (piemēram, “droša patvēruma” (</w:t>
            </w:r>
            <w:proofErr w:type="spellStart"/>
            <w:r w:rsidR="00DC0330" w:rsidRPr="00EC5819">
              <w:rPr>
                <w:rFonts w:ascii="Times New Roman" w:eastAsia="Times New Roman" w:hAnsi="Times New Roman" w:cs="Times New Roman"/>
                <w:sz w:val="26"/>
                <w:szCs w:val="26"/>
              </w:rPr>
              <w:t>angļ</w:t>
            </w:r>
            <w:proofErr w:type="spellEnd"/>
            <w:r w:rsidR="00DC0330" w:rsidRPr="00EC5819">
              <w:rPr>
                <w:rFonts w:ascii="Times New Roman" w:eastAsia="Times New Roman" w:hAnsi="Times New Roman" w:cs="Times New Roman"/>
                <w:sz w:val="26"/>
                <w:szCs w:val="26"/>
              </w:rPr>
              <w:t xml:space="preserve">.: </w:t>
            </w:r>
            <w:proofErr w:type="spellStart"/>
            <w:r w:rsidR="00DC0330" w:rsidRPr="00EC5819">
              <w:rPr>
                <w:rFonts w:ascii="Times New Roman" w:eastAsia="Times New Roman" w:hAnsi="Times New Roman" w:cs="Times New Roman"/>
                <w:i/>
                <w:sz w:val="26"/>
                <w:szCs w:val="26"/>
              </w:rPr>
              <w:t>safe</w:t>
            </w:r>
            <w:proofErr w:type="spellEnd"/>
            <w:r w:rsidR="00DC0330" w:rsidRPr="00EC5819">
              <w:rPr>
                <w:rFonts w:ascii="Times New Roman" w:eastAsia="Times New Roman" w:hAnsi="Times New Roman" w:cs="Times New Roman"/>
                <w:i/>
                <w:sz w:val="26"/>
                <w:szCs w:val="26"/>
              </w:rPr>
              <w:t xml:space="preserve"> </w:t>
            </w:r>
            <w:proofErr w:type="spellStart"/>
            <w:r w:rsidR="00DC0330" w:rsidRPr="00EC5819">
              <w:rPr>
                <w:rFonts w:ascii="Times New Roman" w:eastAsia="Times New Roman" w:hAnsi="Times New Roman" w:cs="Times New Roman"/>
                <w:i/>
                <w:sz w:val="26"/>
                <w:szCs w:val="26"/>
              </w:rPr>
              <w:t>harbour</w:t>
            </w:r>
            <w:proofErr w:type="spellEnd"/>
            <w:r w:rsidR="00DC0330" w:rsidRPr="00EC5819">
              <w:rPr>
                <w:rFonts w:ascii="Times New Roman" w:eastAsia="Times New Roman" w:hAnsi="Times New Roman" w:cs="Times New Roman"/>
                <w:sz w:val="26"/>
                <w:szCs w:val="26"/>
              </w:rPr>
              <w:t>) regulējumam</w:t>
            </w:r>
            <w:r w:rsidR="003441A5">
              <w:rPr>
                <w:rFonts w:ascii="Times New Roman" w:eastAsia="Times New Roman" w:hAnsi="Times New Roman" w:cs="Times New Roman"/>
                <w:sz w:val="26"/>
                <w:szCs w:val="26"/>
              </w:rPr>
              <w:t>)</w:t>
            </w:r>
            <w:r w:rsidR="001A272D">
              <w:rPr>
                <w:rFonts w:ascii="Times New Roman" w:eastAsia="Times New Roman" w:hAnsi="Times New Roman" w:cs="Times New Roman"/>
                <w:sz w:val="26"/>
                <w:szCs w:val="26"/>
              </w:rPr>
              <w:t xml:space="preserve">. </w:t>
            </w:r>
            <w:r w:rsidR="003441A5">
              <w:rPr>
                <w:rFonts w:ascii="Times New Roman" w:eastAsia="Times New Roman" w:hAnsi="Times New Roman" w:cs="Times New Roman"/>
                <w:sz w:val="26"/>
                <w:szCs w:val="26"/>
              </w:rPr>
              <w:t>Turklāt</w:t>
            </w:r>
            <w:r w:rsidR="001A272D" w:rsidRPr="001A272D">
              <w:rPr>
                <w:rFonts w:ascii="Times New Roman" w:eastAsia="Times New Roman" w:hAnsi="Times New Roman" w:cs="Times New Roman"/>
                <w:sz w:val="26"/>
                <w:szCs w:val="26"/>
              </w:rPr>
              <w:t xml:space="preserve"> vienkāršotās transfertcenu dokumentācijas prasības var būt atšķirīgas atkarībā no darījumu veidiem, uz kuriem attieksies vienkāršota transfertcenu noteikšanas kārtība, ņemot vērā dažādiem darījumiem raksturīgos atšķirīgos transfertcenu riskus.</w:t>
            </w:r>
          </w:p>
          <w:p w:rsidR="00CE53C2" w:rsidRPr="00EC5819" w:rsidRDefault="00CE53C2" w:rsidP="00D12ED7">
            <w:pPr>
              <w:tabs>
                <w:tab w:val="left" w:pos="4455"/>
              </w:tabs>
              <w:spacing w:after="0" w:line="240" w:lineRule="auto"/>
              <w:jc w:val="both"/>
              <w:rPr>
                <w:rFonts w:ascii="Times New Roman" w:eastAsia="Times New Roman" w:hAnsi="Times New Roman" w:cs="Times New Roman"/>
                <w:sz w:val="26"/>
                <w:szCs w:val="26"/>
              </w:rPr>
            </w:pPr>
            <w:r w:rsidRPr="00EC5819">
              <w:rPr>
                <w:rFonts w:ascii="Times New Roman" w:eastAsia="Times New Roman" w:hAnsi="Times New Roman" w:cs="Times New Roman"/>
                <w:sz w:val="26"/>
                <w:szCs w:val="26"/>
              </w:rPr>
              <w:t>Noteikumu projektā paredzēts, ka tajā ietvertais vienkāršotas transfertcenu dokumentācijas regulējums</w:t>
            </w:r>
            <w:r w:rsidR="00354716" w:rsidRPr="00EC5819">
              <w:rPr>
                <w:rFonts w:ascii="Times New Roman" w:eastAsia="Times New Roman" w:hAnsi="Times New Roman" w:cs="Times New Roman"/>
                <w:sz w:val="26"/>
                <w:szCs w:val="26"/>
              </w:rPr>
              <w:t xml:space="preserve"> zemas pievienotās vērtības pakalpojumiem</w:t>
            </w:r>
            <w:r w:rsidRPr="00EC5819">
              <w:rPr>
                <w:rFonts w:ascii="Times New Roman" w:eastAsia="Times New Roman" w:hAnsi="Times New Roman" w:cs="Times New Roman"/>
                <w:sz w:val="26"/>
                <w:szCs w:val="26"/>
              </w:rPr>
              <w:t xml:space="preserve"> būs piemērojams vienlaikus ar grozījumiem Ministru kabineta 2017.gada 14.novembra noteikumos Nr.677 “Uzņēmumu ienākuma nodokļa likuma normu piemērošanas noteikumi”</w:t>
            </w:r>
            <w:r w:rsidR="00354716" w:rsidRPr="00EC5819">
              <w:rPr>
                <w:rFonts w:ascii="Times New Roman" w:eastAsia="Times New Roman" w:hAnsi="Times New Roman" w:cs="Times New Roman"/>
                <w:sz w:val="26"/>
                <w:szCs w:val="26"/>
              </w:rPr>
              <w:t>, kuri paredzēs attiecīgajiem darījumiem vienkāršotu transfertcenu noteikšanas kārtību. Regulējums par vienkāršotu transfertcenu dokumentāciju iekļauts noteikumu projektā jau šobrīd</w:t>
            </w:r>
            <w:r w:rsidR="00362A3D" w:rsidRPr="00EC5819">
              <w:rPr>
                <w:rFonts w:ascii="Times New Roman" w:eastAsia="Times New Roman" w:hAnsi="Times New Roman" w:cs="Times New Roman"/>
                <w:sz w:val="26"/>
                <w:szCs w:val="26"/>
              </w:rPr>
              <w:t>,</w:t>
            </w:r>
            <w:r w:rsidR="00354716" w:rsidRPr="00EC5819">
              <w:rPr>
                <w:rFonts w:ascii="Times New Roman" w:eastAsia="Times New Roman" w:hAnsi="Times New Roman" w:cs="Times New Roman"/>
                <w:sz w:val="26"/>
                <w:szCs w:val="26"/>
              </w:rPr>
              <w:t xml:space="preserve"> gan lai izpildītu Likuma deleģējumu, gan lai veicinātu tiesisko noteiktību, savlaicīgi informējot nodokļu maksātāju par attiecīgajiem atvieglojumiem, gan </w:t>
            </w:r>
            <w:r w:rsidR="00BC2F03" w:rsidRPr="00EC5819">
              <w:rPr>
                <w:rFonts w:ascii="Times New Roman" w:eastAsia="Times New Roman" w:hAnsi="Times New Roman" w:cs="Times New Roman"/>
                <w:sz w:val="26"/>
                <w:szCs w:val="26"/>
              </w:rPr>
              <w:t>lai izvairītos no “normatīvo aktu plūdiem”</w:t>
            </w:r>
            <w:r w:rsidR="00354716" w:rsidRPr="00EC5819">
              <w:rPr>
                <w:rFonts w:ascii="Times New Roman" w:eastAsia="Times New Roman" w:hAnsi="Times New Roman" w:cs="Times New Roman"/>
                <w:sz w:val="26"/>
                <w:szCs w:val="26"/>
              </w:rPr>
              <w:t xml:space="preserve"> </w:t>
            </w:r>
            <w:r w:rsidR="00BC2F03" w:rsidRPr="00EC5819">
              <w:rPr>
                <w:rFonts w:ascii="Times New Roman" w:eastAsia="Times New Roman" w:hAnsi="Times New Roman" w:cs="Times New Roman"/>
                <w:sz w:val="26"/>
                <w:szCs w:val="26"/>
              </w:rPr>
              <w:t>(arī ievērojot Valsts kancelejas direktora 2017. gada 5. janvāra rezolūcijā Nr. 18/2016-UZD-592 un Tieslietu ministrijas 2018.gada 24.jūlija vēstulē Nr. 1-10/1885 minētos principus), ja noteikumu projekts tiktu nebūtiski grozīts uzreiz pēc tā pieņemšanas.</w:t>
            </w:r>
          </w:p>
          <w:p w:rsidR="00CE53C2" w:rsidRPr="00EC5819" w:rsidRDefault="00CE53C2" w:rsidP="00D12ED7">
            <w:pPr>
              <w:tabs>
                <w:tab w:val="left" w:pos="4455"/>
              </w:tabs>
              <w:spacing w:after="0" w:line="240" w:lineRule="auto"/>
              <w:jc w:val="both"/>
              <w:rPr>
                <w:rFonts w:ascii="Times New Roman" w:eastAsia="Times New Roman" w:hAnsi="Times New Roman" w:cs="Times New Roman"/>
                <w:sz w:val="26"/>
                <w:szCs w:val="26"/>
              </w:rPr>
            </w:pPr>
          </w:p>
          <w:p w:rsidR="00CF571D" w:rsidRPr="00EC5819" w:rsidRDefault="00CF571D" w:rsidP="00CF571D">
            <w:pPr>
              <w:tabs>
                <w:tab w:val="left" w:pos="4455"/>
              </w:tabs>
              <w:spacing w:after="0" w:line="240" w:lineRule="auto"/>
              <w:jc w:val="both"/>
              <w:rPr>
                <w:rFonts w:ascii="Times New Roman" w:eastAsia="Times New Roman" w:hAnsi="Times New Roman" w:cs="Times New Roman"/>
                <w:sz w:val="26"/>
                <w:szCs w:val="26"/>
              </w:rPr>
            </w:pPr>
            <w:r w:rsidRPr="00EC5819">
              <w:rPr>
                <w:rFonts w:ascii="Times New Roman" w:eastAsia="Times New Roman" w:hAnsi="Times New Roman" w:cs="Times New Roman"/>
                <w:sz w:val="26"/>
                <w:szCs w:val="26"/>
              </w:rPr>
              <w:t>Transfertcenu dokumentācijā norādāmā informācija pamatā balstīsies uz tiem pašiem principiem, atbilstoši kuriem Latvijas nodokļu maksātāji sagatavo transfertcenu dokumentāciju šobrīd, pirms noteikumu projekta pieņemšanas, taču noteikumu projektā ietvertais regulējums</w:t>
            </w:r>
            <w:r w:rsidR="00E43424" w:rsidRPr="00EC5819">
              <w:rPr>
                <w:rFonts w:ascii="Times New Roman" w:eastAsia="Times New Roman" w:hAnsi="Times New Roman" w:cs="Times New Roman"/>
                <w:sz w:val="26"/>
                <w:szCs w:val="26"/>
              </w:rPr>
              <w:t>,</w:t>
            </w:r>
            <w:r w:rsidRPr="00EC5819">
              <w:rPr>
                <w:rFonts w:ascii="Times New Roman" w:eastAsia="Times New Roman" w:hAnsi="Times New Roman" w:cs="Times New Roman"/>
                <w:sz w:val="26"/>
                <w:szCs w:val="26"/>
              </w:rPr>
              <w:t xml:space="preserve"> salīdzinot ar iepriekšēj</w:t>
            </w:r>
            <w:r w:rsidR="00E43424" w:rsidRPr="00EC5819">
              <w:rPr>
                <w:rFonts w:ascii="Times New Roman" w:eastAsia="Times New Roman" w:hAnsi="Times New Roman" w:cs="Times New Roman"/>
                <w:sz w:val="26"/>
                <w:szCs w:val="26"/>
              </w:rPr>
              <w:t>o</w:t>
            </w:r>
            <w:r w:rsidRPr="00EC5819">
              <w:rPr>
                <w:rFonts w:ascii="Times New Roman" w:eastAsia="Times New Roman" w:hAnsi="Times New Roman" w:cs="Times New Roman"/>
                <w:sz w:val="26"/>
                <w:szCs w:val="26"/>
              </w:rPr>
              <w:t xml:space="preserve"> regulējumu, būs detalizētāks, kā arī tajā uzsvars būs vairāk uz informāciju, kura attiecas uz visu starptautisko uzņēmumu grupu kopumā. Ņemot vērā minēto, noteikuma projektā paredzēts, ka:</w:t>
            </w:r>
          </w:p>
          <w:p w:rsidR="00E43424" w:rsidRPr="00EC5819" w:rsidRDefault="00CF571D" w:rsidP="00CF571D">
            <w:pPr>
              <w:numPr>
                <w:ilvl w:val="0"/>
                <w:numId w:val="7"/>
              </w:numPr>
              <w:tabs>
                <w:tab w:val="left" w:pos="4455"/>
              </w:tabs>
              <w:spacing w:after="0" w:line="240" w:lineRule="auto"/>
              <w:contextualSpacing/>
              <w:jc w:val="both"/>
              <w:rPr>
                <w:rFonts w:ascii="Times New Roman" w:eastAsia="Times New Roman" w:hAnsi="Times New Roman" w:cs="Times New Roman"/>
                <w:sz w:val="26"/>
                <w:szCs w:val="26"/>
              </w:rPr>
            </w:pPr>
            <w:r w:rsidRPr="00EC5819">
              <w:rPr>
                <w:rFonts w:ascii="Times New Roman" w:eastAsia="Times New Roman" w:hAnsi="Times New Roman" w:cs="Times New Roman"/>
                <w:sz w:val="26"/>
                <w:szCs w:val="26"/>
              </w:rPr>
              <w:t xml:space="preserve"> Globālajā dokumentācijā būs ietverta informācij</w:t>
            </w:r>
            <w:r w:rsidR="00E43424" w:rsidRPr="00EC5819">
              <w:rPr>
                <w:rFonts w:ascii="Times New Roman" w:eastAsia="Times New Roman" w:hAnsi="Times New Roman" w:cs="Times New Roman"/>
                <w:sz w:val="26"/>
                <w:szCs w:val="26"/>
              </w:rPr>
              <w:t>a</w:t>
            </w:r>
            <w:r w:rsidRPr="00EC5819">
              <w:rPr>
                <w:rFonts w:ascii="Times New Roman" w:eastAsia="Times New Roman" w:hAnsi="Times New Roman" w:cs="Times New Roman"/>
                <w:sz w:val="26"/>
                <w:szCs w:val="26"/>
              </w:rPr>
              <w:t xml:space="preserve"> par visas starptautisko uzņēmumu grupas saimniecisko darbību, tajā skaitā, par saimnieciskās darbības būtību, vispārējo transfertcenu politiku, kā arī ienākumu un globālo operāciju izvietojumu. Globālajā dokumentācijā ietveram</w:t>
            </w:r>
            <w:r w:rsidR="00E43424" w:rsidRPr="00EC5819">
              <w:rPr>
                <w:rFonts w:ascii="Times New Roman" w:eastAsia="Times New Roman" w:hAnsi="Times New Roman" w:cs="Times New Roman"/>
                <w:sz w:val="26"/>
                <w:szCs w:val="26"/>
              </w:rPr>
              <w:t>ā</w:t>
            </w:r>
            <w:r w:rsidRPr="00EC5819">
              <w:rPr>
                <w:rFonts w:ascii="Times New Roman" w:eastAsia="Times New Roman" w:hAnsi="Times New Roman" w:cs="Times New Roman"/>
                <w:sz w:val="26"/>
                <w:szCs w:val="26"/>
              </w:rPr>
              <w:t xml:space="preserve"> informācij</w:t>
            </w:r>
            <w:r w:rsidR="00E43424" w:rsidRPr="00EC5819">
              <w:rPr>
                <w:rFonts w:ascii="Times New Roman" w:eastAsia="Times New Roman" w:hAnsi="Times New Roman" w:cs="Times New Roman"/>
                <w:sz w:val="26"/>
                <w:szCs w:val="26"/>
              </w:rPr>
              <w:t>a</w:t>
            </w:r>
            <w:r w:rsidRPr="00EC5819">
              <w:rPr>
                <w:rFonts w:ascii="Times New Roman" w:eastAsia="Times New Roman" w:hAnsi="Times New Roman" w:cs="Times New Roman"/>
                <w:sz w:val="26"/>
                <w:szCs w:val="26"/>
              </w:rPr>
              <w:t xml:space="preserve"> būs iedalīta šādās piecās kategorijās: </w:t>
            </w:r>
          </w:p>
          <w:p w:rsidR="00E43424" w:rsidRPr="00EC5819" w:rsidRDefault="00CF571D" w:rsidP="00281052">
            <w:pPr>
              <w:tabs>
                <w:tab w:val="left" w:pos="4455"/>
                <w:tab w:val="left" w:pos="6161"/>
              </w:tabs>
              <w:spacing w:after="0" w:line="240" w:lineRule="auto"/>
              <w:ind w:left="1102"/>
              <w:contextualSpacing/>
              <w:jc w:val="both"/>
              <w:rPr>
                <w:rFonts w:ascii="Times New Roman" w:eastAsia="Times New Roman" w:hAnsi="Times New Roman" w:cs="Times New Roman"/>
                <w:sz w:val="26"/>
                <w:szCs w:val="26"/>
              </w:rPr>
            </w:pPr>
            <w:r w:rsidRPr="00EC5819">
              <w:rPr>
                <w:rFonts w:ascii="Times New Roman" w:eastAsia="Times New Roman" w:hAnsi="Times New Roman" w:cs="Times New Roman"/>
                <w:sz w:val="26"/>
                <w:szCs w:val="26"/>
              </w:rPr>
              <w:t>(1</w:t>
            </w:r>
            <w:r w:rsidR="00281052" w:rsidRPr="00EC5819">
              <w:rPr>
                <w:rFonts w:ascii="Times New Roman" w:eastAsia="Times New Roman" w:hAnsi="Times New Roman" w:cs="Times New Roman"/>
                <w:sz w:val="26"/>
                <w:szCs w:val="26"/>
              </w:rPr>
              <w:t>) </w:t>
            </w:r>
            <w:r w:rsidRPr="00EC5819">
              <w:rPr>
                <w:rFonts w:ascii="Times New Roman" w:eastAsia="Times New Roman" w:hAnsi="Times New Roman" w:cs="Times New Roman"/>
                <w:sz w:val="26"/>
                <w:szCs w:val="26"/>
              </w:rPr>
              <w:t xml:space="preserve">starptautiskas uzņēmumu grupas organizatoriskā struktūra; </w:t>
            </w:r>
          </w:p>
          <w:p w:rsidR="00E43424" w:rsidRPr="00EC5819" w:rsidRDefault="00CF571D" w:rsidP="00281052">
            <w:pPr>
              <w:tabs>
                <w:tab w:val="left" w:pos="4455"/>
                <w:tab w:val="left" w:pos="6161"/>
              </w:tabs>
              <w:spacing w:after="0" w:line="240" w:lineRule="auto"/>
              <w:ind w:left="1102"/>
              <w:contextualSpacing/>
              <w:jc w:val="both"/>
              <w:rPr>
                <w:rFonts w:ascii="Times New Roman" w:eastAsia="Times New Roman" w:hAnsi="Times New Roman" w:cs="Times New Roman"/>
                <w:sz w:val="26"/>
                <w:szCs w:val="26"/>
              </w:rPr>
            </w:pPr>
            <w:r w:rsidRPr="00EC5819">
              <w:rPr>
                <w:rFonts w:ascii="Times New Roman" w:eastAsia="Times New Roman" w:hAnsi="Times New Roman" w:cs="Times New Roman"/>
                <w:sz w:val="26"/>
                <w:szCs w:val="26"/>
              </w:rPr>
              <w:t>(2</w:t>
            </w:r>
            <w:r w:rsidR="00281052" w:rsidRPr="00EC5819">
              <w:rPr>
                <w:rFonts w:ascii="Times New Roman" w:eastAsia="Times New Roman" w:hAnsi="Times New Roman" w:cs="Times New Roman"/>
                <w:sz w:val="26"/>
                <w:szCs w:val="26"/>
              </w:rPr>
              <w:t>) </w:t>
            </w:r>
            <w:r w:rsidRPr="00EC5819">
              <w:rPr>
                <w:rFonts w:ascii="Times New Roman" w:eastAsia="Times New Roman" w:hAnsi="Times New Roman" w:cs="Times New Roman"/>
                <w:sz w:val="26"/>
                <w:szCs w:val="26"/>
              </w:rPr>
              <w:t xml:space="preserve">starptautiskās uzņēmumu grupas saimnieciskās darbības veidu apraksts; </w:t>
            </w:r>
          </w:p>
          <w:p w:rsidR="00E43424" w:rsidRPr="00EC5819" w:rsidRDefault="00CF571D" w:rsidP="00281052">
            <w:pPr>
              <w:tabs>
                <w:tab w:val="left" w:pos="4455"/>
                <w:tab w:val="left" w:pos="6161"/>
              </w:tabs>
              <w:spacing w:after="0" w:line="240" w:lineRule="auto"/>
              <w:ind w:left="1102"/>
              <w:contextualSpacing/>
              <w:jc w:val="both"/>
              <w:rPr>
                <w:rFonts w:ascii="Times New Roman" w:eastAsia="Times New Roman" w:hAnsi="Times New Roman" w:cs="Times New Roman"/>
                <w:sz w:val="26"/>
                <w:szCs w:val="26"/>
              </w:rPr>
            </w:pPr>
            <w:r w:rsidRPr="00EC5819">
              <w:rPr>
                <w:rFonts w:ascii="Times New Roman" w:eastAsia="Times New Roman" w:hAnsi="Times New Roman" w:cs="Times New Roman"/>
                <w:sz w:val="26"/>
                <w:szCs w:val="26"/>
              </w:rPr>
              <w:t>(3</w:t>
            </w:r>
            <w:r w:rsidR="00281052" w:rsidRPr="00EC5819">
              <w:rPr>
                <w:rFonts w:ascii="Times New Roman" w:eastAsia="Times New Roman" w:hAnsi="Times New Roman" w:cs="Times New Roman"/>
                <w:sz w:val="26"/>
                <w:szCs w:val="26"/>
              </w:rPr>
              <w:t>) </w:t>
            </w:r>
            <w:r w:rsidRPr="00EC5819">
              <w:rPr>
                <w:rFonts w:ascii="Times New Roman" w:eastAsia="Times New Roman" w:hAnsi="Times New Roman" w:cs="Times New Roman"/>
                <w:sz w:val="26"/>
                <w:szCs w:val="26"/>
              </w:rPr>
              <w:t xml:space="preserve">starptautiskas uzņēmumu grupas nemateriālais īpašums; </w:t>
            </w:r>
          </w:p>
          <w:p w:rsidR="00E43424" w:rsidRPr="00EC5819" w:rsidRDefault="00CF571D" w:rsidP="00281052">
            <w:pPr>
              <w:tabs>
                <w:tab w:val="left" w:pos="4455"/>
                <w:tab w:val="left" w:pos="6161"/>
              </w:tabs>
              <w:spacing w:after="0" w:line="240" w:lineRule="auto"/>
              <w:ind w:left="1102"/>
              <w:contextualSpacing/>
              <w:jc w:val="both"/>
              <w:rPr>
                <w:rFonts w:ascii="Times New Roman" w:eastAsia="Times New Roman" w:hAnsi="Times New Roman" w:cs="Times New Roman"/>
                <w:sz w:val="26"/>
                <w:szCs w:val="26"/>
              </w:rPr>
            </w:pPr>
            <w:r w:rsidRPr="00EC5819">
              <w:rPr>
                <w:rFonts w:ascii="Times New Roman" w:eastAsia="Times New Roman" w:hAnsi="Times New Roman" w:cs="Times New Roman"/>
                <w:sz w:val="26"/>
                <w:szCs w:val="26"/>
              </w:rPr>
              <w:t>(4</w:t>
            </w:r>
            <w:r w:rsidR="00281052" w:rsidRPr="00EC5819">
              <w:rPr>
                <w:rFonts w:ascii="Times New Roman" w:eastAsia="Times New Roman" w:hAnsi="Times New Roman" w:cs="Times New Roman"/>
                <w:sz w:val="26"/>
                <w:szCs w:val="26"/>
              </w:rPr>
              <w:t>) </w:t>
            </w:r>
            <w:r w:rsidRPr="00EC5819">
              <w:rPr>
                <w:rFonts w:ascii="Times New Roman" w:eastAsia="Times New Roman" w:hAnsi="Times New Roman" w:cs="Times New Roman"/>
                <w:sz w:val="26"/>
                <w:szCs w:val="26"/>
              </w:rPr>
              <w:t xml:space="preserve">starptautiskas uzņēmumu grupas ietvaros veiktie finanšu darījumi; </w:t>
            </w:r>
          </w:p>
          <w:p w:rsidR="00CF571D" w:rsidRPr="00EC5819" w:rsidRDefault="00CF571D" w:rsidP="00281052">
            <w:pPr>
              <w:tabs>
                <w:tab w:val="left" w:pos="4455"/>
                <w:tab w:val="left" w:pos="6161"/>
              </w:tabs>
              <w:spacing w:after="0" w:line="240" w:lineRule="auto"/>
              <w:ind w:left="1102"/>
              <w:contextualSpacing/>
              <w:jc w:val="both"/>
              <w:rPr>
                <w:rFonts w:ascii="Times New Roman" w:eastAsia="Times New Roman" w:hAnsi="Times New Roman" w:cs="Times New Roman"/>
                <w:sz w:val="26"/>
                <w:szCs w:val="26"/>
              </w:rPr>
            </w:pPr>
            <w:r w:rsidRPr="00EC5819">
              <w:rPr>
                <w:rFonts w:ascii="Times New Roman" w:eastAsia="Times New Roman" w:hAnsi="Times New Roman" w:cs="Times New Roman"/>
                <w:sz w:val="26"/>
                <w:szCs w:val="26"/>
              </w:rPr>
              <w:t>(5</w:t>
            </w:r>
            <w:r w:rsidR="00281052" w:rsidRPr="00EC5819">
              <w:rPr>
                <w:rFonts w:ascii="Times New Roman" w:eastAsia="Times New Roman" w:hAnsi="Times New Roman" w:cs="Times New Roman"/>
                <w:sz w:val="26"/>
                <w:szCs w:val="26"/>
              </w:rPr>
              <w:t>) </w:t>
            </w:r>
            <w:r w:rsidRPr="00EC5819">
              <w:rPr>
                <w:rFonts w:ascii="Times New Roman" w:eastAsia="Times New Roman" w:hAnsi="Times New Roman" w:cs="Times New Roman"/>
                <w:sz w:val="26"/>
                <w:szCs w:val="26"/>
              </w:rPr>
              <w:t>starptautiskas uzņēmumu grupas finanšu un nodokļu posteņi</w:t>
            </w:r>
            <w:r w:rsidR="00E43424" w:rsidRPr="00EC5819">
              <w:rPr>
                <w:rFonts w:ascii="Times New Roman" w:eastAsia="Times New Roman" w:hAnsi="Times New Roman" w:cs="Times New Roman"/>
                <w:sz w:val="26"/>
                <w:szCs w:val="26"/>
              </w:rPr>
              <w:t>.</w:t>
            </w:r>
          </w:p>
          <w:p w:rsidR="00CF571D" w:rsidRPr="00EC5819" w:rsidRDefault="00CF571D" w:rsidP="00CF571D">
            <w:pPr>
              <w:numPr>
                <w:ilvl w:val="0"/>
                <w:numId w:val="7"/>
              </w:numPr>
              <w:tabs>
                <w:tab w:val="left" w:pos="4455"/>
              </w:tabs>
              <w:spacing w:after="0" w:line="240" w:lineRule="auto"/>
              <w:contextualSpacing/>
              <w:jc w:val="both"/>
              <w:rPr>
                <w:rFonts w:ascii="Times New Roman" w:eastAsia="Times New Roman" w:hAnsi="Times New Roman" w:cs="Times New Roman"/>
                <w:sz w:val="26"/>
                <w:szCs w:val="26"/>
              </w:rPr>
            </w:pPr>
            <w:r w:rsidRPr="00EC5819">
              <w:rPr>
                <w:rFonts w:ascii="Times New Roman" w:eastAsia="Times New Roman" w:hAnsi="Times New Roman" w:cs="Times New Roman"/>
                <w:sz w:val="26"/>
                <w:szCs w:val="26"/>
              </w:rPr>
              <w:t>Vietējā dokumentācijā būs ietverta informācij</w:t>
            </w:r>
            <w:r w:rsidR="00E43424" w:rsidRPr="00EC5819">
              <w:rPr>
                <w:rFonts w:ascii="Times New Roman" w:eastAsia="Times New Roman" w:hAnsi="Times New Roman" w:cs="Times New Roman"/>
                <w:sz w:val="26"/>
                <w:szCs w:val="26"/>
              </w:rPr>
              <w:t>a</w:t>
            </w:r>
            <w:r w:rsidRPr="00EC5819">
              <w:rPr>
                <w:rFonts w:ascii="Times New Roman" w:eastAsia="Times New Roman" w:hAnsi="Times New Roman" w:cs="Times New Roman"/>
                <w:sz w:val="26"/>
                <w:szCs w:val="26"/>
              </w:rPr>
              <w:t xml:space="preserve"> galvenokārt par vietējā nodokļu maksātāja būtiskiem kontrolētiem darījumiem. Vietējā dokumentācijā ietvertā informācija papildina globālajā dokumentācijā ietverto informāciju, un tās mērķis ir pamatot, ka kontrolētajā darījumā, kas ietekmē vietējā uzņēmuma nodokļ</w:t>
            </w:r>
            <w:r w:rsidR="00E43424" w:rsidRPr="00EC5819">
              <w:rPr>
                <w:rFonts w:ascii="Times New Roman" w:eastAsia="Times New Roman" w:hAnsi="Times New Roman" w:cs="Times New Roman"/>
                <w:sz w:val="26"/>
                <w:szCs w:val="26"/>
              </w:rPr>
              <w:t>u</w:t>
            </w:r>
            <w:r w:rsidRPr="00EC5819">
              <w:rPr>
                <w:rFonts w:ascii="Times New Roman" w:eastAsia="Times New Roman" w:hAnsi="Times New Roman" w:cs="Times New Roman"/>
                <w:sz w:val="26"/>
                <w:szCs w:val="26"/>
              </w:rPr>
              <w:t xml:space="preserve"> slogu, noteiktā cena (vērtība) atbilst tirgus cenai (vērtībai). Vietējā dokumentācija satur transfertcenu analīzi saistībā ar vietējā nodokļu maksātāja veikto kontrolēto darījumu, tajā skaitā, attiecīgo finanšu informāciju, salīdzināmības analīzi, pamatojumu transfertcenu metodes izvēlei, kā arī atseviš</w:t>
            </w:r>
            <w:r w:rsidR="00E43424" w:rsidRPr="00EC5819">
              <w:rPr>
                <w:rFonts w:ascii="Times New Roman" w:eastAsia="Times New Roman" w:hAnsi="Times New Roman" w:cs="Times New Roman"/>
                <w:sz w:val="26"/>
                <w:szCs w:val="26"/>
              </w:rPr>
              <w:t>ķ</w:t>
            </w:r>
            <w:r w:rsidRPr="00EC5819">
              <w:rPr>
                <w:rFonts w:ascii="Times New Roman" w:eastAsia="Times New Roman" w:hAnsi="Times New Roman" w:cs="Times New Roman"/>
                <w:sz w:val="26"/>
                <w:szCs w:val="26"/>
              </w:rPr>
              <w:t>us globālās dokumentācijas elementus gadījumos, kad nodokļu maksātājam nav pienākuma sagatavot glo</w:t>
            </w:r>
            <w:r w:rsidR="00E43424" w:rsidRPr="00EC5819">
              <w:rPr>
                <w:rFonts w:ascii="Times New Roman" w:eastAsia="Times New Roman" w:hAnsi="Times New Roman" w:cs="Times New Roman"/>
                <w:sz w:val="26"/>
                <w:szCs w:val="26"/>
              </w:rPr>
              <w:t>b</w:t>
            </w:r>
            <w:r w:rsidRPr="00EC5819">
              <w:rPr>
                <w:rFonts w:ascii="Times New Roman" w:eastAsia="Times New Roman" w:hAnsi="Times New Roman" w:cs="Times New Roman"/>
                <w:sz w:val="26"/>
                <w:szCs w:val="26"/>
              </w:rPr>
              <w:t>ālo dokumentāciju.</w:t>
            </w:r>
          </w:p>
          <w:p w:rsidR="004C500C" w:rsidRPr="00EC5819" w:rsidRDefault="000017B3" w:rsidP="00D12ED7">
            <w:pPr>
              <w:numPr>
                <w:ilvl w:val="0"/>
                <w:numId w:val="7"/>
              </w:numPr>
              <w:tabs>
                <w:tab w:val="left" w:pos="4455"/>
              </w:tabs>
              <w:spacing w:after="0" w:line="240" w:lineRule="auto"/>
              <w:contextualSpacing/>
              <w:jc w:val="both"/>
              <w:rPr>
                <w:rFonts w:ascii="Times New Roman" w:eastAsia="Times New Roman" w:hAnsi="Times New Roman" w:cs="Times New Roman"/>
                <w:sz w:val="26"/>
                <w:szCs w:val="26"/>
              </w:rPr>
            </w:pPr>
            <w:r w:rsidRPr="00EC5819">
              <w:rPr>
                <w:rFonts w:ascii="Times New Roman" w:eastAsia="Times New Roman" w:hAnsi="Times New Roman" w:cs="Times New Roman"/>
                <w:sz w:val="26"/>
                <w:szCs w:val="26"/>
              </w:rPr>
              <w:t>Vienkāršotajā dokumentācijā būs ietverta informācija galvenokārt</w:t>
            </w:r>
            <w:r w:rsidR="00936FC7" w:rsidRPr="00EC5819">
              <w:rPr>
                <w:rFonts w:ascii="Times New Roman" w:eastAsia="Times New Roman" w:hAnsi="Times New Roman" w:cs="Times New Roman"/>
                <w:sz w:val="26"/>
                <w:szCs w:val="26"/>
              </w:rPr>
              <w:t>,</w:t>
            </w:r>
            <w:r w:rsidRPr="00EC5819">
              <w:rPr>
                <w:rFonts w:ascii="Times New Roman" w:eastAsia="Times New Roman" w:hAnsi="Times New Roman" w:cs="Times New Roman"/>
                <w:sz w:val="26"/>
                <w:szCs w:val="26"/>
              </w:rPr>
              <w:t xml:space="preserve"> lai pamatotu zemas pievienotās vērtības pakalpojumu (piemēram, grāmatvedības, juridisko, IT atbalsta u.tml.) nepieciešamību, to sniegšanas faktu un faktiskos izdevumus.</w:t>
            </w:r>
          </w:p>
          <w:p w:rsidR="00D12ED7" w:rsidRPr="00EC5819" w:rsidRDefault="00D12ED7" w:rsidP="00281052">
            <w:pPr>
              <w:tabs>
                <w:tab w:val="left" w:pos="4455"/>
              </w:tabs>
              <w:spacing w:after="0" w:line="240" w:lineRule="auto"/>
              <w:ind w:left="720"/>
              <w:contextualSpacing/>
              <w:jc w:val="both"/>
              <w:rPr>
                <w:rFonts w:ascii="Times New Roman" w:eastAsia="Times New Roman" w:hAnsi="Times New Roman" w:cs="Times New Roman"/>
                <w:sz w:val="26"/>
                <w:szCs w:val="26"/>
              </w:rPr>
            </w:pPr>
          </w:p>
          <w:p w:rsidR="00CF571D" w:rsidRPr="00EC5819" w:rsidRDefault="00CF571D" w:rsidP="00CF571D">
            <w:pPr>
              <w:tabs>
                <w:tab w:val="left" w:pos="4455"/>
              </w:tabs>
              <w:spacing w:after="0" w:line="240" w:lineRule="auto"/>
              <w:jc w:val="both"/>
              <w:rPr>
                <w:rFonts w:ascii="Times New Roman" w:eastAsia="Times New Roman" w:hAnsi="Times New Roman" w:cs="Times New Roman"/>
                <w:b/>
                <w:sz w:val="26"/>
                <w:szCs w:val="26"/>
                <w:u w:val="single"/>
              </w:rPr>
            </w:pPr>
            <w:r w:rsidRPr="00EC5819">
              <w:rPr>
                <w:rFonts w:ascii="Times New Roman" w:eastAsia="Times New Roman" w:hAnsi="Times New Roman" w:cs="Times New Roman"/>
                <w:b/>
                <w:sz w:val="26"/>
                <w:szCs w:val="26"/>
                <w:u w:val="single"/>
              </w:rPr>
              <w:t>Par iepriekšējas vienošanās līguma regulējumu</w:t>
            </w:r>
          </w:p>
          <w:p w:rsidR="00CF571D" w:rsidRPr="00EC5819" w:rsidRDefault="00CF571D" w:rsidP="00CF571D">
            <w:pPr>
              <w:tabs>
                <w:tab w:val="left" w:pos="4455"/>
              </w:tabs>
              <w:spacing w:after="0" w:line="240" w:lineRule="auto"/>
              <w:jc w:val="both"/>
              <w:rPr>
                <w:rFonts w:ascii="Times New Roman" w:eastAsia="Times New Roman" w:hAnsi="Times New Roman" w:cs="Times New Roman"/>
                <w:sz w:val="26"/>
                <w:szCs w:val="26"/>
              </w:rPr>
            </w:pPr>
            <w:r w:rsidRPr="00EC5819">
              <w:rPr>
                <w:rFonts w:ascii="Times New Roman" w:eastAsia="Times New Roman" w:hAnsi="Times New Roman" w:cs="Times New Roman"/>
                <w:sz w:val="26"/>
                <w:szCs w:val="26"/>
              </w:rPr>
              <w:t>Iepriekšējas vienošanās noslēgšana, ņemo</w:t>
            </w:r>
            <w:r w:rsidR="00E43424" w:rsidRPr="00EC5819">
              <w:rPr>
                <w:rFonts w:ascii="Times New Roman" w:eastAsia="Times New Roman" w:hAnsi="Times New Roman" w:cs="Times New Roman"/>
                <w:sz w:val="26"/>
                <w:szCs w:val="26"/>
              </w:rPr>
              <w:t>t</w:t>
            </w:r>
            <w:r w:rsidRPr="00EC5819">
              <w:rPr>
                <w:rFonts w:ascii="Times New Roman" w:eastAsia="Times New Roman" w:hAnsi="Times New Roman" w:cs="Times New Roman"/>
                <w:sz w:val="26"/>
                <w:szCs w:val="26"/>
              </w:rPr>
              <w:t xml:space="preserve"> vērā tās sais</w:t>
            </w:r>
            <w:r w:rsidR="00E43424" w:rsidRPr="00EC5819">
              <w:rPr>
                <w:rFonts w:ascii="Times New Roman" w:eastAsia="Times New Roman" w:hAnsi="Times New Roman" w:cs="Times New Roman"/>
                <w:sz w:val="26"/>
                <w:szCs w:val="26"/>
              </w:rPr>
              <w:t>t</w:t>
            </w:r>
            <w:r w:rsidRPr="00EC5819">
              <w:rPr>
                <w:rFonts w:ascii="Times New Roman" w:eastAsia="Times New Roman" w:hAnsi="Times New Roman" w:cs="Times New Roman"/>
                <w:sz w:val="26"/>
                <w:szCs w:val="26"/>
              </w:rPr>
              <w:t>ošo spēku nodokļu administrācijai, ir veids, kādā nodrošināt tiesisko noteiktību transfertcenu jomā, un izvairīties no potenciāliem strīdiem par to, kādu cenu nodokļu maksātājam bija jāpiemēro konkrētajā darījumā ar saistītu ārvalstu komercsabiedrību.</w:t>
            </w:r>
          </w:p>
          <w:p w:rsidR="00CF571D" w:rsidRPr="00EC5819" w:rsidRDefault="00CF571D" w:rsidP="00CF571D">
            <w:pPr>
              <w:tabs>
                <w:tab w:val="left" w:pos="4455"/>
              </w:tabs>
              <w:spacing w:after="0" w:line="240" w:lineRule="auto"/>
              <w:jc w:val="both"/>
              <w:rPr>
                <w:rFonts w:ascii="Times New Roman" w:eastAsia="Times New Roman" w:hAnsi="Times New Roman" w:cs="Times New Roman"/>
                <w:sz w:val="26"/>
                <w:szCs w:val="26"/>
              </w:rPr>
            </w:pPr>
            <w:r w:rsidRPr="00EC5819">
              <w:rPr>
                <w:rFonts w:ascii="Times New Roman" w:eastAsia="Times New Roman" w:hAnsi="Times New Roman" w:cs="Times New Roman"/>
                <w:sz w:val="26"/>
                <w:szCs w:val="26"/>
              </w:rPr>
              <w:t>Šobrīd iepriekšējas vienošan</w:t>
            </w:r>
            <w:r w:rsidR="00E43424" w:rsidRPr="00EC5819">
              <w:rPr>
                <w:rFonts w:ascii="Times New Roman" w:eastAsia="Times New Roman" w:hAnsi="Times New Roman" w:cs="Times New Roman"/>
                <w:sz w:val="26"/>
                <w:szCs w:val="26"/>
              </w:rPr>
              <w:t>ā</w:t>
            </w:r>
            <w:r w:rsidRPr="00EC5819">
              <w:rPr>
                <w:rFonts w:ascii="Times New Roman" w:eastAsia="Times New Roman" w:hAnsi="Times New Roman" w:cs="Times New Roman"/>
                <w:sz w:val="26"/>
                <w:szCs w:val="26"/>
              </w:rPr>
              <w:t>s tiesiskais regulējums ir ietverts Ministru kabineta 2013.gada 3.janvāra noteikum</w:t>
            </w:r>
            <w:r w:rsidR="00E43424" w:rsidRPr="00EC5819">
              <w:rPr>
                <w:rFonts w:ascii="Times New Roman" w:eastAsia="Times New Roman" w:hAnsi="Times New Roman" w:cs="Times New Roman"/>
                <w:sz w:val="26"/>
                <w:szCs w:val="26"/>
              </w:rPr>
              <w:t>os</w:t>
            </w:r>
            <w:r w:rsidRPr="00EC5819">
              <w:rPr>
                <w:rFonts w:ascii="Times New Roman" w:eastAsia="Times New Roman" w:hAnsi="Times New Roman" w:cs="Times New Roman"/>
                <w:sz w:val="26"/>
                <w:szCs w:val="26"/>
              </w:rPr>
              <w:t xml:space="preserve"> Nr.16 “Kārtība, kādā noslēdzama nodokļu maksātāja un nodokļu administrācijas iepriekšēja vienošanās par tirgus cenas (vērtības) noteikšanu darījumam vai darījumu veidam”. Iepriekšējas vienošanās noslēgšanas procesā būtiska loma ir informācijai, kādu iesniedz nodokļu maksātājs nodokļu administrācijai, lai pamatotu savu viedokli par konkrētajam darījumam piemērojamo tirgus cenu. Minētā informācija būtībā sakrīt ar informāciju, kādu nodokļu maksātājs norāda transf</w:t>
            </w:r>
            <w:r w:rsidR="00E43424" w:rsidRPr="00EC5819">
              <w:rPr>
                <w:rFonts w:ascii="Times New Roman" w:eastAsia="Times New Roman" w:hAnsi="Times New Roman" w:cs="Times New Roman"/>
                <w:sz w:val="26"/>
                <w:szCs w:val="26"/>
              </w:rPr>
              <w:t>e</w:t>
            </w:r>
            <w:r w:rsidRPr="00EC5819">
              <w:rPr>
                <w:rFonts w:ascii="Times New Roman" w:eastAsia="Times New Roman" w:hAnsi="Times New Roman" w:cs="Times New Roman"/>
                <w:sz w:val="26"/>
                <w:szCs w:val="26"/>
              </w:rPr>
              <w:t>rtcenu dokumentācijā. Iemesls tam ir apstāklis, ka</w:t>
            </w:r>
            <w:r w:rsidR="00E43424" w:rsidRPr="00EC5819">
              <w:rPr>
                <w:rFonts w:ascii="Times New Roman" w:eastAsia="Times New Roman" w:hAnsi="Times New Roman" w:cs="Times New Roman"/>
                <w:sz w:val="26"/>
                <w:szCs w:val="26"/>
              </w:rPr>
              <w:t>,</w:t>
            </w:r>
            <w:r w:rsidRPr="00EC5819">
              <w:rPr>
                <w:rFonts w:ascii="Times New Roman" w:eastAsia="Times New Roman" w:hAnsi="Times New Roman" w:cs="Times New Roman"/>
                <w:sz w:val="26"/>
                <w:szCs w:val="26"/>
              </w:rPr>
              <w:t xml:space="preserve"> gan sagatavojot transfertcenu dokumentāciju, gan slēdzot iepriekšēju vienošanos, tiek pamat</w:t>
            </w:r>
            <w:r w:rsidR="00E43424" w:rsidRPr="00EC5819">
              <w:rPr>
                <w:rFonts w:ascii="Times New Roman" w:eastAsia="Times New Roman" w:hAnsi="Times New Roman" w:cs="Times New Roman"/>
                <w:sz w:val="26"/>
                <w:szCs w:val="26"/>
              </w:rPr>
              <w:t>ota</w:t>
            </w:r>
            <w:r w:rsidRPr="00EC5819">
              <w:rPr>
                <w:rFonts w:ascii="Times New Roman" w:eastAsia="Times New Roman" w:hAnsi="Times New Roman" w:cs="Times New Roman"/>
                <w:sz w:val="26"/>
                <w:szCs w:val="26"/>
              </w:rPr>
              <w:t xml:space="preserve"> tirgus cena darījumam, kas veikts starp vienas starptautiskas uzņēmumu grupas komercsabiedrībām. Ņemot vērā, ka tiek grozītas prasības transfertcenu dokumentācijā, nepieciešams grozīt arī informāciju, kādu nodokļu maksātājs iesniedz, lai noslēgtu iepriekšēju vienošanos. Tā kā transfertcenu dokumentācijas prasības ir ietvertas šajā pašā noteikumu projektā, prasības informācijai, kādu nodokļu maksātājs ie</w:t>
            </w:r>
            <w:r w:rsidR="00A56125" w:rsidRPr="00EC5819">
              <w:rPr>
                <w:rFonts w:ascii="Times New Roman" w:eastAsia="Times New Roman" w:hAnsi="Times New Roman" w:cs="Times New Roman"/>
                <w:sz w:val="26"/>
                <w:szCs w:val="26"/>
              </w:rPr>
              <w:t>s</w:t>
            </w:r>
            <w:r w:rsidRPr="00EC5819">
              <w:rPr>
                <w:rFonts w:ascii="Times New Roman" w:eastAsia="Times New Roman" w:hAnsi="Times New Roman" w:cs="Times New Roman"/>
                <w:sz w:val="26"/>
                <w:szCs w:val="26"/>
              </w:rPr>
              <w:t>niedz nodokļu administrācijai</w:t>
            </w:r>
            <w:r w:rsidR="00A56125" w:rsidRPr="00EC5819">
              <w:rPr>
                <w:rFonts w:ascii="Times New Roman" w:eastAsia="Times New Roman" w:hAnsi="Times New Roman" w:cs="Times New Roman"/>
                <w:sz w:val="26"/>
                <w:szCs w:val="26"/>
              </w:rPr>
              <w:t>,</w:t>
            </w:r>
            <w:r w:rsidRPr="00EC5819">
              <w:rPr>
                <w:rFonts w:ascii="Times New Roman" w:eastAsia="Times New Roman" w:hAnsi="Times New Roman" w:cs="Times New Roman"/>
                <w:sz w:val="26"/>
                <w:szCs w:val="26"/>
              </w:rPr>
              <w:t xml:space="preserve"> lai noslēgtu iepriekšēju vienošan</w:t>
            </w:r>
            <w:r w:rsidR="00A56125" w:rsidRPr="00EC5819">
              <w:rPr>
                <w:rFonts w:ascii="Times New Roman" w:eastAsia="Times New Roman" w:hAnsi="Times New Roman" w:cs="Times New Roman"/>
                <w:sz w:val="26"/>
                <w:szCs w:val="26"/>
              </w:rPr>
              <w:t>o</w:t>
            </w:r>
            <w:r w:rsidRPr="00EC5819">
              <w:rPr>
                <w:rFonts w:ascii="Times New Roman" w:eastAsia="Times New Roman" w:hAnsi="Times New Roman" w:cs="Times New Roman"/>
                <w:sz w:val="26"/>
                <w:szCs w:val="26"/>
              </w:rPr>
              <w:t>s, vi</w:t>
            </w:r>
            <w:r w:rsidR="00A56125" w:rsidRPr="00EC5819">
              <w:rPr>
                <w:rFonts w:ascii="Times New Roman" w:eastAsia="Times New Roman" w:hAnsi="Times New Roman" w:cs="Times New Roman"/>
                <w:sz w:val="26"/>
                <w:szCs w:val="26"/>
              </w:rPr>
              <w:t>s</w:t>
            </w:r>
            <w:r w:rsidRPr="00EC5819">
              <w:rPr>
                <w:rFonts w:ascii="Times New Roman" w:eastAsia="Times New Roman" w:hAnsi="Times New Roman" w:cs="Times New Roman"/>
                <w:sz w:val="26"/>
                <w:szCs w:val="26"/>
              </w:rPr>
              <w:t xml:space="preserve">lietderīgāk ir noteikt </w:t>
            </w:r>
            <w:r w:rsidR="00A56125" w:rsidRPr="00EC5819">
              <w:rPr>
                <w:rFonts w:ascii="Times New Roman" w:eastAsia="Times New Roman" w:hAnsi="Times New Roman" w:cs="Times New Roman"/>
                <w:sz w:val="26"/>
                <w:szCs w:val="26"/>
              </w:rPr>
              <w:t xml:space="preserve">ar </w:t>
            </w:r>
            <w:r w:rsidRPr="00EC5819">
              <w:rPr>
                <w:rFonts w:ascii="Times New Roman" w:eastAsia="Times New Roman" w:hAnsi="Times New Roman" w:cs="Times New Roman"/>
                <w:sz w:val="26"/>
                <w:szCs w:val="26"/>
              </w:rPr>
              <w:t>atsauc</w:t>
            </w:r>
            <w:r w:rsidR="00A56125" w:rsidRPr="00EC5819">
              <w:rPr>
                <w:rFonts w:ascii="Times New Roman" w:eastAsia="Times New Roman" w:hAnsi="Times New Roman" w:cs="Times New Roman"/>
                <w:sz w:val="26"/>
                <w:szCs w:val="26"/>
              </w:rPr>
              <w:t>i</w:t>
            </w:r>
            <w:r w:rsidRPr="00EC5819">
              <w:rPr>
                <w:rFonts w:ascii="Times New Roman" w:eastAsia="Times New Roman" w:hAnsi="Times New Roman" w:cs="Times New Roman"/>
                <w:sz w:val="26"/>
                <w:szCs w:val="26"/>
              </w:rPr>
              <w:t xml:space="preserve"> </w:t>
            </w:r>
            <w:r w:rsidR="00A56125" w:rsidRPr="00EC5819">
              <w:rPr>
                <w:rFonts w:ascii="Times New Roman" w:eastAsia="Times New Roman" w:hAnsi="Times New Roman" w:cs="Times New Roman"/>
                <w:sz w:val="26"/>
                <w:szCs w:val="26"/>
              </w:rPr>
              <w:t xml:space="preserve">uz </w:t>
            </w:r>
            <w:r w:rsidRPr="00EC5819">
              <w:rPr>
                <w:rFonts w:ascii="Times New Roman" w:eastAsia="Times New Roman" w:hAnsi="Times New Roman" w:cs="Times New Roman"/>
                <w:sz w:val="26"/>
                <w:szCs w:val="26"/>
              </w:rPr>
              <w:t>prasībām transfertcenu dokumentācijai.</w:t>
            </w:r>
          </w:p>
          <w:p w:rsidR="00CF571D" w:rsidRPr="00EC5819" w:rsidRDefault="00CF571D" w:rsidP="00CF571D">
            <w:pPr>
              <w:tabs>
                <w:tab w:val="left" w:pos="4455"/>
              </w:tabs>
              <w:spacing w:after="0" w:line="240" w:lineRule="auto"/>
              <w:jc w:val="both"/>
              <w:rPr>
                <w:rFonts w:ascii="Times New Roman" w:eastAsia="Times New Roman" w:hAnsi="Times New Roman" w:cs="Times New Roman"/>
                <w:sz w:val="26"/>
                <w:szCs w:val="26"/>
              </w:rPr>
            </w:pPr>
            <w:r w:rsidRPr="00EC5819">
              <w:rPr>
                <w:rFonts w:ascii="Times New Roman" w:eastAsia="Times New Roman" w:hAnsi="Times New Roman" w:cs="Times New Roman"/>
                <w:sz w:val="26"/>
                <w:szCs w:val="26"/>
              </w:rPr>
              <w:t>Vienlaikus, ņemot vērā, ka Likumā veikts grozījums (16.</w:t>
            </w:r>
            <w:r w:rsidRPr="00EC5819">
              <w:rPr>
                <w:rFonts w:ascii="Times New Roman" w:eastAsia="Times New Roman" w:hAnsi="Times New Roman" w:cs="Times New Roman"/>
                <w:sz w:val="26"/>
                <w:szCs w:val="26"/>
                <w:vertAlign w:val="superscript"/>
              </w:rPr>
              <w:t>1</w:t>
            </w:r>
            <w:r w:rsidRPr="00EC5819">
              <w:rPr>
                <w:rFonts w:ascii="Times New Roman" w:eastAsia="Times New Roman" w:hAnsi="Times New Roman" w:cs="Times New Roman"/>
                <w:sz w:val="26"/>
                <w:szCs w:val="26"/>
              </w:rPr>
              <w:t>panta 1.</w:t>
            </w:r>
            <w:r w:rsidRPr="00EC5819">
              <w:rPr>
                <w:rFonts w:ascii="Times New Roman" w:eastAsia="Times New Roman" w:hAnsi="Times New Roman" w:cs="Times New Roman"/>
                <w:sz w:val="26"/>
                <w:szCs w:val="26"/>
                <w:vertAlign w:val="superscript"/>
              </w:rPr>
              <w:t>1</w:t>
            </w:r>
            <w:r w:rsidRPr="00EC5819">
              <w:rPr>
                <w:rFonts w:ascii="Times New Roman" w:eastAsia="Times New Roman" w:hAnsi="Times New Roman" w:cs="Times New Roman"/>
                <w:sz w:val="26"/>
                <w:szCs w:val="26"/>
              </w:rPr>
              <w:t>daļa), paredzot iespēju iepriekšējas vienošanās slēgt arī par iepriekšējiem pārskata gadiem, atbilstošs regulējums iestrādāts arī noteikumu projektā.</w:t>
            </w:r>
          </w:p>
          <w:p w:rsidR="00CF571D" w:rsidRPr="00EC5819" w:rsidRDefault="00CF571D" w:rsidP="00CF571D">
            <w:pPr>
              <w:tabs>
                <w:tab w:val="left" w:pos="4455"/>
              </w:tabs>
              <w:spacing w:after="0" w:line="240" w:lineRule="auto"/>
              <w:jc w:val="both"/>
              <w:rPr>
                <w:rFonts w:ascii="Times New Roman" w:eastAsia="Times New Roman" w:hAnsi="Times New Roman" w:cs="Times New Roman"/>
                <w:sz w:val="26"/>
                <w:szCs w:val="26"/>
              </w:rPr>
            </w:pPr>
            <w:r w:rsidRPr="00EC5819">
              <w:rPr>
                <w:rFonts w:ascii="Times New Roman" w:eastAsia="Times New Roman" w:hAnsi="Times New Roman" w:cs="Times New Roman"/>
                <w:sz w:val="26"/>
                <w:szCs w:val="26"/>
              </w:rPr>
              <w:t>Šobrīd iepriekšēju vienošan</w:t>
            </w:r>
            <w:r w:rsidR="00A56125" w:rsidRPr="00EC5819">
              <w:rPr>
                <w:rFonts w:ascii="Times New Roman" w:eastAsia="Times New Roman" w:hAnsi="Times New Roman" w:cs="Times New Roman"/>
                <w:sz w:val="26"/>
                <w:szCs w:val="26"/>
              </w:rPr>
              <w:t>o</w:t>
            </w:r>
            <w:r w:rsidRPr="00EC5819">
              <w:rPr>
                <w:rFonts w:ascii="Times New Roman" w:eastAsia="Times New Roman" w:hAnsi="Times New Roman" w:cs="Times New Roman"/>
                <w:sz w:val="26"/>
                <w:szCs w:val="26"/>
              </w:rPr>
              <w:t>s iespējams noslēgt uz periodu, kas nepārsniedz trīs gadus no iepriekšēj</w:t>
            </w:r>
            <w:r w:rsidR="00A56125" w:rsidRPr="00EC5819">
              <w:rPr>
                <w:rFonts w:ascii="Times New Roman" w:eastAsia="Times New Roman" w:hAnsi="Times New Roman" w:cs="Times New Roman"/>
                <w:sz w:val="26"/>
                <w:szCs w:val="26"/>
              </w:rPr>
              <w:t>ā</w:t>
            </w:r>
            <w:r w:rsidRPr="00EC5819">
              <w:rPr>
                <w:rFonts w:ascii="Times New Roman" w:eastAsia="Times New Roman" w:hAnsi="Times New Roman" w:cs="Times New Roman"/>
                <w:sz w:val="26"/>
                <w:szCs w:val="26"/>
              </w:rPr>
              <w:t>s vienošanās spēkā stāšanās. Taču</w:t>
            </w:r>
            <w:r w:rsidR="00873F4B" w:rsidRPr="00EC5819">
              <w:rPr>
                <w:rFonts w:ascii="Times New Roman" w:eastAsia="Times New Roman" w:hAnsi="Times New Roman" w:cs="Times New Roman"/>
                <w:sz w:val="26"/>
                <w:szCs w:val="26"/>
              </w:rPr>
              <w:t>, ņemot vērā, Likumā un noteikumu projektā pārskatītās prasības informācijai, kuru nodokļu maksātājs pievieno iesniegumam par iepriekšējas vienošanās noslēgšanu, kā arī ievērojot</w:t>
            </w:r>
            <w:r w:rsidRPr="00EC5819">
              <w:rPr>
                <w:rFonts w:ascii="Times New Roman" w:eastAsia="Times New Roman" w:hAnsi="Times New Roman" w:cs="Times New Roman"/>
                <w:sz w:val="26"/>
                <w:szCs w:val="26"/>
              </w:rPr>
              <w:t xml:space="preserve"> Valsts ieņēmumu dienesta </w:t>
            </w:r>
            <w:r w:rsidR="00A56125" w:rsidRPr="00EC5819">
              <w:rPr>
                <w:rFonts w:ascii="Times New Roman" w:eastAsia="Times New Roman" w:hAnsi="Times New Roman" w:cs="Times New Roman"/>
                <w:sz w:val="26"/>
                <w:szCs w:val="26"/>
              </w:rPr>
              <w:t xml:space="preserve">(turpmāk – VID) </w:t>
            </w:r>
            <w:r w:rsidRPr="00EC5819">
              <w:rPr>
                <w:rFonts w:ascii="Times New Roman" w:eastAsia="Times New Roman" w:hAnsi="Times New Roman" w:cs="Times New Roman"/>
                <w:sz w:val="26"/>
                <w:szCs w:val="26"/>
              </w:rPr>
              <w:t>uzkrāt</w:t>
            </w:r>
            <w:r w:rsidR="00873F4B" w:rsidRPr="00EC5819">
              <w:rPr>
                <w:rFonts w:ascii="Times New Roman" w:eastAsia="Times New Roman" w:hAnsi="Times New Roman" w:cs="Times New Roman"/>
                <w:sz w:val="26"/>
                <w:szCs w:val="26"/>
              </w:rPr>
              <w:t>o</w:t>
            </w:r>
            <w:r w:rsidRPr="00EC5819">
              <w:rPr>
                <w:rFonts w:ascii="Times New Roman" w:eastAsia="Times New Roman" w:hAnsi="Times New Roman" w:cs="Times New Roman"/>
                <w:sz w:val="26"/>
                <w:szCs w:val="26"/>
              </w:rPr>
              <w:t xml:space="preserve"> pieredz</w:t>
            </w:r>
            <w:r w:rsidR="00873F4B" w:rsidRPr="00EC5819">
              <w:rPr>
                <w:rFonts w:ascii="Times New Roman" w:eastAsia="Times New Roman" w:hAnsi="Times New Roman" w:cs="Times New Roman"/>
                <w:sz w:val="26"/>
                <w:szCs w:val="26"/>
              </w:rPr>
              <w:t>i</w:t>
            </w:r>
            <w:r w:rsidRPr="00EC5819">
              <w:rPr>
                <w:rFonts w:ascii="Times New Roman" w:eastAsia="Times New Roman" w:hAnsi="Times New Roman" w:cs="Times New Roman"/>
                <w:sz w:val="26"/>
                <w:szCs w:val="26"/>
              </w:rPr>
              <w:t xml:space="preserve"> iepriekšēju vienošan</w:t>
            </w:r>
            <w:r w:rsidR="00A56125" w:rsidRPr="00EC5819">
              <w:rPr>
                <w:rFonts w:ascii="Times New Roman" w:eastAsia="Times New Roman" w:hAnsi="Times New Roman" w:cs="Times New Roman"/>
                <w:sz w:val="26"/>
                <w:szCs w:val="26"/>
              </w:rPr>
              <w:t>o</w:t>
            </w:r>
            <w:r w:rsidRPr="00EC5819">
              <w:rPr>
                <w:rFonts w:ascii="Times New Roman" w:eastAsia="Times New Roman" w:hAnsi="Times New Roman" w:cs="Times New Roman"/>
                <w:sz w:val="26"/>
                <w:szCs w:val="26"/>
              </w:rPr>
              <w:t>s slēgšanā un to izpildes kontrolē liecina, ka, ņemot vērā transfertcenas noteikšanai būtisku apstākļu mainību laikā, vairākos gadījumos iepriekšēju vienošanos varētu slēgt arī uz ilgāku laiku – uz pieciem gadiem.</w:t>
            </w:r>
            <w:r w:rsidR="00873F4B" w:rsidRPr="00EC5819">
              <w:rPr>
                <w:rFonts w:ascii="Times New Roman" w:eastAsia="Times New Roman" w:hAnsi="Times New Roman" w:cs="Times New Roman"/>
                <w:sz w:val="26"/>
                <w:szCs w:val="26"/>
              </w:rPr>
              <w:t xml:space="preserve"> </w:t>
            </w:r>
            <w:r w:rsidRPr="00EC5819">
              <w:rPr>
                <w:rFonts w:ascii="Times New Roman" w:eastAsia="Times New Roman" w:hAnsi="Times New Roman" w:cs="Times New Roman"/>
                <w:sz w:val="26"/>
                <w:szCs w:val="26"/>
              </w:rPr>
              <w:t xml:space="preserve"> Tas nodrošinātu vēl lielāku tiesisko noteiktību nodokļu maksātājam, tādējādi veicinot iepriekšēju vienošanos slēgšanu, vienlaikus mazinot ie</w:t>
            </w:r>
            <w:r w:rsidR="00A56125" w:rsidRPr="00EC5819">
              <w:rPr>
                <w:rFonts w:ascii="Times New Roman" w:eastAsia="Times New Roman" w:hAnsi="Times New Roman" w:cs="Times New Roman"/>
                <w:sz w:val="26"/>
                <w:szCs w:val="26"/>
              </w:rPr>
              <w:t>s</w:t>
            </w:r>
            <w:r w:rsidRPr="00EC5819">
              <w:rPr>
                <w:rFonts w:ascii="Times New Roman" w:eastAsia="Times New Roman" w:hAnsi="Times New Roman" w:cs="Times New Roman"/>
                <w:sz w:val="26"/>
                <w:szCs w:val="26"/>
              </w:rPr>
              <w:t>pējamos transfertcenu riskus nākotnē. Ņemot vērā minēto, noteikumu projektā paredzēts, ka iepriekšēju vienošanos var slēgt uz periodu, kas nepārsniedz piecus gadus pēc iepriekšēj</w:t>
            </w:r>
            <w:r w:rsidR="00A56125" w:rsidRPr="00EC5819">
              <w:rPr>
                <w:rFonts w:ascii="Times New Roman" w:eastAsia="Times New Roman" w:hAnsi="Times New Roman" w:cs="Times New Roman"/>
                <w:sz w:val="26"/>
                <w:szCs w:val="26"/>
              </w:rPr>
              <w:t>ā</w:t>
            </w:r>
            <w:r w:rsidRPr="00EC5819">
              <w:rPr>
                <w:rFonts w:ascii="Times New Roman" w:eastAsia="Times New Roman" w:hAnsi="Times New Roman" w:cs="Times New Roman"/>
                <w:sz w:val="26"/>
                <w:szCs w:val="26"/>
              </w:rPr>
              <w:t>s vienošanās spēkā stāšanās.</w:t>
            </w:r>
          </w:p>
          <w:p w:rsidR="000E2F8C" w:rsidRPr="00EC5819" w:rsidRDefault="00CF571D" w:rsidP="00C15054">
            <w:pPr>
              <w:spacing w:after="0" w:line="240" w:lineRule="auto"/>
              <w:jc w:val="both"/>
              <w:rPr>
                <w:rFonts w:ascii="Times New Roman" w:eastAsia="Times New Roman" w:hAnsi="Times New Roman" w:cs="Times New Roman"/>
                <w:sz w:val="26"/>
                <w:szCs w:val="26"/>
                <w:lang w:eastAsia="lv-LV"/>
              </w:rPr>
            </w:pPr>
            <w:r w:rsidRPr="00EC5819">
              <w:rPr>
                <w:rFonts w:ascii="Times New Roman" w:eastAsia="Times New Roman" w:hAnsi="Times New Roman" w:cs="Times New Roman"/>
                <w:sz w:val="26"/>
                <w:szCs w:val="26"/>
              </w:rPr>
              <w:t xml:space="preserve">Atbilstoši Ministru kabineta 2009.gada 3.februāra noteikumu Nr.108 “Normatīvo aktu projektu sagatavošanas noteikumi” 140.punktam grozījumu noteikumu projektu nesagatavo, ja tā normu apjoms pārsniegtu pusi no spēkā esošo noteikumu normu apjoma. Šādā gadījumā sagatavo jaunu noteikumu projektu. Ievērojot minēto, netika sagatavoti grozījumi Ministru kabineta 2013.gada 3.janvāra noteikumos Nr.16 “Kārtība, kādā noslēdzama nodokļu maksātāja un nodokļu administrācijas iepriekšēja vienošanās par tirgus cenas (vērtības) noteikšanu darījumam vai darījumu veidam”, bet gan </w:t>
            </w:r>
            <w:r w:rsidR="00A56125" w:rsidRPr="00EC5819">
              <w:rPr>
                <w:rFonts w:ascii="Times New Roman" w:eastAsia="Times New Roman" w:hAnsi="Times New Roman" w:cs="Times New Roman"/>
                <w:sz w:val="26"/>
                <w:szCs w:val="26"/>
              </w:rPr>
              <w:t xml:space="preserve">tika </w:t>
            </w:r>
            <w:r w:rsidRPr="00EC5819">
              <w:rPr>
                <w:rFonts w:ascii="Times New Roman" w:eastAsia="Times New Roman" w:hAnsi="Times New Roman" w:cs="Times New Roman"/>
                <w:sz w:val="26"/>
                <w:szCs w:val="26"/>
              </w:rPr>
              <w:t>izstrādāti jauni Ministru kabineta noteikumi.</w:t>
            </w:r>
            <w:r w:rsidR="00CB02B3" w:rsidRPr="00EC5819">
              <w:rPr>
                <w:rFonts w:ascii="Times New Roman" w:eastAsia="Times New Roman" w:hAnsi="Times New Roman" w:cs="Times New Roman"/>
                <w:sz w:val="26"/>
                <w:szCs w:val="26"/>
              </w:rPr>
              <w:t xml:space="preserve"> Ņemot vērā minēto, paredzēts, ka ar noteikumu projekta pieņemšanu </w:t>
            </w:r>
            <w:r w:rsidR="00C15054" w:rsidRPr="00EC5819">
              <w:rPr>
                <w:rFonts w:ascii="Times New Roman" w:eastAsia="Times New Roman" w:hAnsi="Times New Roman" w:cs="Times New Roman"/>
                <w:sz w:val="26"/>
                <w:szCs w:val="26"/>
              </w:rPr>
              <w:t xml:space="preserve">zaudēs spēku </w:t>
            </w:r>
            <w:r w:rsidR="00CB02B3" w:rsidRPr="00EC5819">
              <w:rPr>
                <w:rFonts w:ascii="Times New Roman" w:eastAsia="Times New Roman" w:hAnsi="Times New Roman" w:cs="Times New Roman"/>
                <w:sz w:val="26"/>
                <w:szCs w:val="26"/>
              </w:rPr>
              <w:t>Ministru kabineta 2013.gada 3.janvāra noteikumi Nr.16 “Kārtība, kādā noslēdzama nodokļu maksātāja un nodokļu administrācijas iepriekšēja vienošanās par tirgus cenas (vērtības) noteikšanu darījumam vai darījumu veidam”.</w:t>
            </w:r>
          </w:p>
        </w:tc>
      </w:tr>
      <w:tr w:rsidR="0091261F" w:rsidRPr="00EC5819" w:rsidTr="00EE5179">
        <w:tc>
          <w:tcPr>
            <w:tcW w:w="297" w:type="pct"/>
            <w:tcBorders>
              <w:top w:val="outset" w:sz="6" w:space="0" w:color="414142"/>
              <w:left w:val="outset" w:sz="6" w:space="0" w:color="414142"/>
              <w:bottom w:val="outset" w:sz="6" w:space="0" w:color="414142"/>
              <w:right w:val="outset" w:sz="6" w:space="0" w:color="414142"/>
            </w:tcBorders>
            <w:hideMark/>
          </w:tcPr>
          <w:p w:rsidR="00543AA6" w:rsidRPr="00EC5819"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EC5819">
              <w:rPr>
                <w:rFonts w:ascii="Times New Roman" w:eastAsia="Times New Roman" w:hAnsi="Times New Roman" w:cs="Times New Roman"/>
                <w:sz w:val="26"/>
                <w:szCs w:val="26"/>
                <w:lang w:eastAsia="lv-LV"/>
              </w:rPr>
              <w:t>3.</w:t>
            </w:r>
          </w:p>
        </w:tc>
        <w:tc>
          <w:tcPr>
            <w:tcW w:w="1207" w:type="pct"/>
            <w:tcBorders>
              <w:top w:val="outset" w:sz="6" w:space="0" w:color="414142"/>
              <w:left w:val="outset" w:sz="6" w:space="0" w:color="414142"/>
              <w:bottom w:val="outset" w:sz="6" w:space="0" w:color="414142"/>
              <w:right w:val="outset" w:sz="6" w:space="0" w:color="414142"/>
            </w:tcBorders>
            <w:hideMark/>
          </w:tcPr>
          <w:p w:rsidR="00543AA6" w:rsidRPr="00EC5819" w:rsidRDefault="00543AA6" w:rsidP="00081A5D">
            <w:pPr>
              <w:spacing w:after="0" w:line="240" w:lineRule="auto"/>
              <w:jc w:val="both"/>
              <w:rPr>
                <w:rFonts w:ascii="Times New Roman" w:eastAsia="Times New Roman" w:hAnsi="Times New Roman" w:cs="Times New Roman"/>
                <w:sz w:val="26"/>
                <w:szCs w:val="26"/>
                <w:lang w:eastAsia="lv-LV"/>
              </w:rPr>
            </w:pPr>
            <w:r w:rsidRPr="00EC5819">
              <w:rPr>
                <w:rFonts w:ascii="Times New Roman" w:eastAsia="Times New Roman" w:hAnsi="Times New Roman" w:cs="Times New Roman"/>
                <w:sz w:val="26"/>
                <w:szCs w:val="26"/>
                <w:lang w:eastAsia="lv-LV"/>
              </w:rPr>
              <w:t>Projekta izstrādē iesaistītās institūcijas un publiskas personas kapitālsabiedrības</w:t>
            </w:r>
          </w:p>
        </w:tc>
        <w:tc>
          <w:tcPr>
            <w:tcW w:w="3496" w:type="pct"/>
            <w:tcBorders>
              <w:top w:val="outset" w:sz="6" w:space="0" w:color="414142"/>
              <w:left w:val="outset" w:sz="6" w:space="0" w:color="414142"/>
              <w:bottom w:val="outset" w:sz="6" w:space="0" w:color="414142"/>
              <w:right w:val="outset" w:sz="6" w:space="0" w:color="414142"/>
            </w:tcBorders>
            <w:hideMark/>
          </w:tcPr>
          <w:p w:rsidR="00543AA6" w:rsidRPr="00EC5819" w:rsidRDefault="00A75770" w:rsidP="00081A5D">
            <w:pPr>
              <w:spacing w:after="0" w:line="240" w:lineRule="auto"/>
              <w:jc w:val="both"/>
              <w:rPr>
                <w:rFonts w:ascii="Times New Roman" w:eastAsia="Times New Roman" w:hAnsi="Times New Roman" w:cs="Times New Roman"/>
                <w:i/>
                <w:sz w:val="28"/>
                <w:szCs w:val="28"/>
                <w:lang w:eastAsia="lv-LV"/>
              </w:rPr>
            </w:pPr>
            <w:r w:rsidRPr="00EC5819">
              <w:rPr>
                <w:rFonts w:ascii="Times New Roman" w:eastAsia="Times New Roman" w:hAnsi="Times New Roman" w:cs="Times New Roman"/>
                <w:sz w:val="26"/>
                <w:szCs w:val="26"/>
                <w:lang w:eastAsia="lv-LV"/>
              </w:rPr>
              <w:t>Finanšu ministrija</w:t>
            </w:r>
            <w:r w:rsidR="00A56125" w:rsidRPr="00EC5819">
              <w:rPr>
                <w:rFonts w:ascii="Times New Roman" w:eastAsia="Times New Roman" w:hAnsi="Times New Roman" w:cs="Times New Roman"/>
                <w:sz w:val="26"/>
                <w:szCs w:val="26"/>
                <w:lang w:eastAsia="lv-LV"/>
              </w:rPr>
              <w:t xml:space="preserve"> un </w:t>
            </w:r>
            <w:r w:rsidRPr="00EC5819">
              <w:rPr>
                <w:rFonts w:ascii="Times New Roman" w:eastAsia="Times New Roman" w:hAnsi="Times New Roman" w:cs="Times New Roman"/>
                <w:sz w:val="26"/>
                <w:szCs w:val="26"/>
                <w:lang w:eastAsia="lv-LV"/>
              </w:rPr>
              <w:t>VID.</w:t>
            </w:r>
          </w:p>
          <w:p w:rsidR="00543AA6" w:rsidRPr="00EC5819" w:rsidRDefault="00543AA6" w:rsidP="00081A5D">
            <w:pPr>
              <w:spacing w:after="0" w:line="240" w:lineRule="auto"/>
              <w:jc w:val="both"/>
              <w:rPr>
                <w:rFonts w:ascii="Times New Roman" w:eastAsia="Times New Roman" w:hAnsi="Times New Roman" w:cs="Times New Roman"/>
                <w:i/>
                <w:sz w:val="28"/>
                <w:szCs w:val="28"/>
                <w:lang w:eastAsia="lv-LV"/>
              </w:rPr>
            </w:pPr>
          </w:p>
        </w:tc>
      </w:tr>
      <w:tr w:rsidR="00543AA6" w:rsidRPr="00EC5819" w:rsidTr="00EE5179">
        <w:tc>
          <w:tcPr>
            <w:tcW w:w="297" w:type="pct"/>
            <w:tcBorders>
              <w:top w:val="outset" w:sz="6" w:space="0" w:color="414142"/>
              <w:left w:val="outset" w:sz="6" w:space="0" w:color="414142"/>
              <w:bottom w:val="outset" w:sz="6" w:space="0" w:color="414142"/>
              <w:right w:val="outset" w:sz="6" w:space="0" w:color="414142"/>
            </w:tcBorders>
            <w:hideMark/>
          </w:tcPr>
          <w:p w:rsidR="00543AA6" w:rsidRPr="00EC5819"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EC5819">
              <w:rPr>
                <w:rFonts w:ascii="Times New Roman" w:eastAsia="Times New Roman" w:hAnsi="Times New Roman" w:cs="Times New Roman"/>
                <w:sz w:val="26"/>
                <w:szCs w:val="26"/>
                <w:lang w:eastAsia="lv-LV"/>
              </w:rPr>
              <w:t>4.</w:t>
            </w:r>
          </w:p>
        </w:tc>
        <w:tc>
          <w:tcPr>
            <w:tcW w:w="1207" w:type="pct"/>
            <w:tcBorders>
              <w:top w:val="outset" w:sz="6" w:space="0" w:color="414142"/>
              <w:left w:val="outset" w:sz="6" w:space="0" w:color="414142"/>
              <w:bottom w:val="outset" w:sz="6" w:space="0" w:color="414142"/>
              <w:right w:val="outset" w:sz="6" w:space="0" w:color="414142"/>
            </w:tcBorders>
            <w:hideMark/>
          </w:tcPr>
          <w:p w:rsidR="00543AA6" w:rsidRPr="00EC5819" w:rsidRDefault="00543AA6" w:rsidP="00081A5D">
            <w:pPr>
              <w:spacing w:after="0" w:line="240" w:lineRule="auto"/>
              <w:jc w:val="both"/>
              <w:rPr>
                <w:rFonts w:ascii="Times New Roman" w:eastAsia="Times New Roman" w:hAnsi="Times New Roman" w:cs="Times New Roman"/>
                <w:sz w:val="26"/>
                <w:szCs w:val="26"/>
                <w:lang w:eastAsia="lv-LV"/>
              </w:rPr>
            </w:pPr>
            <w:r w:rsidRPr="00EC5819">
              <w:rPr>
                <w:rFonts w:ascii="Times New Roman" w:eastAsia="Times New Roman" w:hAnsi="Times New Roman" w:cs="Times New Roman"/>
                <w:sz w:val="26"/>
                <w:szCs w:val="26"/>
                <w:lang w:eastAsia="lv-LV"/>
              </w:rPr>
              <w:t>Cita informācija</w:t>
            </w:r>
          </w:p>
        </w:tc>
        <w:tc>
          <w:tcPr>
            <w:tcW w:w="3496" w:type="pct"/>
            <w:tcBorders>
              <w:top w:val="outset" w:sz="6" w:space="0" w:color="414142"/>
              <w:left w:val="outset" w:sz="6" w:space="0" w:color="414142"/>
              <w:bottom w:val="outset" w:sz="6" w:space="0" w:color="414142"/>
              <w:right w:val="outset" w:sz="6" w:space="0" w:color="414142"/>
            </w:tcBorders>
            <w:hideMark/>
          </w:tcPr>
          <w:p w:rsidR="00543AA6" w:rsidRPr="00EC5819" w:rsidRDefault="00CF571D" w:rsidP="0011410C">
            <w:pPr>
              <w:spacing w:after="0" w:line="240" w:lineRule="auto"/>
              <w:jc w:val="both"/>
              <w:rPr>
                <w:rFonts w:ascii="Times New Roman" w:eastAsia="Times New Roman" w:hAnsi="Times New Roman" w:cs="Times New Roman"/>
                <w:sz w:val="26"/>
                <w:szCs w:val="26"/>
                <w:lang w:eastAsia="lv-LV"/>
              </w:rPr>
            </w:pPr>
            <w:r w:rsidRPr="00EC5819">
              <w:rPr>
                <w:rFonts w:ascii="Times New Roman" w:eastAsia="Times New Roman" w:hAnsi="Times New Roman" w:cs="Times New Roman"/>
                <w:sz w:val="26"/>
                <w:szCs w:val="26"/>
                <w:lang w:eastAsia="lv-LV"/>
              </w:rPr>
              <w:t>Noteikumu projektā paredzēt</w:t>
            </w:r>
            <w:r w:rsidR="00A56125" w:rsidRPr="00EC5819">
              <w:rPr>
                <w:rFonts w:ascii="Times New Roman" w:eastAsia="Times New Roman" w:hAnsi="Times New Roman" w:cs="Times New Roman"/>
                <w:sz w:val="26"/>
                <w:szCs w:val="26"/>
                <w:lang w:eastAsia="lv-LV"/>
              </w:rPr>
              <w:t>ajā</w:t>
            </w:r>
            <w:r w:rsidRPr="00EC5819">
              <w:rPr>
                <w:rFonts w:ascii="Times New Roman" w:eastAsia="Times New Roman" w:hAnsi="Times New Roman" w:cs="Times New Roman"/>
                <w:sz w:val="26"/>
                <w:szCs w:val="26"/>
                <w:lang w:eastAsia="lv-LV"/>
              </w:rPr>
              <w:t xml:space="preserve"> transfertcenu dokumentācijā ie</w:t>
            </w:r>
            <w:r w:rsidR="00A56125" w:rsidRPr="00EC5819">
              <w:rPr>
                <w:rFonts w:ascii="Times New Roman" w:eastAsia="Times New Roman" w:hAnsi="Times New Roman" w:cs="Times New Roman"/>
                <w:sz w:val="26"/>
                <w:szCs w:val="26"/>
                <w:lang w:eastAsia="lv-LV"/>
              </w:rPr>
              <w:t>kļaujamā</w:t>
            </w:r>
            <w:r w:rsidRPr="00EC5819">
              <w:rPr>
                <w:rFonts w:ascii="Times New Roman" w:eastAsia="Times New Roman" w:hAnsi="Times New Roman" w:cs="Times New Roman"/>
                <w:sz w:val="26"/>
                <w:szCs w:val="26"/>
                <w:lang w:eastAsia="lv-LV"/>
              </w:rPr>
              <w:t xml:space="preserve"> informācija sākotnēji bija ietverta likumprojektā “Grozījumi likumā “Par nodokļiem un nodevām”” (VSS-</w:t>
            </w:r>
            <w:r w:rsidR="000017B3" w:rsidRPr="00EC5819">
              <w:rPr>
                <w:rFonts w:ascii="Times New Roman" w:eastAsia="Times New Roman" w:hAnsi="Times New Roman" w:cs="Times New Roman"/>
                <w:sz w:val="26"/>
                <w:szCs w:val="26"/>
                <w:lang w:eastAsia="lv-LV"/>
              </w:rPr>
              <w:t>112</w:t>
            </w:r>
            <w:r w:rsidRPr="00EC5819">
              <w:rPr>
                <w:rFonts w:ascii="Times New Roman" w:eastAsia="Times New Roman" w:hAnsi="Times New Roman" w:cs="Times New Roman"/>
                <w:sz w:val="26"/>
                <w:szCs w:val="26"/>
                <w:lang w:eastAsia="lv-LV"/>
              </w:rPr>
              <w:t>5). Minētais likumprojekts redakcij</w:t>
            </w:r>
            <w:r w:rsidR="0011410C" w:rsidRPr="00EC5819">
              <w:rPr>
                <w:rFonts w:ascii="Times New Roman" w:eastAsia="Times New Roman" w:hAnsi="Times New Roman" w:cs="Times New Roman"/>
                <w:sz w:val="26"/>
                <w:szCs w:val="26"/>
                <w:lang w:eastAsia="lv-LV"/>
              </w:rPr>
              <w:t>ā</w:t>
            </w:r>
            <w:r w:rsidRPr="00EC5819">
              <w:rPr>
                <w:rFonts w:ascii="Times New Roman" w:eastAsia="Times New Roman" w:hAnsi="Times New Roman" w:cs="Times New Roman"/>
                <w:sz w:val="26"/>
                <w:szCs w:val="26"/>
                <w:lang w:eastAsia="lv-LV"/>
              </w:rPr>
              <w:t xml:space="preserve">, kurā ietvertas detalizētas transfertcenu dokumentācijas prasības, bija saskaņots bez iebildumiem ar </w:t>
            </w:r>
            <w:r w:rsidR="00A56125" w:rsidRPr="00EC5819">
              <w:rPr>
                <w:rFonts w:ascii="Times New Roman" w:eastAsia="Times New Roman" w:hAnsi="Times New Roman" w:cs="Times New Roman"/>
                <w:sz w:val="26"/>
                <w:szCs w:val="26"/>
                <w:lang w:eastAsia="lv-LV"/>
              </w:rPr>
              <w:t xml:space="preserve">iesaistītajām </w:t>
            </w:r>
            <w:r w:rsidRPr="00EC5819">
              <w:rPr>
                <w:rFonts w:ascii="Times New Roman" w:eastAsia="Times New Roman" w:hAnsi="Times New Roman" w:cs="Times New Roman"/>
                <w:sz w:val="26"/>
                <w:szCs w:val="26"/>
                <w:lang w:eastAsia="lv-LV"/>
              </w:rPr>
              <w:t xml:space="preserve">institūcijām, apstiprināts Ministru kabinetā, kā arī Saeima to izskatīja </w:t>
            </w:r>
            <w:r w:rsidR="008417EF" w:rsidRPr="00EC5819">
              <w:rPr>
                <w:rFonts w:ascii="Times New Roman" w:eastAsia="Times New Roman" w:hAnsi="Times New Roman" w:cs="Times New Roman"/>
                <w:sz w:val="26"/>
                <w:szCs w:val="26"/>
                <w:lang w:eastAsia="lv-LV"/>
              </w:rPr>
              <w:t>1.</w:t>
            </w:r>
            <w:r w:rsidRPr="00EC5819">
              <w:rPr>
                <w:rFonts w:ascii="Times New Roman" w:eastAsia="Times New Roman" w:hAnsi="Times New Roman" w:cs="Times New Roman"/>
                <w:sz w:val="26"/>
                <w:szCs w:val="26"/>
                <w:lang w:eastAsia="lv-LV"/>
              </w:rPr>
              <w:t>lasījumā (</w:t>
            </w:r>
            <w:proofErr w:type="spellStart"/>
            <w:r w:rsidR="008417EF" w:rsidRPr="00EC5819">
              <w:rPr>
                <w:rFonts w:ascii="Times New Roman" w:eastAsia="Times New Roman" w:hAnsi="Times New Roman" w:cs="Times New Roman"/>
                <w:sz w:val="26"/>
                <w:szCs w:val="26"/>
                <w:lang w:eastAsia="lv-LV"/>
              </w:rPr>
              <w:t>reģ</w:t>
            </w:r>
            <w:proofErr w:type="spellEnd"/>
            <w:r w:rsidR="008417EF" w:rsidRPr="00EC5819">
              <w:rPr>
                <w:rFonts w:ascii="Times New Roman" w:eastAsia="Times New Roman" w:hAnsi="Times New Roman" w:cs="Times New Roman"/>
                <w:sz w:val="26"/>
                <w:szCs w:val="26"/>
                <w:lang w:eastAsia="lv-LV"/>
              </w:rPr>
              <w:t xml:space="preserve">, </w:t>
            </w:r>
            <w:r w:rsidRPr="00EC5819">
              <w:rPr>
                <w:rFonts w:ascii="Times New Roman" w:eastAsia="Times New Roman" w:hAnsi="Times New Roman" w:cs="Times New Roman"/>
                <w:sz w:val="26"/>
                <w:szCs w:val="26"/>
                <w:lang w:eastAsia="lv-LV"/>
              </w:rPr>
              <w:t>Nr</w:t>
            </w:r>
            <w:r w:rsidR="00A56125" w:rsidRPr="00EC5819">
              <w:rPr>
                <w:rFonts w:ascii="Times New Roman" w:eastAsia="Times New Roman" w:hAnsi="Times New Roman" w:cs="Times New Roman"/>
                <w:sz w:val="26"/>
                <w:szCs w:val="26"/>
                <w:lang w:eastAsia="lv-LV"/>
              </w:rPr>
              <w:t>.</w:t>
            </w:r>
            <w:r w:rsidRPr="00EC5819">
              <w:rPr>
                <w:rFonts w:ascii="Times New Roman" w:eastAsia="Times New Roman" w:hAnsi="Times New Roman" w:cs="Times New Roman"/>
                <w:sz w:val="26"/>
                <w:szCs w:val="26"/>
                <w:lang w:eastAsia="lv-LV"/>
              </w:rPr>
              <w:t>1247/Lp12). Taču, ņemot vērā diskusijas Saeimas Budžeta un finanšu (nodokļu) komisijā</w:t>
            </w:r>
            <w:r w:rsidR="0011410C" w:rsidRPr="00EC5819">
              <w:rPr>
                <w:rFonts w:ascii="Times New Roman" w:eastAsia="Times New Roman" w:hAnsi="Times New Roman" w:cs="Times New Roman"/>
                <w:sz w:val="26"/>
                <w:szCs w:val="26"/>
                <w:lang w:eastAsia="lv-LV"/>
              </w:rPr>
              <w:t xml:space="preserve"> par to, ka tikai būtiskākos jautājumus būtu jāregulē likumā, savukārt detalizētu transfertcenu dokumentācijā ietveramo informāciju būtu jānosaka Ministru kabineta noteikumos</w:t>
            </w:r>
            <w:r w:rsidRPr="00EC5819">
              <w:rPr>
                <w:rFonts w:ascii="Times New Roman" w:eastAsia="Times New Roman" w:hAnsi="Times New Roman" w:cs="Times New Roman"/>
                <w:sz w:val="26"/>
                <w:szCs w:val="26"/>
                <w:lang w:eastAsia="lv-LV"/>
              </w:rPr>
              <w:t xml:space="preserve">, Finanšu ministrija sagatavoja priekšlikumus, </w:t>
            </w:r>
            <w:r w:rsidR="00A56125" w:rsidRPr="00EC5819">
              <w:rPr>
                <w:rFonts w:ascii="Times New Roman" w:eastAsia="Times New Roman" w:hAnsi="Times New Roman" w:cs="Times New Roman"/>
                <w:sz w:val="26"/>
                <w:szCs w:val="26"/>
                <w:lang w:eastAsia="lv-LV"/>
              </w:rPr>
              <w:t xml:space="preserve">svītrojot normas, kas noteica </w:t>
            </w:r>
            <w:r w:rsidRPr="00EC5819">
              <w:rPr>
                <w:rFonts w:ascii="Times New Roman" w:eastAsia="Times New Roman" w:hAnsi="Times New Roman" w:cs="Times New Roman"/>
                <w:sz w:val="26"/>
                <w:szCs w:val="26"/>
                <w:lang w:eastAsia="lv-LV"/>
              </w:rPr>
              <w:t>detalizētas transfertcenu dokumentācijas prasības</w:t>
            </w:r>
            <w:r w:rsidR="00A56125" w:rsidRPr="00EC5819">
              <w:rPr>
                <w:rFonts w:ascii="Times New Roman" w:eastAsia="Times New Roman" w:hAnsi="Times New Roman" w:cs="Times New Roman"/>
                <w:sz w:val="26"/>
                <w:szCs w:val="26"/>
                <w:lang w:eastAsia="lv-LV"/>
              </w:rPr>
              <w:t xml:space="preserve">, kā arī </w:t>
            </w:r>
            <w:r w:rsidR="00E11D2E" w:rsidRPr="00EC5819">
              <w:rPr>
                <w:rFonts w:ascii="Times New Roman" w:eastAsia="Times New Roman" w:hAnsi="Times New Roman" w:cs="Times New Roman"/>
                <w:sz w:val="26"/>
                <w:szCs w:val="26"/>
                <w:lang w:eastAsia="lv-LV"/>
              </w:rPr>
              <w:t xml:space="preserve">vienlaikus </w:t>
            </w:r>
            <w:r w:rsidR="00A56125" w:rsidRPr="00EC5819">
              <w:rPr>
                <w:rFonts w:ascii="Times New Roman" w:eastAsia="Times New Roman" w:hAnsi="Times New Roman" w:cs="Times New Roman"/>
                <w:sz w:val="26"/>
                <w:szCs w:val="26"/>
                <w:lang w:eastAsia="lv-LV"/>
              </w:rPr>
              <w:t>paredzot deleģējumu tā</w:t>
            </w:r>
            <w:r w:rsidR="00E11D2E" w:rsidRPr="00EC5819">
              <w:rPr>
                <w:rFonts w:ascii="Times New Roman" w:eastAsia="Times New Roman" w:hAnsi="Times New Roman" w:cs="Times New Roman"/>
                <w:sz w:val="26"/>
                <w:szCs w:val="26"/>
                <w:lang w:eastAsia="lv-LV"/>
              </w:rPr>
              <w:t>s</w:t>
            </w:r>
            <w:r w:rsidR="00A56125" w:rsidRPr="00EC5819">
              <w:rPr>
                <w:rFonts w:ascii="Times New Roman" w:eastAsia="Times New Roman" w:hAnsi="Times New Roman" w:cs="Times New Roman"/>
                <w:sz w:val="26"/>
                <w:szCs w:val="26"/>
                <w:lang w:eastAsia="lv-LV"/>
              </w:rPr>
              <w:t xml:space="preserve"> noteikt </w:t>
            </w:r>
            <w:r w:rsidRPr="00EC5819">
              <w:rPr>
                <w:rFonts w:ascii="Times New Roman" w:eastAsia="Times New Roman" w:hAnsi="Times New Roman" w:cs="Times New Roman"/>
                <w:sz w:val="26"/>
                <w:szCs w:val="26"/>
                <w:lang w:eastAsia="lv-LV"/>
              </w:rPr>
              <w:t>Ministru kabineta</w:t>
            </w:r>
            <w:r w:rsidR="00A56125" w:rsidRPr="00EC5819">
              <w:rPr>
                <w:rFonts w:ascii="Times New Roman" w:eastAsia="Times New Roman" w:hAnsi="Times New Roman" w:cs="Times New Roman"/>
                <w:sz w:val="26"/>
                <w:szCs w:val="26"/>
                <w:lang w:eastAsia="lv-LV"/>
              </w:rPr>
              <w:t>m</w:t>
            </w:r>
            <w:r w:rsidRPr="00EC5819">
              <w:rPr>
                <w:rFonts w:ascii="Times New Roman" w:eastAsia="Times New Roman" w:hAnsi="Times New Roman" w:cs="Times New Roman"/>
                <w:sz w:val="26"/>
                <w:szCs w:val="26"/>
                <w:lang w:eastAsia="lv-LV"/>
              </w:rPr>
              <w:t>.</w:t>
            </w:r>
          </w:p>
          <w:p w:rsidR="00F23AF5" w:rsidRPr="00EC5819" w:rsidRDefault="00F23AF5" w:rsidP="00F23AF5">
            <w:pPr>
              <w:spacing w:after="0" w:line="240" w:lineRule="auto"/>
              <w:jc w:val="both"/>
              <w:rPr>
                <w:rFonts w:ascii="Times New Roman" w:eastAsia="Times New Roman" w:hAnsi="Times New Roman" w:cs="Times New Roman"/>
                <w:sz w:val="26"/>
                <w:szCs w:val="26"/>
                <w:lang w:eastAsia="lv-LV"/>
              </w:rPr>
            </w:pPr>
            <w:r w:rsidRPr="00EC5819">
              <w:rPr>
                <w:rFonts w:ascii="Times New Roman" w:eastAsia="Times New Roman" w:hAnsi="Times New Roman" w:cs="Times New Roman"/>
                <w:sz w:val="26"/>
                <w:szCs w:val="26"/>
                <w:lang w:eastAsia="lv-LV"/>
              </w:rPr>
              <w:t>Maksa par iepriekšējas vi</w:t>
            </w:r>
            <w:r w:rsidR="004122A3">
              <w:rPr>
                <w:rFonts w:ascii="Times New Roman" w:eastAsia="Times New Roman" w:hAnsi="Times New Roman" w:cs="Times New Roman"/>
                <w:sz w:val="26"/>
                <w:szCs w:val="26"/>
                <w:lang w:eastAsia="lv-LV"/>
              </w:rPr>
              <w:t>enošanās noslēgšanu ir saglabāta</w:t>
            </w:r>
            <w:r w:rsidRPr="00EC5819">
              <w:rPr>
                <w:rFonts w:ascii="Times New Roman" w:eastAsia="Times New Roman" w:hAnsi="Times New Roman" w:cs="Times New Roman"/>
                <w:sz w:val="26"/>
                <w:szCs w:val="26"/>
                <w:lang w:eastAsia="lv-LV"/>
              </w:rPr>
              <w:t xml:space="preserve"> tādā pašā apmērā, kāda tā ir noteikta šobrīd Ministru kabineta 2013.gada 3.janvāra noteikumos Nr.16 “Kārtība, kādā noslēdzama nodokļu maksātāja un nodokļu administrācijas iepriekšēja vienošanās par tirgus cenas (vērtības) noteikšanu darījumam vai darījumu veidam”</w:t>
            </w:r>
            <w:r w:rsidR="008417EF" w:rsidRPr="00EC5819">
              <w:rPr>
                <w:rFonts w:ascii="Times New Roman" w:eastAsia="Times New Roman" w:hAnsi="Times New Roman" w:cs="Times New Roman"/>
                <w:sz w:val="26"/>
                <w:szCs w:val="26"/>
                <w:lang w:eastAsia="lv-LV"/>
              </w:rPr>
              <w:t>, kas ar izstrādātā noteikumu projekta 21.punktu zaudēs spēku.</w:t>
            </w:r>
          </w:p>
        </w:tc>
      </w:tr>
    </w:tbl>
    <w:p w:rsidR="00543AA6" w:rsidRPr="00EC5819" w:rsidRDefault="00543AA6"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0"/>
        <w:gridCol w:w="2195"/>
        <w:gridCol w:w="6290"/>
      </w:tblGrid>
      <w:tr w:rsidR="0091261F" w:rsidRPr="00EC5819" w:rsidTr="00081A5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43AA6" w:rsidRPr="00EC5819" w:rsidRDefault="00543AA6" w:rsidP="00C128BD">
            <w:pPr>
              <w:spacing w:before="100" w:beforeAutospacing="1" w:after="100" w:afterAutospacing="1" w:line="240" w:lineRule="auto"/>
              <w:ind w:firstLine="300"/>
              <w:jc w:val="center"/>
              <w:rPr>
                <w:rFonts w:ascii="Times New Roman" w:eastAsia="Times New Roman" w:hAnsi="Times New Roman" w:cs="Times New Roman"/>
                <w:b/>
                <w:bCs/>
                <w:sz w:val="26"/>
                <w:szCs w:val="26"/>
                <w:lang w:eastAsia="lv-LV"/>
              </w:rPr>
            </w:pPr>
            <w:r w:rsidRPr="00EC5819">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91261F" w:rsidRPr="00EC5819" w:rsidTr="00281052">
        <w:tc>
          <w:tcPr>
            <w:tcW w:w="307" w:type="pct"/>
            <w:tcBorders>
              <w:top w:val="outset" w:sz="6" w:space="0" w:color="414142"/>
              <w:left w:val="outset" w:sz="6" w:space="0" w:color="414142"/>
              <w:bottom w:val="outset" w:sz="6" w:space="0" w:color="414142"/>
              <w:right w:val="outset" w:sz="6" w:space="0" w:color="414142"/>
            </w:tcBorders>
            <w:hideMark/>
          </w:tcPr>
          <w:p w:rsidR="00543AA6" w:rsidRPr="00EC5819"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EC5819">
              <w:rPr>
                <w:rFonts w:ascii="Times New Roman" w:eastAsia="Times New Roman" w:hAnsi="Times New Roman" w:cs="Times New Roman"/>
                <w:sz w:val="26"/>
                <w:szCs w:val="26"/>
                <w:lang w:eastAsia="lv-LV"/>
              </w:rPr>
              <w:t>1.</w:t>
            </w:r>
          </w:p>
        </w:tc>
        <w:tc>
          <w:tcPr>
            <w:tcW w:w="1216" w:type="pct"/>
            <w:tcBorders>
              <w:top w:val="outset" w:sz="6" w:space="0" w:color="414142"/>
              <w:left w:val="outset" w:sz="6" w:space="0" w:color="414142"/>
              <w:bottom w:val="outset" w:sz="6" w:space="0" w:color="414142"/>
              <w:right w:val="outset" w:sz="6" w:space="0" w:color="414142"/>
            </w:tcBorders>
            <w:hideMark/>
          </w:tcPr>
          <w:p w:rsidR="00543AA6" w:rsidRPr="00EC5819" w:rsidRDefault="00543AA6" w:rsidP="00081A5D">
            <w:pPr>
              <w:spacing w:after="0" w:line="240" w:lineRule="auto"/>
              <w:jc w:val="both"/>
              <w:rPr>
                <w:rFonts w:ascii="Times New Roman" w:eastAsia="Times New Roman" w:hAnsi="Times New Roman" w:cs="Times New Roman"/>
                <w:sz w:val="26"/>
                <w:szCs w:val="26"/>
                <w:lang w:eastAsia="lv-LV"/>
              </w:rPr>
            </w:pPr>
            <w:r w:rsidRPr="00EC5819">
              <w:rPr>
                <w:rFonts w:ascii="Times New Roman" w:eastAsia="Times New Roman" w:hAnsi="Times New Roman" w:cs="Times New Roman"/>
                <w:sz w:val="26"/>
                <w:szCs w:val="26"/>
                <w:lang w:eastAsia="lv-LV"/>
              </w:rPr>
              <w:t xml:space="preserve">Sabiedrības </w:t>
            </w:r>
            <w:proofErr w:type="spellStart"/>
            <w:r w:rsidRPr="00EC5819">
              <w:rPr>
                <w:rFonts w:ascii="Times New Roman" w:eastAsia="Times New Roman" w:hAnsi="Times New Roman" w:cs="Times New Roman"/>
                <w:sz w:val="26"/>
                <w:szCs w:val="26"/>
                <w:lang w:eastAsia="lv-LV"/>
              </w:rPr>
              <w:t>mērķgrupas</w:t>
            </w:r>
            <w:proofErr w:type="spellEnd"/>
            <w:r w:rsidRPr="00EC5819">
              <w:rPr>
                <w:rFonts w:ascii="Times New Roman" w:eastAsia="Times New Roman" w:hAnsi="Times New Roman" w:cs="Times New Roman"/>
                <w:sz w:val="26"/>
                <w:szCs w:val="26"/>
                <w:lang w:eastAsia="lv-LV"/>
              </w:rPr>
              <w:t>, kuras tiesiskais regulējums ietekmē vai varētu ietekmēt</w:t>
            </w:r>
          </w:p>
        </w:tc>
        <w:tc>
          <w:tcPr>
            <w:tcW w:w="3477" w:type="pct"/>
            <w:tcBorders>
              <w:top w:val="outset" w:sz="6" w:space="0" w:color="414142"/>
              <w:left w:val="outset" w:sz="6" w:space="0" w:color="414142"/>
              <w:bottom w:val="outset" w:sz="6" w:space="0" w:color="414142"/>
              <w:right w:val="outset" w:sz="6" w:space="0" w:color="414142"/>
            </w:tcBorders>
            <w:hideMark/>
          </w:tcPr>
          <w:p w:rsidR="00543AA6" w:rsidRPr="00EC5819" w:rsidRDefault="00CF571D" w:rsidP="00A556F1">
            <w:pPr>
              <w:spacing w:after="0" w:line="240" w:lineRule="auto"/>
              <w:jc w:val="both"/>
              <w:rPr>
                <w:rFonts w:ascii="Times New Roman" w:eastAsia="Times New Roman" w:hAnsi="Times New Roman" w:cs="Times New Roman"/>
                <w:sz w:val="28"/>
                <w:szCs w:val="28"/>
                <w:lang w:eastAsia="lv-LV"/>
              </w:rPr>
            </w:pPr>
            <w:r w:rsidRPr="00EC5819">
              <w:rPr>
                <w:rFonts w:ascii="Times New Roman" w:eastAsia="Times New Roman" w:hAnsi="Times New Roman" w:cs="Times New Roman"/>
                <w:sz w:val="26"/>
                <w:szCs w:val="26"/>
                <w:lang w:eastAsia="lv-LV"/>
              </w:rPr>
              <w:t>Noteikumu projektā ietvertie grozījumi transfertcenu dokumentācijas tiesiskajā regulējumā attieksies galvenokārt uz uzņēmumiem, kuri ietilpst starptautiskajā uzņēmumu grupā un veic darījumus ar to grupā esošajiem ārvalstu uzņēmumiem.</w:t>
            </w:r>
          </w:p>
        </w:tc>
      </w:tr>
      <w:tr w:rsidR="0091261F" w:rsidRPr="00EC5819" w:rsidTr="00281052">
        <w:tc>
          <w:tcPr>
            <w:tcW w:w="307" w:type="pct"/>
            <w:tcBorders>
              <w:top w:val="outset" w:sz="6" w:space="0" w:color="414142"/>
              <w:left w:val="outset" w:sz="6" w:space="0" w:color="414142"/>
              <w:bottom w:val="outset" w:sz="6" w:space="0" w:color="414142"/>
              <w:right w:val="outset" w:sz="6" w:space="0" w:color="414142"/>
            </w:tcBorders>
            <w:hideMark/>
          </w:tcPr>
          <w:p w:rsidR="00543AA6" w:rsidRPr="00EC5819" w:rsidRDefault="00543AA6" w:rsidP="00081A5D">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EC5819">
              <w:rPr>
                <w:rFonts w:ascii="Times New Roman" w:eastAsia="Times New Roman" w:hAnsi="Times New Roman" w:cs="Times New Roman"/>
                <w:sz w:val="28"/>
                <w:szCs w:val="28"/>
                <w:lang w:eastAsia="lv-LV"/>
              </w:rPr>
              <w:t>2.</w:t>
            </w:r>
          </w:p>
        </w:tc>
        <w:tc>
          <w:tcPr>
            <w:tcW w:w="1216" w:type="pct"/>
            <w:tcBorders>
              <w:top w:val="outset" w:sz="6" w:space="0" w:color="414142"/>
              <w:left w:val="outset" w:sz="6" w:space="0" w:color="414142"/>
              <w:bottom w:val="outset" w:sz="6" w:space="0" w:color="414142"/>
              <w:right w:val="outset" w:sz="6" w:space="0" w:color="414142"/>
            </w:tcBorders>
            <w:hideMark/>
          </w:tcPr>
          <w:p w:rsidR="00543AA6" w:rsidRPr="00EC5819" w:rsidRDefault="00543AA6" w:rsidP="00081A5D">
            <w:pPr>
              <w:spacing w:after="0" w:line="240" w:lineRule="auto"/>
              <w:jc w:val="both"/>
              <w:rPr>
                <w:rFonts w:ascii="Times New Roman" w:eastAsia="Times New Roman" w:hAnsi="Times New Roman" w:cs="Times New Roman"/>
                <w:sz w:val="26"/>
                <w:szCs w:val="26"/>
                <w:lang w:eastAsia="lv-LV"/>
              </w:rPr>
            </w:pPr>
            <w:r w:rsidRPr="00EC5819">
              <w:rPr>
                <w:rFonts w:ascii="Times New Roman" w:eastAsia="Times New Roman" w:hAnsi="Times New Roman" w:cs="Times New Roman"/>
                <w:sz w:val="26"/>
                <w:szCs w:val="26"/>
                <w:lang w:eastAsia="lv-LV"/>
              </w:rPr>
              <w:t>Tiesiskā regulējuma ietekme uz tautsaimniecību un administratīvo slogu</w:t>
            </w:r>
          </w:p>
        </w:tc>
        <w:tc>
          <w:tcPr>
            <w:tcW w:w="3477" w:type="pct"/>
            <w:tcBorders>
              <w:top w:val="outset" w:sz="6" w:space="0" w:color="414142"/>
              <w:left w:val="outset" w:sz="6" w:space="0" w:color="414142"/>
              <w:bottom w:val="outset" w:sz="6" w:space="0" w:color="414142"/>
              <w:right w:val="outset" w:sz="6" w:space="0" w:color="414142"/>
            </w:tcBorders>
            <w:hideMark/>
          </w:tcPr>
          <w:p w:rsidR="00CF571D" w:rsidRPr="00EC5819" w:rsidRDefault="00CF571D" w:rsidP="00CF571D">
            <w:pPr>
              <w:spacing w:after="0" w:line="240" w:lineRule="auto"/>
              <w:jc w:val="both"/>
              <w:rPr>
                <w:rFonts w:ascii="Times New Roman" w:eastAsia="Times New Roman" w:hAnsi="Times New Roman" w:cs="Times New Roman"/>
                <w:sz w:val="26"/>
                <w:szCs w:val="26"/>
              </w:rPr>
            </w:pPr>
            <w:r w:rsidRPr="00EC5819">
              <w:rPr>
                <w:rFonts w:ascii="Times New Roman" w:eastAsia="Times New Roman" w:hAnsi="Times New Roman" w:cs="Times New Roman"/>
                <w:sz w:val="26"/>
                <w:szCs w:val="26"/>
              </w:rPr>
              <w:t xml:space="preserve">Grozījumi transfertcenu dokumentācijas tiesiskajā regulējumā apgrūtinās starptautisko uzņēmumu grupām iespēju mākslīgi novirzīt peļņu uz valstīm, kur nodokļu slogs ir zemāks nekā Latvijā. Tāpat regulējums uzlabos VID iespēju veikt transfertcenu riska analīzi un atvieglos transfertcenu audita veikšanu. Līdz ar to </w:t>
            </w:r>
            <w:r w:rsidR="00E11D2E" w:rsidRPr="00EC5819">
              <w:rPr>
                <w:rFonts w:ascii="Times New Roman" w:eastAsia="Times New Roman" w:hAnsi="Times New Roman" w:cs="Times New Roman"/>
                <w:sz w:val="26"/>
                <w:szCs w:val="26"/>
              </w:rPr>
              <w:t xml:space="preserve">gan Likumā, gan noteikumu projektā iekļautais regulējums </w:t>
            </w:r>
            <w:r w:rsidRPr="00EC5819">
              <w:rPr>
                <w:rFonts w:ascii="Times New Roman" w:eastAsia="Times New Roman" w:hAnsi="Times New Roman" w:cs="Times New Roman"/>
                <w:sz w:val="26"/>
                <w:szCs w:val="26"/>
              </w:rPr>
              <w:t>veicinās nodokļu nomaksu un pozitīvi ietekmēs tautsaimniecību.</w:t>
            </w:r>
          </w:p>
          <w:p w:rsidR="00543AA6" w:rsidRPr="00EC5819" w:rsidRDefault="00CF571D" w:rsidP="00E11D2E">
            <w:pPr>
              <w:spacing w:after="0" w:line="240" w:lineRule="auto"/>
              <w:jc w:val="both"/>
              <w:rPr>
                <w:rFonts w:ascii="Times New Roman" w:eastAsia="Times New Roman" w:hAnsi="Times New Roman" w:cs="Times New Roman"/>
                <w:sz w:val="26"/>
                <w:szCs w:val="26"/>
              </w:rPr>
            </w:pPr>
            <w:r w:rsidRPr="00EC5819">
              <w:rPr>
                <w:rFonts w:ascii="Times New Roman" w:eastAsia="Times New Roman" w:hAnsi="Times New Roman" w:cs="Times New Roman"/>
                <w:sz w:val="26"/>
                <w:szCs w:val="26"/>
              </w:rPr>
              <w:t xml:space="preserve">Savukārt administratīvais slogs nodokļu maksātājiem būtiski nemainīsies, jo transfertcenu dokumentācija jāsagatavo jau šobrīd (turklāt jau šobrīd liela daļa nodokļu maksātāju izmanto OECD </w:t>
            </w:r>
            <w:r w:rsidR="006128D6" w:rsidRPr="00EC5819">
              <w:rPr>
                <w:rFonts w:ascii="Times New Roman" w:eastAsia="Times New Roman" w:hAnsi="Times New Roman" w:cs="Times New Roman"/>
                <w:sz w:val="26"/>
                <w:szCs w:val="26"/>
              </w:rPr>
              <w:t>T</w:t>
            </w:r>
            <w:r w:rsidRPr="00EC5819">
              <w:rPr>
                <w:rFonts w:ascii="Times New Roman" w:eastAsia="Times New Roman" w:hAnsi="Times New Roman" w:cs="Times New Roman"/>
                <w:sz w:val="26"/>
                <w:szCs w:val="26"/>
              </w:rPr>
              <w:t xml:space="preserve">ransfertcenu vadlīnijās noteiktās prasības, kas tiek iestrādātas </w:t>
            </w:r>
            <w:r w:rsidR="00E11D2E" w:rsidRPr="00EC5819">
              <w:rPr>
                <w:rFonts w:ascii="Times New Roman" w:eastAsia="Times New Roman" w:hAnsi="Times New Roman" w:cs="Times New Roman"/>
                <w:sz w:val="26"/>
                <w:szCs w:val="26"/>
              </w:rPr>
              <w:t>noteikumu projektā</w:t>
            </w:r>
            <w:r w:rsidRPr="00EC5819">
              <w:rPr>
                <w:rFonts w:ascii="Times New Roman" w:eastAsia="Times New Roman" w:hAnsi="Times New Roman" w:cs="Times New Roman"/>
                <w:sz w:val="26"/>
                <w:szCs w:val="26"/>
              </w:rPr>
              <w:t xml:space="preserve">). Turklāt, ņemot vērā, ka līdzīgas </w:t>
            </w:r>
            <w:r w:rsidR="00E11D2E" w:rsidRPr="00EC5819">
              <w:rPr>
                <w:rFonts w:ascii="Times New Roman" w:eastAsia="Times New Roman" w:hAnsi="Times New Roman" w:cs="Times New Roman"/>
                <w:sz w:val="26"/>
                <w:szCs w:val="26"/>
              </w:rPr>
              <w:t xml:space="preserve">noteikumu projektā </w:t>
            </w:r>
            <w:r w:rsidRPr="00EC5819">
              <w:rPr>
                <w:rFonts w:ascii="Times New Roman" w:eastAsia="Times New Roman" w:hAnsi="Times New Roman" w:cs="Times New Roman"/>
                <w:sz w:val="26"/>
                <w:szCs w:val="26"/>
              </w:rPr>
              <w:t>ietvertajām transfertcenu dokumentācijas prasīb</w:t>
            </w:r>
            <w:r w:rsidR="00E11D2E" w:rsidRPr="00EC5819">
              <w:rPr>
                <w:rFonts w:ascii="Times New Roman" w:eastAsia="Times New Roman" w:hAnsi="Times New Roman" w:cs="Times New Roman"/>
                <w:sz w:val="26"/>
                <w:szCs w:val="26"/>
              </w:rPr>
              <w:t>ām</w:t>
            </w:r>
            <w:r w:rsidRPr="00EC5819">
              <w:rPr>
                <w:rFonts w:ascii="Times New Roman" w:eastAsia="Times New Roman" w:hAnsi="Times New Roman" w:cs="Times New Roman"/>
                <w:sz w:val="26"/>
                <w:szCs w:val="26"/>
              </w:rPr>
              <w:t xml:space="preserve"> jau ir ieviestas vai tiek ieviestas daudzās pasaules valstīs, vienotu standartu piemērošana visas starptautisko uzņēmumu grupas uzņēmumu uzņēmumiem atvieglos transfertcenu dokumentācijas sagatavošanu.</w:t>
            </w:r>
          </w:p>
          <w:p w:rsidR="00B06618" w:rsidRPr="00EC5819" w:rsidRDefault="00B06618" w:rsidP="00B06618">
            <w:pPr>
              <w:spacing w:after="0" w:line="240" w:lineRule="auto"/>
              <w:jc w:val="both"/>
              <w:rPr>
                <w:rFonts w:ascii="Times New Roman" w:eastAsia="Times New Roman" w:hAnsi="Times New Roman" w:cs="Times New Roman"/>
                <w:sz w:val="28"/>
                <w:szCs w:val="28"/>
                <w:lang w:eastAsia="lv-LV"/>
              </w:rPr>
            </w:pPr>
            <w:r w:rsidRPr="00EC5819">
              <w:rPr>
                <w:rFonts w:ascii="Times New Roman" w:eastAsia="Times New Roman" w:hAnsi="Times New Roman" w:cs="Times New Roman"/>
                <w:sz w:val="26"/>
                <w:szCs w:val="26"/>
              </w:rPr>
              <w:t>Lai nepalielināt</w:t>
            </w:r>
            <w:r w:rsidR="00F23AF5" w:rsidRPr="00EC5819">
              <w:rPr>
                <w:rFonts w:ascii="Times New Roman" w:eastAsia="Times New Roman" w:hAnsi="Times New Roman" w:cs="Times New Roman"/>
                <w:sz w:val="26"/>
                <w:szCs w:val="26"/>
              </w:rPr>
              <w:t>u</w:t>
            </w:r>
            <w:r w:rsidRPr="00EC5819">
              <w:rPr>
                <w:rFonts w:ascii="Times New Roman" w:eastAsia="Times New Roman" w:hAnsi="Times New Roman" w:cs="Times New Roman"/>
                <w:sz w:val="26"/>
                <w:szCs w:val="26"/>
                <w:lang w:eastAsia="lv-LV"/>
              </w:rPr>
              <w:t xml:space="preserve"> nodokļu maksātājiem administratīvo slogu</w:t>
            </w:r>
            <w:r w:rsidR="00F23AF5" w:rsidRPr="00EC5819">
              <w:rPr>
                <w:rFonts w:ascii="Times New Roman" w:eastAsia="Times New Roman" w:hAnsi="Times New Roman" w:cs="Times New Roman"/>
                <w:sz w:val="26"/>
                <w:szCs w:val="26"/>
                <w:lang w:eastAsia="lv-LV"/>
              </w:rPr>
              <w:t>,</w:t>
            </w:r>
            <w:r w:rsidRPr="00EC5819">
              <w:rPr>
                <w:rFonts w:ascii="Times New Roman" w:eastAsia="Times New Roman" w:hAnsi="Times New Roman" w:cs="Times New Roman"/>
                <w:sz w:val="26"/>
                <w:szCs w:val="26"/>
                <w:lang w:eastAsia="lv-LV"/>
              </w:rPr>
              <w:t xml:space="preserve">  maksas apmērs par iepriekšējas vienošanās noslēgšanu netiek grozīts.</w:t>
            </w:r>
          </w:p>
        </w:tc>
      </w:tr>
      <w:tr w:rsidR="0091261F" w:rsidRPr="00EC5819" w:rsidTr="00281052">
        <w:tc>
          <w:tcPr>
            <w:tcW w:w="307" w:type="pct"/>
            <w:tcBorders>
              <w:top w:val="outset" w:sz="6" w:space="0" w:color="414142"/>
              <w:left w:val="outset" w:sz="6" w:space="0" w:color="414142"/>
              <w:bottom w:val="outset" w:sz="6" w:space="0" w:color="414142"/>
              <w:right w:val="outset" w:sz="6" w:space="0" w:color="414142"/>
            </w:tcBorders>
            <w:hideMark/>
          </w:tcPr>
          <w:p w:rsidR="00543AA6" w:rsidRPr="00EC5819"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EC5819">
              <w:rPr>
                <w:rFonts w:ascii="Times New Roman" w:eastAsia="Times New Roman" w:hAnsi="Times New Roman" w:cs="Times New Roman"/>
                <w:sz w:val="26"/>
                <w:szCs w:val="26"/>
                <w:lang w:eastAsia="lv-LV"/>
              </w:rPr>
              <w:t>3.</w:t>
            </w:r>
          </w:p>
        </w:tc>
        <w:tc>
          <w:tcPr>
            <w:tcW w:w="1216" w:type="pct"/>
            <w:tcBorders>
              <w:top w:val="outset" w:sz="6" w:space="0" w:color="414142"/>
              <w:left w:val="outset" w:sz="6" w:space="0" w:color="414142"/>
              <w:bottom w:val="outset" w:sz="6" w:space="0" w:color="414142"/>
              <w:right w:val="outset" w:sz="6" w:space="0" w:color="414142"/>
            </w:tcBorders>
            <w:hideMark/>
          </w:tcPr>
          <w:p w:rsidR="00543AA6" w:rsidRPr="00EC5819" w:rsidRDefault="00543AA6" w:rsidP="00081A5D">
            <w:pPr>
              <w:spacing w:after="0" w:line="240" w:lineRule="auto"/>
              <w:jc w:val="both"/>
              <w:rPr>
                <w:rFonts w:ascii="Times New Roman" w:eastAsia="Times New Roman" w:hAnsi="Times New Roman" w:cs="Times New Roman"/>
                <w:sz w:val="26"/>
                <w:szCs w:val="26"/>
                <w:lang w:eastAsia="lv-LV"/>
              </w:rPr>
            </w:pPr>
            <w:r w:rsidRPr="00EC5819">
              <w:rPr>
                <w:rFonts w:ascii="Times New Roman" w:eastAsia="Times New Roman" w:hAnsi="Times New Roman" w:cs="Times New Roman"/>
                <w:sz w:val="26"/>
                <w:szCs w:val="26"/>
                <w:lang w:eastAsia="lv-LV"/>
              </w:rPr>
              <w:t>Administratīvo izmaksu monetārs novērtējums</w:t>
            </w:r>
          </w:p>
        </w:tc>
        <w:tc>
          <w:tcPr>
            <w:tcW w:w="3477" w:type="pct"/>
            <w:tcBorders>
              <w:top w:val="outset" w:sz="6" w:space="0" w:color="414142"/>
              <w:left w:val="outset" w:sz="6" w:space="0" w:color="414142"/>
              <w:bottom w:val="outset" w:sz="6" w:space="0" w:color="414142"/>
              <w:right w:val="outset" w:sz="6" w:space="0" w:color="414142"/>
            </w:tcBorders>
            <w:hideMark/>
          </w:tcPr>
          <w:p w:rsidR="00543AA6" w:rsidRPr="00EC5819" w:rsidRDefault="00CF571D" w:rsidP="00702575">
            <w:pPr>
              <w:spacing w:after="0" w:line="240" w:lineRule="auto"/>
              <w:jc w:val="both"/>
              <w:rPr>
                <w:rFonts w:ascii="Times New Roman" w:eastAsia="Times New Roman" w:hAnsi="Times New Roman" w:cs="Times New Roman"/>
                <w:sz w:val="26"/>
                <w:szCs w:val="26"/>
                <w:lang w:eastAsia="lv-LV"/>
              </w:rPr>
            </w:pPr>
            <w:r w:rsidRPr="00EC5819">
              <w:rPr>
                <w:rFonts w:ascii="Times New Roman" w:eastAsia="Times New Roman" w:hAnsi="Times New Roman" w:cs="Times New Roman"/>
                <w:sz w:val="26"/>
                <w:szCs w:val="26"/>
                <w:lang w:eastAsia="lv-LV"/>
              </w:rPr>
              <w:t>Projekts šo jomu neskar.</w:t>
            </w:r>
          </w:p>
        </w:tc>
      </w:tr>
      <w:tr w:rsidR="0091261F" w:rsidRPr="00EC5819" w:rsidTr="00281052">
        <w:tc>
          <w:tcPr>
            <w:tcW w:w="307" w:type="pct"/>
            <w:tcBorders>
              <w:top w:val="outset" w:sz="6" w:space="0" w:color="414142"/>
              <w:left w:val="outset" w:sz="6" w:space="0" w:color="414142"/>
              <w:bottom w:val="outset" w:sz="6" w:space="0" w:color="414142"/>
              <w:right w:val="outset" w:sz="6" w:space="0" w:color="414142"/>
            </w:tcBorders>
            <w:hideMark/>
          </w:tcPr>
          <w:p w:rsidR="00543AA6" w:rsidRPr="00EC5819"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EC5819">
              <w:rPr>
                <w:rFonts w:ascii="Times New Roman" w:eastAsia="Times New Roman" w:hAnsi="Times New Roman" w:cs="Times New Roman"/>
                <w:sz w:val="26"/>
                <w:szCs w:val="26"/>
                <w:lang w:eastAsia="lv-LV"/>
              </w:rPr>
              <w:t>4.</w:t>
            </w:r>
          </w:p>
        </w:tc>
        <w:tc>
          <w:tcPr>
            <w:tcW w:w="1216" w:type="pct"/>
            <w:tcBorders>
              <w:top w:val="outset" w:sz="6" w:space="0" w:color="414142"/>
              <w:left w:val="outset" w:sz="6" w:space="0" w:color="414142"/>
              <w:bottom w:val="outset" w:sz="6" w:space="0" w:color="414142"/>
              <w:right w:val="outset" w:sz="6" w:space="0" w:color="414142"/>
            </w:tcBorders>
            <w:hideMark/>
          </w:tcPr>
          <w:p w:rsidR="00543AA6" w:rsidRPr="00EC5819" w:rsidRDefault="00543AA6" w:rsidP="00081A5D">
            <w:pPr>
              <w:spacing w:after="0" w:line="240" w:lineRule="auto"/>
              <w:jc w:val="both"/>
              <w:rPr>
                <w:rFonts w:ascii="Times New Roman" w:eastAsia="Times New Roman" w:hAnsi="Times New Roman" w:cs="Times New Roman"/>
                <w:sz w:val="26"/>
                <w:szCs w:val="26"/>
                <w:lang w:eastAsia="lv-LV"/>
              </w:rPr>
            </w:pPr>
            <w:r w:rsidRPr="00EC5819">
              <w:rPr>
                <w:rFonts w:ascii="Times New Roman" w:eastAsia="Times New Roman" w:hAnsi="Times New Roman" w:cs="Times New Roman"/>
                <w:sz w:val="26"/>
                <w:szCs w:val="26"/>
                <w:lang w:eastAsia="lv-LV"/>
              </w:rPr>
              <w:t>Atbilstības izmaksu monetārs novērtējums</w:t>
            </w:r>
          </w:p>
        </w:tc>
        <w:tc>
          <w:tcPr>
            <w:tcW w:w="3477" w:type="pct"/>
            <w:tcBorders>
              <w:top w:val="outset" w:sz="6" w:space="0" w:color="414142"/>
              <w:left w:val="outset" w:sz="6" w:space="0" w:color="414142"/>
              <w:bottom w:val="outset" w:sz="6" w:space="0" w:color="414142"/>
              <w:right w:val="outset" w:sz="6" w:space="0" w:color="414142"/>
            </w:tcBorders>
            <w:hideMark/>
          </w:tcPr>
          <w:p w:rsidR="00543AA6" w:rsidRPr="00EC5819" w:rsidRDefault="00CF571D" w:rsidP="00CF571D">
            <w:pPr>
              <w:spacing w:after="0" w:line="240" w:lineRule="auto"/>
              <w:jc w:val="both"/>
              <w:rPr>
                <w:rFonts w:ascii="Times New Roman" w:eastAsia="Times New Roman" w:hAnsi="Times New Roman" w:cs="Times New Roman"/>
                <w:sz w:val="26"/>
                <w:szCs w:val="26"/>
                <w:lang w:eastAsia="lv-LV"/>
              </w:rPr>
            </w:pPr>
            <w:r w:rsidRPr="00EC5819">
              <w:rPr>
                <w:rFonts w:ascii="Times New Roman" w:eastAsia="Times New Roman" w:hAnsi="Times New Roman" w:cs="Times New Roman"/>
                <w:sz w:val="26"/>
                <w:szCs w:val="26"/>
                <w:lang w:eastAsia="lv-LV"/>
              </w:rPr>
              <w:t xml:space="preserve">Nav </w:t>
            </w:r>
          </w:p>
        </w:tc>
      </w:tr>
      <w:tr w:rsidR="00543AA6" w:rsidRPr="00EC5819" w:rsidTr="00281052">
        <w:tc>
          <w:tcPr>
            <w:tcW w:w="307" w:type="pct"/>
            <w:tcBorders>
              <w:top w:val="outset" w:sz="6" w:space="0" w:color="414142"/>
              <w:left w:val="outset" w:sz="6" w:space="0" w:color="414142"/>
              <w:bottom w:val="outset" w:sz="6" w:space="0" w:color="414142"/>
              <w:right w:val="outset" w:sz="6" w:space="0" w:color="414142"/>
            </w:tcBorders>
            <w:hideMark/>
          </w:tcPr>
          <w:p w:rsidR="00543AA6" w:rsidRPr="00EC5819"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EC5819">
              <w:rPr>
                <w:rFonts w:ascii="Times New Roman" w:eastAsia="Times New Roman" w:hAnsi="Times New Roman" w:cs="Times New Roman"/>
                <w:sz w:val="26"/>
                <w:szCs w:val="26"/>
                <w:lang w:eastAsia="lv-LV"/>
              </w:rPr>
              <w:t>5.</w:t>
            </w:r>
          </w:p>
        </w:tc>
        <w:tc>
          <w:tcPr>
            <w:tcW w:w="1216" w:type="pct"/>
            <w:tcBorders>
              <w:top w:val="outset" w:sz="6" w:space="0" w:color="414142"/>
              <w:left w:val="outset" w:sz="6" w:space="0" w:color="414142"/>
              <w:bottom w:val="outset" w:sz="6" w:space="0" w:color="414142"/>
              <w:right w:val="outset" w:sz="6" w:space="0" w:color="414142"/>
            </w:tcBorders>
            <w:hideMark/>
          </w:tcPr>
          <w:p w:rsidR="00543AA6" w:rsidRPr="00EC5819" w:rsidRDefault="00543AA6" w:rsidP="00081A5D">
            <w:pPr>
              <w:spacing w:after="0" w:line="240" w:lineRule="auto"/>
              <w:jc w:val="both"/>
              <w:rPr>
                <w:rFonts w:ascii="Times New Roman" w:eastAsia="Times New Roman" w:hAnsi="Times New Roman" w:cs="Times New Roman"/>
                <w:sz w:val="26"/>
                <w:szCs w:val="26"/>
                <w:lang w:eastAsia="lv-LV"/>
              </w:rPr>
            </w:pPr>
            <w:r w:rsidRPr="00EC5819">
              <w:rPr>
                <w:rFonts w:ascii="Times New Roman" w:eastAsia="Times New Roman" w:hAnsi="Times New Roman" w:cs="Times New Roman"/>
                <w:sz w:val="26"/>
                <w:szCs w:val="26"/>
                <w:lang w:eastAsia="lv-LV"/>
              </w:rPr>
              <w:t>Cita informācija</w:t>
            </w:r>
          </w:p>
        </w:tc>
        <w:tc>
          <w:tcPr>
            <w:tcW w:w="3477" w:type="pct"/>
            <w:tcBorders>
              <w:top w:val="outset" w:sz="6" w:space="0" w:color="414142"/>
              <w:left w:val="outset" w:sz="6" w:space="0" w:color="414142"/>
              <w:bottom w:val="outset" w:sz="6" w:space="0" w:color="414142"/>
              <w:right w:val="outset" w:sz="6" w:space="0" w:color="414142"/>
            </w:tcBorders>
            <w:hideMark/>
          </w:tcPr>
          <w:p w:rsidR="00543AA6" w:rsidRPr="00EC5819" w:rsidRDefault="00DE1373" w:rsidP="00081A5D">
            <w:pPr>
              <w:spacing w:after="0" w:line="240" w:lineRule="auto"/>
              <w:jc w:val="both"/>
              <w:rPr>
                <w:rFonts w:ascii="Times New Roman" w:eastAsia="Times New Roman" w:hAnsi="Times New Roman" w:cs="Times New Roman"/>
                <w:sz w:val="26"/>
                <w:szCs w:val="26"/>
                <w:lang w:eastAsia="lv-LV"/>
              </w:rPr>
            </w:pPr>
            <w:r w:rsidRPr="00EC5819">
              <w:rPr>
                <w:rFonts w:ascii="Times New Roman" w:eastAsia="Times New Roman" w:hAnsi="Times New Roman" w:cs="Times New Roman"/>
                <w:sz w:val="26"/>
                <w:szCs w:val="26"/>
                <w:lang w:eastAsia="lv-LV"/>
              </w:rPr>
              <w:t>Nav</w:t>
            </w:r>
          </w:p>
        </w:tc>
      </w:tr>
    </w:tbl>
    <w:p w:rsidR="00543AA6" w:rsidRPr="00EC5819" w:rsidRDefault="00543AA6"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726825" w:rsidRPr="00EC5819" w:rsidTr="00281052">
        <w:trPr>
          <w:trHeight w:val="444"/>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726825" w:rsidRPr="00EC5819" w:rsidRDefault="00726825" w:rsidP="004A41A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EC5819">
              <w:rPr>
                <w:rFonts w:ascii="Times New Roman" w:eastAsia="Times New Roman" w:hAnsi="Times New Roman" w:cs="Times New Roman"/>
                <w:b/>
                <w:bCs/>
                <w:sz w:val="26"/>
                <w:szCs w:val="26"/>
                <w:lang w:eastAsia="lv-LV"/>
              </w:rPr>
              <w:t>III. Tiesību akta projekta ietekme uz valsts budžetu un pašvaldību budžetiem</w:t>
            </w:r>
          </w:p>
        </w:tc>
      </w:tr>
      <w:tr w:rsidR="00726825" w:rsidRPr="00EC5819" w:rsidTr="00281052">
        <w:trPr>
          <w:trHeight w:val="444"/>
        </w:trPr>
        <w:tc>
          <w:tcPr>
            <w:tcW w:w="5000" w:type="pct"/>
            <w:tcBorders>
              <w:top w:val="outset" w:sz="6" w:space="0" w:color="414142"/>
              <w:left w:val="outset" w:sz="6" w:space="0" w:color="414142"/>
              <w:bottom w:val="outset" w:sz="6" w:space="0" w:color="414142"/>
              <w:right w:val="outset" w:sz="6" w:space="0" w:color="414142"/>
            </w:tcBorders>
            <w:vAlign w:val="center"/>
          </w:tcPr>
          <w:p w:rsidR="00726825" w:rsidRPr="00EC5819" w:rsidRDefault="00726825" w:rsidP="004A41A3">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EC5819">
              <w:rPr>
                <w:rFonts w:ascii="Times New Roman" w:eastAsia="Times New Roman" w:hAnsi="Times New Roman" w:cs="Times New Roman"/>
                <w:bCs/>
                <w:sz w:val="26"/>
                <w:szCs w:val="26"/>
                <w:lang w:eastAsia="lv-LV"/>
              </w:rPr>
              <w:t>Noteikumu projekts šo jomu neskar</w:t>
            </w:r>
          </w:p>
        </w:tc>
      </w:tr>
    </w:tbl>
    <w:p w:rsidR="00543AA6" w:rsidRDefault="00543AA6" w:rsidP="00543AA6">
      <w:pPr>
        <w:spacing w:after="0" w:line="240" w:lineRule="auto"/>
        <w:rPr>
          <w:rFonts w:ascii="Times New Roman" w:eastAsia="Times New Roman" w:hAnsi="Times New Roman" w:cs="Times New Roman"/>
          <w:sz w:val="26"/>
          <w:szCs w:val="26"/>
          <w:lang w:eastAsia="lv-LV"/>
        </w:rPr>
      </w:pPr>
    </w:p>
    <w:p w:rsidR="00A873E8" w:rsidRPr="00EC5819" w:rsidRDefault="00A873E8" w:rsidP="00543AA6">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726825" w:rsidRPr="00EC5819" w:rsidTr="004A41A3">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rsidR="00726825" w:rsidRPr="00EC5819" w:rsidRDefault="00726825" w:rsidP="004A41A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EC5819">
              <w:rPr>
                <w:rFonts w:ascii="Times New Roman" w:eastAsia="Times New Roman" w:hAnsi="Times New Roman" w:cs="Times New Roman"/>
                <w:b/>
                <w:bCs/>
                <w:sz w:val="26"/>
                <w:szCs w:val="26"/>
                <w:lang w:eastAsia="lv-LV"/>
              </w:rPr>
              <w:t>IV. Tiesību akta projekta ietekme uz spēkā esošo tiesību normu sistēmu</w:t>
            </w:r>
          </w:p>
        </w:tc>
      </w:tr>
      <w:tr w:rsidR="00726825" w:rsidRPr="00EC5819" w:rsidTr="004A41A3">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rsidR="00726825" w:rsidRPr="00EC5819" w:rsidRDefault="00726825" w:rsidP="004A41A3">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EC5819">
              <w:rPr>
                <w:rFonts w:ascii="Times New Roman" w:eastAsia="Times New Roman" w:hAnsi="Times New Roman" w:cs="Times New Roman"/>
                <w:bCs/>
                <w:sz w:val="26"/>
                <w:szCs w:val="26"/>
                <w:lang w:eastAsia="lv-LV"/>
              </w:rPr>
              <w:t>Noteikumu projekts šo jomu neskar</w:t>
            </w:r>
          </w:p>
        </w:tc>
      </w:tr>
    </w:tbl>
    <w:p w:rsidR="00726825" w:rsidRDefault="00726825" w:rsidP="00543AA6">
      <w:pPr>
        <w:spacing w:after="0" w:line="240" w:lineRule="auto"/>
        <w:rPr>
          <w:rFonts w:ascii="Times New Roman" w:eastAsia="Times New Roman" w:hAnsi="Times New Roman" w:cs="Times New Roman"/>
          <w:sz w:val="26"/>
          <w:szCs w:val="26"/>
          <w:lang w:eastAsia="lv-LV"/>
        </w:rPr>
      </w:pPr>
    </w:p>
    <w:p w:rsidR="00A873E8" w:rsidRPr="00EC5819" w:rsidRDefault="00A873E8" w:rsidP="00543AA6">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726825" w:rsidRPr="00EC5819" w:rsidTr="004A41A3">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rsidR="00726825" w:rsidRPr="00EC5819" w:rsidRDefault="00726825" w:rsidP="004A41A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EC5819">
              <w:rPr>
                <w:rFonts w:ascii="Times New Roman" w:eastAsia="Times New Roman" w:hAnsi="Times New Roman" w:cs="Times New Roman"/>
                <w:b/>
                <w:bCs/>
                <w:sz w:val="26"/>
                <w:szCs w:val="26"/>
                <w:lang w:eastAsia="lv-LV"/>
              </w:rPr>
              <w:t>V. Tiesību akta projekta atbilstība Latvijas Republikas starptautiskajām saistībām</w:t>
            </w:r>
          </w:p>
        </w:tc>
      </w:tr>
      <w:tr w:rsidR="00726825" w:rsidRPr="00EC5819" w:rsidTr="004A41A3">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rsidR="00726825" w:rsidRPr="00EC5819" w:rsidRDefault="00726825" w:rsidP="004A41A3">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EC5819">
              <w:rPr>
                <w:rFonts w:ascii="Times New Roman" w:eastAsia="Times New Roman" w:hAnsi="Times New Roman" w:cs="Times New Roman"/>
                <w:bCs/>
                <w:sz w:val="26"/>
                <w:szCs w:val="26"/>
                <w:lang w:eastAsia="lv-LV"/>
              </w:rPr>
              <w:t>Noteikumu projekts šo jomu neskar</w:t>
            </w:r>
          </w:p>
        </w:tc>
      </w:tr>
    </w:tbl>
    <w:p w:rsidR="00726825" w:rsidRPr="00EC5819" w:rsidRDefault="00726825" w:rsidP="00543AA6">
      <w:pPr>
        <w:spacing w:after="0" w:line="240" w:lineRule="auto"/>
        <w:rPr>
          <w:rFonts w:ascii="Times New Roman" w:eastAsia="Times New Roman" w:hAnsi="Times New Roman" w:cs="Times New Roman"/>
          <w:sz w:val="28"/>
          <w:szCs w:val="28"/>
          <w:lang w:eastAsia="lv-LV"/>
        </w:rPr>
      </w:pPr>
    </w:p>
    <w:p w:rsidR="00726825" w:rsidRPr="00EC5819" w:rsidRDefault="00726825"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1577"/>
        <w:gridCol w:w="7208"/>
      </w:tblGrid>
      <w:tr w:rsidR="0091261F" w:rsidRPr="00EC5819" w:rsidTr="00B35E96">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43AA6" w:rsidRPr="00EC5819" w:rsidRDefault="00543AA6" w:rsidP="00081A5D">
            <w:pPr>
              <w:spacing w:before="100" w:beforeAutospacing="1" w:after="100" w:afterAutospacing="1" w:line="360" w:lineRule="auto"/>
              <w:ind w:firstLine="300"/>
              <w:jc w:val="center"/>
              <w:rPr>
                <w:rFonts w:ascii="Times New Roman" w:eastAsia="Times New Roman" w:hAnsi="Times New Roman" w:cs="Times New Roman"/>
                <w:b/>
                <w:bCs/>
                <w:sz w:val="26"/>
                <w:szCs w:val="28"/>
                <w:lang w:eastAsia="lv-LV"/>
              </w:rPr>
            </w:pPr>
            <w:r w:rsidRPr="00EC5819">
              <w:rPr>
                <w:rFonts w:ascii="Times New Roman" w:eastAsia="Times New Roman" w:hAnsi="Times New Roman" w:cs="Times New Roman"/>
                <w:b/>
                <w:bCs/>
                <w:sz w:val="26"/>
                <w:szCs w:val="28"/>
                <w:lang w:eastAsia="lv-LV"/>
              </w:rPr>
              <w:t>VI. Sabiedrības līdzdalība un komunikācijas aktivitātes</w:t>
            </w:r>
          </w:p>
        </w:tc>
      </w:tr>
      <w:tr w:rsidR="00A873E8" w:rsidRPr="00EC5819" w:rsidTr="00B35E96">
        <w:tc>
          <w:tcPr>
            <w:tcW w:w="140" w:type="pct"/>
            <w:tcBorders>
              <w:top w:val="outset" w:sz="6" w:space="0" w:color="414142"/>
              <w:left w:val="outset" w:sz="6" w:space="0" w:color="414142"/>
              <w:bottom w:val="outset" w:sz="6" w:space="0" w:color="414142"/>
              <w:right w:val="outset" w:sz="6" w:space="0" w:color="414142"/>
            </w:tcBorders>
            <w:hideMark/>
          </w:tcPr>
          <w:p w:rsidR="00543AA6" w:rsidRPr="00EC5819" w:rsidRDefault="00543AA6" w:rsidP="00A873E8">
            <w:pPr>
              <w:spacing w:before="100" w:beforeAutospacing="1" w:after="100" w:afterAutospacing="1" w:line="360" w:lineRule="auto"/>
              <w:jc w:val="both"/>
              <w:rPr>
                <w:rFonts w:ascii="Times New Roman" w:eastAsia="Times New Roman" w:hAnsi="Times New Roman" w:cs="Times New Roman"/>
                <w:sz w:val="26"/>
                <w:szCs w:val="26"/>
                <w:lang w:eastAsia="lv-LV"/>
              </w:rPr>
            </w:pPr>
            <w:r w:rsidRPr="00EC5819">
              <w:rPr>
                <w:rFonts w:ascii="Times New Roman" w:eastAsia="Times New Roman" w:hAnsi="Times New Roman" w:cs="Times New Roman"/>
                <w:sz w:val="26"/>
                <w:szCs w:val="26"/>
                <w:lang w:eastAsia="lv-LV"/>
              </w:rPr>
              <w:t>1.</w:t>
            </w:r>
          </w:p>
        </w:tc>
        <w:tc>
          <w:tcPr>
            <w:tcW w:w="819" w:type="pct"/>
            <w:tcBorders>
              <w:top w:val="outset" w:sz="6" w:space="0" w:color="414142"/>
              <w:left w:val="outset" w:sz="6" w:space="0" w:color="414142"/>
              <w:bottom w:val="outset" w:sz="6" w:space="0" w:color="414142"/>
              <w:right w:val="outset" w:sz="6" w:space="0" w:color="414142"/>
            </w:tcBorders>
            <w:hideMark/>
          </w:tcPr>
          <w:p w:rsidR="00543AA6" w:rsidRPr="00EC5819" w:rsidRDefault="00543AA6" w:rsidP="00081A5D">
            <w:pPr>
              <w:spacing w:after="0" w:line="240" w:lineRule="auto"/>
              <w:jc w:val="both"/>
              <w:rPr>
                <w:rFonts w:ascii="Times New Roman" w:eastAsia="Times New Roman" w:hAnsi="Times New Roman" w:cs="Times New Roman"/>
                <w:sz w:val="26"/>
                <w:szCs w:val="26"/>
                <w:lang w:eastAsia="lv-LV"/>
              </w:rPr>
            </w:pPr>
            <w:r w:rsidRPr="00EC5819">
              <w:rPr>
                <w:rFonts w:ascii="Times New Roman" w:eastAsia="Times New Roman" w:hAnsi="Times New Roman" w:cs="Times New Roman"/>
                <w:sz w:val="26"/>
                <w:szCs w:val="26"/>
                <w:lang w:eastAsia="lv-LV"/>
              </w:rPr>
              <w:t>Plānotās sabiedrības līdzdalības un komunikācijas aktivitātes saistībā ar projektu</w:t>
            </w:r>
          </w:p>
        </w:tc>
        <w:tc>
          <w:tcPr>
            <w:tcW w:w="4041" w:type="pct"/>
            <w:tcBorders>
              <w:top w:val="outset" w:sz="6" w:space="0" w:color="414142"/>
              <w:left w:val="outset" w:sz="6" w:space="0" w:color="414142"/>
              <w:bottom w:val="outset" w:sz="6" w:space="0" w:color="414142"/>
              <w:right w:val="outset" w:sz="6" w:space="0" w:color="414142"/>
            </w:tcBorders>
            <w:hideMark/>
          </w:tcPr>
          <w:p w:rsidR="0098296A" w:rsidRPr="00EC5819" w:rsidRDefault="0098296A" w:rsidP="00404A62">
            <w:pPr>
              <w:spacing w:after="0" w:line="240" w:lineRule="auto"/>
              <w:ind w:right="110"/>
              <w:jc w:val="both"/>
              <w:rPr>
                <w:rFonts w:ascii="Times New Roman" w:eastAsia="Times New Roman" w:hAnsi="Times New Roman" w:cs="Times New Roman"/>
                <w:sz w:val="26"/>
                <w:szCs w:val="26"/>
                <w:lang w:eastAsia="lv-LV"/>
              </w:rPr>
            </w:pPr>
            <w:r w:rsidRPr="00EC5819">
              <w:rPr>
                <w:rFonts w:ascii="Times New Roman" w:eastAsia="Times New Roman" w:hAnsi="Times New Roman" w:cs="Times New Roman"/>
                <w:sz w:val="26"/>
                <w:szCs w:val="26"/>
                <w:lang w:eastAsia="lv-LV"/>
              </w:rPr>
              <w:t xml:space="preserve">Informācija par projekta izstrādi ir publicēta Finanšu ministrijas tīmekļvietnē sadaļā “Sabiedrības līdzdalība” – “Tiesību aktu projekti” – “Nodokļu politika”. Līdz ar to sabiedrības pārstāvji varēja līdzdarboties projekta izstrādē, </w:t>
            </w:r>
            <w:proofErr w:type="spellStart"/>
            <w:r w:rsidRPr="00EC5819">
              <w:rPr>
                <w:rFonts w:ascii="Times New Roman" w:eastAsia="Times New Roman" w:hAnsi="Times New Roman" w:cs="Times New Roman"/>
                <w:sz w:val="26"/>
                <w:szCs w:val="26"/>
                <w:lang w:eastAsia="lv-LV"/>
              </w:rPr>
              <w:t>rakstveidā</w:t>
            </w:r>
            <w:proofErr w:type="spellEnd"/>
            <w:r w:rsidRPr="00EC5819">
              <w:rPr>
                <w:rFonts w:ascii="Times New Roman" w:eastAsia="Times New Roman" w:hAnsi="Times New Roman" w:cs="Times New Roman"/>
                <w:sz w:val="26"/>
                <w:szCs w:val="26"/>
                <w:lang w:eastAsia="lv-LV"/>
              </w:rPr>
              <w:t xml:space="preserve"> sniedzot viedokļus par projektu.</w:t>
            </w:r>
          </w:p>
          <w:p w:rsidR="00543AA6" w:rsidRPr="00EC5819" w:rsidRDefault="007E1A7F" w:rsidP="00404A62">
            <w:pPr>
              <w:spacing w:after="0" w:line="240" w:lineRule="auto"/>
              <w:ind w:right="110"/>
              <w:jc w:val="both"/>
              <w:rPr>
                <w:rFonts w:ascii="Times New Roman" w:eastAsia="Times New Roman" w:hAnsi="Times New Roman" w:cs="Times New Roman"/>
                <w:sz w:val="28"/>
                <w:szCs w:val="28"/>
                <w:lang w:eastAsia="lv-LV"/>
              </w:rPr>
            </w:pPr>
            <w:r w:rsidRPr="00EC5819">
              <w:rPr>
                <w:rFonts w:ascii="Times New Roman" w:eastAsia="Times New Roman" w:hAnsi="Times New Roman" w:cs="Times New Roman"/>
                <w:sz w:val="26"/>
                <w:szCs w:val="26"/>
                <w:lang w:eastAsia="lv-LV"/>
              </w:rPr>
              <w:t>Pirms noteikumu projekta izstrādes saistībā ar nepieciešamību veikt grozījumus transfertcenu tiesiskajā regulējumā tika rīkotas publiskas konsultācijas. To ietvaros vairākas institūcijas (tajā skaitā biedrības, nodokļu konsultāciju uzņēmumi u.c.) sniedza viedokli, ka būtu jāpārskata transfertcenu dokumentācijas prasības, tās saskaņojot ar veiktajiem grozījumiem OECD Transfertcenu vadlīnijās.</w:t>
            </w:r>
          </w:p>
        </w:tc>
      </w:tr>
      <w:tr w:rsidR="00A873E8" w:rsidRPr="00EC5819" w:rsidTr="00B35E96">
        <w:tc>
          <w:tcPr>
            <w:tcW w:w="140" w:type="pct"/>
            <w:tcBorders>
              <w:top w:val="outset" w:sz="6" w:space="0" w:color="414142"/>
              <w:left w:val="outset" w:sz="6" w:space="0" w:color="414142"/>
              <w:bottom w:val="outset" w:sz="6" w:space="0" w:color="414142"/>
              <w:right w:val="outset" w:sz="6" w:space="0" w:color="414142"/>
            </w:tcBorders>
            <w:hideMark/>
          </w:tcPr>
          <w:p w:rsidR="00543AA6" w:rsidRPr="00EC5819" w:rsidRDefault="00543AA6" w:rsidP="00A873E8">
            <w:pPr>
              <w:spacing w:before="100" w:beforeAutospacing="1" w:after="100" w:afterAutospacing="1" w:line="360" w:lineRule="auto"/>
              <w:jc w:val="both"/>
              <w:rPr>
                <w:rFonts w:ascii="Times New Roman" w:eastAsia="Times New Roman" w:hAnsi="Times New Roman" w:cs="Times New Roman"/>
                <w:sz w:val="26"/>
                <w:szCs w:val="26"/>
                <w:lang w:eastAsia="lv-LV"/>
              </w:rPr>
            </w:pPr>
            <w:r w:rsidRPr="00EC5819">
              <w:rPr>
                <w:rFonts w:ascii="Times New Roman" w:eastAsia="Times New Roman" w:hAnsi="Times New Roman" w:cs="Times New Roman"/>
                <w:sz w:val="26"/>
                <w:szCs w:val="26"/>
                <w:lang w:eastAsia="lv-LV"/>
              </w:rPr>
              <w:t>2.</w:t>
            </w:r>
          </w:p>
        </w:tc>
        <w:tc>
          <w:tcPr>
            <w:tcW w:w="819" w:type="pct"/>
            <w:tcBorders>
              <w:top w:val="outset" w:sz="6" w:space="0" w:color="414142"/>
              <w:left w:val="outset" w:sz="6" w:space="0" w:color="414142"/>
              <w:bottom w:val="outset" w:sz="6" w:space="0" w:color="414142"/>
              <w:right w:val="outset" w:sz="6" w:space="0" w:color="414142"/>
            </w:tcBorders>
            <w:hideMark/>
          </w:tcPr>
          <w:p w:rsidR="00543AA6" w:rsidRPr="00EC5819" w:rsidRDefault="00543AA6" w:rsidP="00081A5D">
            <w:pPr>
              <w:spacing w:after="0" w:line="240" w:lineRule="auto"/>
              <w:jc w:val="both"/>
              <w:rPr>
                <w:rFonts w:ascii="Times New Roman" w:eastAsia="Times New Roman" w:hAnsi="Times New Roman" w:cs="Times New Roman"/>
                <w:sz w:val="26"/>
                <w:szCs w:val="26"/>
                <w:lang w:eastAsia="lv-LV"/>
              </w:rPr>
            </w:pPr>
            <w:r w:rsidRPr="00EC5819">
              <w:rPr>
                <w:rFonts w:ascii="Times New Roman" w:eastAsia="Times New Roman" w:hAnsi="Times New Roman" w:cs="Times New Roman"/>
                <w:sz w:val="26"/>
                <w:szCs w:val="26"/>
                <w:lang w:eastAsia="lv-LV"/>
              </w:rPr>
              <w:t>Sabiedrības līdzdalība projekta izstrādē</w:t>
            </w:r>
          </w:p>
        </w:tc>
        <w:tc>
          <w:tcPr>
            <w:tcW w:w="4041" w:type="pct"/>
            <w:tcBorders>
              <w:top w:val="outset" w:sz="6" w:space="0" w:color="414142"/>
              <w:left w:val="outset" w:sz="6" w:space="0" w:color="414142"/>
              <w:bottom w:val="outset" w:sz="6" w:space="0" w:color="414142"/>
              <w:right w:val="outset" w:sz="6" w:space="0" w:color="414142"/>
            </w:tcBorders>
            <w:hideMark/>
          </w:tcPr>
          <w:p w:rsidR="008417EF" w:rsidRPr="00EC5819" w:rsidRDefault="008417EF" w:rsidP="00404A62">
            <w:pPr>
              <w:pStyle w:val="NormalWeb"/>
              <w:spacing w:line="252" w:lineRule="auto"/>
              <w:ind w:right="110"/>
              <w:jc w:val="both"/>
              <w:rPr>
                <w:rFonts w:ascii="Calibri" w:hAnsi="Calibri" w:cs="Calibri"/>
                <w:sz w:val="26"/>
                <w:szCs w:val="26"/>
              </w:rPr>
            </w:pPr>
            <w:r w:rsidRPr="00EC5819">
              <w:rPr>
                <w:iCs/>
                <w:spacing w:val="-2"/>
                <w:sz w:val="26"/>
                <w:szCs w:val="26"/>
              </w:rPr>
              <w:t xml:space="preserve">Sabiedrības pārstāvji varēja līdzdarboties </w:t>
            </w:r>
            <w:r w:rsidR="003E604D" w:rsidRPr="00EC5819">
              <w:rPr>
                <w:iCs/>
                <w:spacing w:val="-2"/>
                <w:sz w:val="26"/>
                <w:szCs w:val="26"/>
              </w:rPr>
              <w:t xml:space="preserve">noteikumu </w:t>
            </w:r>
            <w:r w:rsidRPr="00EC5819">
              <w:rPr>
                <w:iCs/>
                <w:spacing w:val="-2"/>
                <w:sz w:val="26"/>
                <w:szCs w:val="26"/>
              </w:rPr>
              <w:t xml:space="preserve">projekta izstrādē, </w:t>
            </w:r>
            <w:proofErr w:type="spellStart"/>
            <w:r w:rsidRPr="00EC5819">
              <w:rPr>
                <w:iCs/>
                <w:spacing w:val="-2"/>
                <w:sz w:val="26"/>
                <w:szCs w:val="26"/>
              </w:rPr>
              <w:t>rakstveidā</w:t>
            </w:r>
            <w:proofErr w:type="spellEnd"/>
            <w:r w:rsidRPr="00EC5819">
              <w:rPr>
                <w:iCs/>
                <w:spacing w:val="-2"/>
                <w:sz w:val="26"/>
                <w:szCs w:val="26"/>
              </w:rPr>
              <w:t xml:space="preserve"> sniedzot viedokļus par projektu, kas </w:t>
            </w:r>
            <w:r w:rsidR="003E604D" w:rsidRPr="00EC5819">
              <w:rPr>
                <w:iCs/>
                <w:sz w:val="26"/>
                <w:szCs w:val="26"/>
              </w:rPr>
              <w:t>2018.gada 17.septembrī</w:t>
            </w:r>
            <w:r w:rsidRPr="00EC5819">
              <w:rPr>
                <w:iCs/>
                <w:sz w:val="26"/>
                <w:szCs w:val="26"/>
              </w:rPr>
              <w:t xml:space="preserve"> publicēts Finanšu ministrijas tīmekļvietnē sadaļā “Sabiedrības līdzdalība” – “Tiesību aktu projekt</w:t>
            </w:r>
            <w:r w:rsidR="00404A62">
              <w:rPr>
                <w:iCs/>
                <w:sz w:val="26"/>
                <w:szCs w:val="26"/>
              </w:rPr>
              <w:t>i” – “Nodokļu politika”</w:t>
            </w:r>
            <w:r w:rsidR="00404A62">
              <w:rPr>
                <w:rStyle w:val="FootnoteReference"/>
                <w:iCs/>
                <w:sz w:val="26"/>
                <w:szCs w:val="26"/>
              </w:rPr>
              <w:footnoteReference w:id="3"/>
            </w:r>
            <w:r w:rsidR="00404A62">
              <w:rPr>
                <w:rFonts w:ascii="Calibri" w:hAnsi="Calibri" w:cs="Calibri"/>
                <w:sz w:val="26"/>
                <w:szCs w:val="26"/>
              </w:rPr>
              <w:t xml:space="preserve"> </w:t>
            </w:r>
            <w:r w:rsidRPr="00EC5819">
              <w:rPr>
                <w:rFonts w:eastAsia="Times New Roman"/>
                <w:sz w:val="26"/>
                <w:szCs w:val="26"/>
              </w:rPr>
              <w:t xml:space="preserve">un </w:t>
            </w:r>
            <w:r w:rsidRPr="00EC5819">
              <w:rPr>
                <w:iCs/>
                <w:sz w:val="26"/>
                <w:szCs w:val="26"/>
              </w:rPr>
              <w:t>Ministru kabineta tīmekļvietnē sadaļā “Valsts kanceleja” – “Sabiedrības līdzdalība</w:t>
            </w:r>
            <w:r w:rsidR="00404A62">
              <w:rPr>
                <w:sz w:val="26"/>
                <w:szCs w:val="26"/>
              </w:rPr>
              <w:t>”.</w:t>
            </w:r>
            <w:r w:rsidR="00404A62">
              <w:rPr>
                <w:rStyle w:val="FootnoteReference"/>
                <w:sz w:val="26"/>
                <w:szCs w:val="26"/>
              </w:rPr>
              <w:footnoteReference w:id="4"/>
            </w:r>
            <w:r w:rsidRPr="00EC5819">
              <w:rPr>
                <w:sz w:val="26"/>
                <w:szCs w:val="26"/>
              </w:rPr>
              <w:t xml:space="preserve"> </w:t>
            </w:r>
          </w:p>
          <w:p w:rsidR="003E604D" w:rsidRPr="00EC5819" w:rsidRDefault="007E1A7F" w:rsidP="00404A62">
            <w:pPr>
              <w:spacing w:after="0" w:line="240" w:lineRule="auto"/>
              <w:ind w:right="110"/>
              <w:jc w:val="both"/>
              <w:rPr>
                <w:rFonts w:ascii="Times New Roman" w:eastAsia="Times New Roman" w:hAnsi="Times New Roman" w:cs="Times New Roman"/>
                <w:sz w:val="26"/>
                <w:szCs w:val="26"/>
                <w:lang w:eastAsia="lv-LV"/>
              </w:rPr>
            </w:pPr>
            <w:r w:rsidRPr="00EC5819">
              <w:rPr>
                <w:rFonts w:ascii="Times New Roman" w:eastAsia="Times New Roman" w:hAnsi="Times New Roman" w:cs="Times New Roman"/>
                <w:sz w:val="26"/>
                <w:szCs w:val="26"/>
                <w:lang w:eastAsia="lv-LV"/>
              </w:rPr>
              <w:t xml:space="preserve">Saistībā ar publiskajām konsultācijām par nepieciešamību veikt grozījumus transfertcenu tiesiskajā regulējumā ir saņemts viedoklis no Latvijas Tirdzniecības un rūpniecības kameras, Latvijas Komercbanku asociācijas, Latvijas nodokļu konsultantu asociācijas, Ārvalstu investoru padomes, Latvijas Darba devēju konfederācijas, SIA Ernst &amp; </w:t>
            </w:r>
            <w:proofErr w:type="spellStart"/>
            <w:r w:rsidRPr="00EC5819">
              <w:rPr>
                <w:rFonts w:ascii="Times New Roman" w:eastAsia="Times New Roman" w:hAnsi="Times New Roman" w:cs="Times New Roman"/>
                <w:sz w:val="26"/>
                <w:szCs w:val="26"/>
                <w:lang w:eastAsia="lv-LV"/>
              </w:rPr>
              <w:t>Young</w:t>
            </w:r>
            <w:proofErr w:type="spellEnd"/>
            <w:r w:rsidRPr="00EC5819">
              <w:rPr>
                <w:rFonts w:ascii="Times New Roman" w:eastAsia="Times New Roman" w:hAnsi="Times New Roman" w:cs="Times New Roman"/>
                <w:sz w:val="26"/>
                <w:szCs w:val="26"/>
                <w:lang w:eastAsia="lv-LV"/>
              </w:rPr>
              <w:t xml:space="preserve"> </w:t>
            </w:r>
            <w:proofErr w:type="spellStart"/>
            <w:r w:rsidRPr="00EC5819">
              <w:rPr>
                <w:rFonts w:ascii="Times New Roman" w:eastAsia="Times New Roman" w:hAnsi="Times New Roman" w:cs="Times New Roman"/>
                <w:sz w:val="26"/>
                <w:szCs w:val="26"/>
                <w:lang w:eastAsia="lv-LV"/>
              </w:rPr>
              <w:t>Baltic</w:t>
            </w:r>
            <w:proofErr w:type="spellEnd"/>
            <w:r w:rsidRPr="00EC5819">
              <w:rPr>
                <w:rFonts w:ascii="Times New Roman" w:eastAsia="Times New Roman" w:hAnsi="Times New Roman" w:cs="Times New Roman"/>
                <w:sz w:val="26"/>
                <w:szCs w:val="26"/>
                <w:lang w:eastAsia="lv-LV"/>
              </w:rPr>
              <w:t xml:space="preserve">, ZAB </w:t>
            </w:r>
            <w:proofErr w:type="spellStart"/>
            <w:r w:rsidRPr="00EC5819">
              <w:rPr>
                <w:rFonts w:ascii="Times New Roman" w:eastAsia="Times New Roman" w:hAnsi="Times New Roman" w:cs="Times New Roman"/>
                <w:sz w:val="26"/>
                <w:szCs w:val="26"/>
                <w:lang w:eastAsia="lv-LV"/>
              </w:rPr>
              <w:t>Sorainen</w:t>
            </w:r>
            <w:proofErr w:type="spellEnd"/>
            <w:r w:rsidRPr="00EC5819">
              <w:rPr>
                <w:rFonts w:ascii="Times New Roman" w:eastAsia="Times New Roman" w:hAnsi="Times New Roman" w:cs="Times New Roman"/>
                <w:sz w:val="26"/>
                <w:szCs w:val="26"/>
                <w:lang w:eastAsia="lv-LV"/>
              </w:rPr>
              <w:t xml:space="preserve">, KPMG Baltics SIA, </w:t>
            </w:r>
            <w:proofErr w:type="spellStart"/>
            <w:r w:rsidRPr="00EC5819">
              <w:rPr>
                <w:rFonts w:ascii="Times New Roman" w:eastAsia="Times New Roman" w:hAnsi="Times New Roman" w:cs="Times New Roman"/>
                <w:sz w:val="26"/>
                <w:szCs w:val="26"/>
                <w:lang w:eastAsia="lv-LV"/>
              </w:rPr>
              <w:t>PricewaterhouseCoopers</w:t>
            </w:r>
            <w:proofErr w:type="spellEnd"/>
            <w:r w:rsidRPr="00EC5819">
              <w:rPr>
                <w:rFonts w:ascii="Times New Roman" w:eastAsia="Times New Roman" w:hAnsi="Times New Roman" w:cs="Times New Roman"/>
                <w:sz w:val="26"/>
                <w:szCs w:val="26"/>
                <w:lang w:eastAsia="lv-LV"/>
              </w:rPr>
              <w:t xml:space="preserve"> SIA, AAT SIA, VAS “Latvijas dzelzceļš”, Grant </w:t>
            </w:r>
            <w:proofErr w:type="spellStart"/>
            <w:r w:rsidRPr="00EC5819">
              <w:rPr>
                <w:rFonts w:ascii="Times New Roman" w:eastAsia="Times New Roman" w:hAnsi="Times New Roman" w:cs="Times New Roman"/>
                <w:sz w:val="26"/>
                <w:szCs w:val="26"/>
                <w:lang w:eastAsia="lv-LV"/>
              </w:rPr>
              <w:t>Thornton</w:t>
            </w:r>
            <w:proofErr w:type="spellEnd"/>
            <w:r w:rsidRPr="00EC5819">
              <w:rPr>
                <w:rFonts w:ascii="Times New Roman" w:eastAsia="Times New Roman" w:hAnsi="Times New Roman" w:cs="Times New Roman"/>
                <w:sz w:val="26"/>
                <w:szCs w:val="26"/>
                <w:lang w:eastAsia="lv-LV"/>
              </w:rPr>
              <w:t xml:space="preserve"> </w:t>
            </w:r>
            <w:proofErr w:type="spellStart"/>
            <w:r w:rsidRPr="00EC5819">
              <w:rPr>
                <w:rFonts w:ascii="Times New Roman" w:eastAsia="Times New Roman" w:hAnsi="Times New Roman" w:cs="Times New Roman"/>
                <w:sz w:val="26"/>
                <w:szCs w:val="26"/>
                <w:lang w:eastAsia="lv-LV"/>
              </w:rPr>
              <w:t>Baltic</w:t>
            </w:r>
            <w:proofErr w:type="spellEnd"/>
            <w:r w:rsidRPr="00EC5819">
              <w:rPr>
                <w:rFonts w:ascii="Times New Roman" w:eastAsia="Times New Roman" w:hAnsi="Times New Roman" w:cs="Times New Roman"/>
                <w:sz w:val="26"/>
                <w:szCs w:val="26"/>
                <w:lang w:eastAsia="lv-LV"/>
              </w:rPr>
              <w:t xml:space="preserve"> SIA, </w:t>
            </w:r>
            <w:proofErr w:type="spellStart"/>
            <w:r w:rsidRPr="00EC5819">
              <w:rPr>
                <w:rFonts w:ascii="Times New Roman" w:eastAsia="Times New Roman" w:hAnsi="Times New Roman" w:cs="Times New Roman"/>
                <w:sz w:val="26"/>
                <w:szCs w:val="26"/>
                <w:lang w:eastAsia="lv-LV"/>
              </w:rPr>
              <w:t>Deloitte</w:t>
            </w:r>
            <w:proofErr w:type="spellEnd"/>
            <w:r w:rsidRPr="00EC5819">
              <w:rPr>
                <w:rFonts w:ascii="Times New Roman" w:eastAsia="Times New Roman" w:hAnsi="Times New Roman" w:cs="Times New Roman"/>
                <w:sz w:val="26"/>
                <w:szCs w:val="26"/>
                <w:lang w:eastAsia="lv-LV"/>
              </w:rPr>
              <w:t xml:space="preserve"> Latvia SIA. </w:t>
            </w:r>
          </w:p>
          <w:p w:rsidR="00A522FB" w:rsidRPr="00EC5819" w:rsidRDefault="007E1A7F">
            <w:pPr>
              <w:spacing w:after="0" w:line="240" w:lineRule="auto"/>
              <w:jc w:val="both"/>
              <w:rPr>
                <w:rFonts w:ascii="Times New Roman" w:eastAsia="Times New Roman" w:hAnsi="Times New Roman" w:cs="Times New Roman"/>
                <w:sz w:val="26"/>
                <w:szCs w:val="26"/>
                <w:lang w:eastAsia="lv-LV"/>
              </w:rPr>
            </w:pPr>
            <w:r w:rsidRPr="00EC5819">
              <w:rPr>
                <w:rFonts w:ascii="Times New Roman" w:eastAsia="Times New Roman" w:hAnsi="Times New Roman" w:cs="Times New Roman"/>
                <w:sz w:val="26"/>
                <w:szCs w:val="26"/>
                <w:lang w:eastAsia="lv-LV"/>
              </w:rPr>
              <w:t>Citu sabiedrības pārstāvju iebildumi un priekšlikumi netika saņemti.</w:t>
            </w:r>
          </w:p>
        </w:tc>
      </w:tr>
      <w:tr w:rsidR="00A873E8" w:rsidRPr="00EC5819" w:rsidTr="00B35E96">
        <w:tc>
          <w:tcPr>
            <w:tcW w:w="140" w:type="pct"/>
            <w:tcBorders>
              <w:top w:val="outset" w:sz="6" w:space="0" w:color="414142"/>
              <w:left w:val="outset" w:sz="6" w:space="0" w:color="414142"/>
              <w:bottom w:val="outset" w:sz="6" w:space="0" w:color="414142"/>
              <w:right w:val="outset" w:sz="6" w:space="0" w:color="414142"/>
            </w:tcBorders>
            <w:hideMark/>
          </w:tcPr>
          <w:p w:rsidR="00543AA6" w:rsidRPr="00EC5819" w:rsidRDefault="00543AA6" w:rsidP="00A873E8">
            <w:pPr>
              <w:spacing w:before="100" w:beforeAutospacing="1" w:after="100" w:afterAutospacing="1" w:line="360" w:lineRule="auto"/>
              <w:jc w:val="both"/>
              <w:rPr>
                <w:rFonts w:ascii="Times New Roman" w:eastAsia="Times New Roman" w:hAnsi="Times New Roman" w:cs="Times New Roman"/>
                <w:sz w:val="28"/>
                <w:szCs w:val="28"/>
                <w:lang w:eastAsia="lv-LV"/>
              </w:rPr>
            </w:pPr>
            <w:r w:rsidRPr="00EC5819">
              <w:rPr>
                <w:rFonts w:ascii="Times New Roman" w:eastAsia="Times New Roman" w:hAnsi="Times New Roman" w:cs="Times New Roman"/>
                <w:sz w:val="28"/>
                <w:szCs w:val="28"/>
                <w:lang w:eastAsia="lv-LV"/>
              </w:rPr>
              <w:t>3.</w:t>
            </w:r>
          </w:p>
        </w:tc>
        <w:tc>
          <w:tcPr>
            <w:tcW w:w="819" w:type="pct"/>
            <w:tcBorders>
              <w:top w:val="outset" w:sz="6" w:space="0" w:color="414142"/>
              <w:left w:val="outset" w:sz="6" w:space="0" w:color="414142"/>
              <w:bottom w:val="outset" w:sz="6" w:space="0" w:color="414142"/>
              <w:right w:val="outset" w:sz="6" w:space="0" w:color="414142"/>
            </w:tcBorders>
            <w:hideMark/>
          </w:tcPr>
          <w:p w:rsidR="00543AA6" w:rsidRPr="00EC5819" w:rsidRDefault="00543AA6" w:rsidP="00081A5D">
            <w:pPr>
              <w:spacing w:after="0" w:line="240" w:lineRule="auto"/>
              <w:jc w:val="both"/>
              <w:rPr>
                <w:rFonts w:ascii="Times New Roman" w:eastAsia="Times New Roman" w:hAnsi="Times New Roman" w:cs="Times New Roman"/>
                <w:sz w:val="26"/>
                <w:szCs w:val="26"/>
                <w:lang w:eastAsia="lv-LV"/>
              </w:rPr>
            </w:pPr>
            <w:r w:rsidRPr="00EC5819">
              <w:rPr>
                <w:rFonts w:ascii="Times New Roman" w:eastAsia="Times New Roman" w:hAnsi="Times New Roman" w:cs="Times New Roman"/>
                <w:sz w:val="26"/>
                <w:szCs w:val="26"/>
                <w:lang w:eastAsia="lv-LV"/>
              </w:rPr>
              <w:t>Sabiedrības līdzdalības rezultāti</w:t>
            </w:r>
          </w:p>
        </w:tc>
        <w:tc>
          <w:tcPr>
            <w:tcW w:w="4041" w:type="pct"/>
            <w:tcBorders>
              <w:top w:val="outset" w:sz="6" w:space="0" w:color="414142"/>
              <w:left w:val="outset" w:sz="6" w:space="0" w:color="414142"/>
              <w:bottom w:val="outset" w:sz="6" w:space="0" w:color="414142"/>
              <w:right w:val="outset" w:sz="6" w:space="0" w:color="414142"/>
            </w:tcBorders>
            <w:hideMark/>
          </w:tcPr>
          <w:p w:rsidR="00543AA6" w:rsidRPr="00EC5819" w:rsidRDefault="007E1A7F">
            <w:pPr>
              <w:spacing w:after="0" w:line="240" w:lineRule="auto"/>
              <w:jc w:val="both"/>
              <w:rPr>
                <w:rFonts w:ascii="Times New Roman" w:eastAsia="Times New Roman" w:hAnsi="Times New Roman" w:cs="Times New Roman"/>
                <w:sz w:val="26"/>
                <w:szCs w:val="26"/>
                <w:lang w:eastAsia="lv-LV"/>
              </w:rPr>
            </w:pPr>
            <w:r w:rsidRPr="00EC5819">
              <w:rPr>
                <w:rFonts w:ascii="Times New Roman" w:eastAsia="Times New Roman" w:hAnsi="Times New Roman" w:cs="Times New Roman"/>
                <w:sz w:val="26"/>
                <w:szCs w:val="26"/>
                <w:lang w:eastAsia="lv-LV"/>
              </w:rPr>
              <w:t xml:space="preserve">Noteikumu projektā ņemti vērā vairāki </w:t>
            </w:r>
            <w:r w:rsidR="00980615" w:rsidRPr="00EC5819">
              <w:rPr>
                <w:rFonts w:ascii="Times New Roman" w:eastAsia="Times New Roman" w:hAnsi="Times New Roman" w:cs="Times New Roman"/>
                <w:sz w:val="26"/>
                <w:szCs w:val="26"/>
                <w:lang w:eastAsia="lv-LV"/>
              </w:rPr>
              <w:t xml:space="preserve">anotācijas </w:t>
            </w:r>
            <w:r w:rsidRPr="00EC5819">
              <w:rPr>
                <w:rFonts w:ascii="Times New Roman" w:eastAsia="Times New Roman" w:hAnsi="Times New Roman" w:cs="Times New Roman"/>
                <w:sz w:val="26"/>
                <w:szCs w:val="26"/>
                <w:lang w:eastAsia="lv-LV"/>
              </w:rPr>
              <w:t xml:space="preserve">šīs sadaļas 2.punktā minēto institūciju ieteikumi </w:t>
            </w:r>
            <w:r w:rsidR="00980615" w:rsidRPr="00EC5819">
              <w:rPr>
                <w:rFonts w:ascii="Times New Roman" w:eastAsia="Times New Roman" w:hAnsi="Times New Roman" w:cs="Times New Roman"/>
                <w:sz w:val="26"/>
                <w:szCs w:val="26"/>
                <w:lang w:eastAsia="lv-LV"/>
              </w:rPr>
              <w:t>(ieteikumi tika</w:t>
            </w:r>
            <w:r w:rsidR="003E604D" w:rsidRPr="00EC5819">
              <w:rPr>
                <w:rFonts w:ascii="Times New Roman" w:eastAsia="Times New Roman" w:hAnsi="Times New Roman" w:cs="Times New Roman"/>
                <w:sz w:val="26"/>
                <w:szCs w:val="26"/>
                <w:lang w:eastAsia="lv-LV"/>
              </w:rPr>
              <w:t xml:space="preserve"> ņemti vērā</w:t>
            </w:r>
            <w:r w:rsidR="00980615" w:rsidRPr="00EC5819">
              <w:rPr>
                <w:rFonts w:ascii="Times New Roman" w:eastAsia="Times New Roman" w:hAnsi="Times New Roman" w:cs="Times New Roman"/>
                <w:sz w:val="26"/>
                <w:szCs w:val="26"/>
                <w:lang w:eastAsia="lv-LV"/>
              </w:rPr>
              <w:t xml:space="preserve">, veicot grozījumus Likumā, jo sākotnēji detalizētās prasības bija iekļautas Likuma grozījumos) </w:t>
            </w:r>
            <w:r w:rsidRPr="00EC5819">
              <w:rPr>
                <w:rFonts w:ascii="Times New Roman" w:eastAsia="Times New Roman" w:hAnsi="Times New Roman" w:cs="Times New Roman"/>
                <w:sz w:val="26"/>
                <w:szCs w:val="26"/>
                <w:lang w:eastAsia="lv-LV"/>
              </w:rPr>
              <w:t>attiecībā uz informācijas apjomu, kāds norādāms transfertcenu dokumentācijā.</w:t>
            </w:r>
          </w:p>
        </w:tc>
      </w:tr>
      <w:tr w:rsidR="00A873E8" w:rsidRPr="00EC5819" w:rsidTr="00B35E96">
        <w:tc>
          <w:tcPr>
            <w:tcW w:w="140" w:type="pct"/>
            <w:tcBorders>
              <w:top w:val="outset" w:sz="6" w:space="0" w:color="414142"/>
              <w:left w:val="outset" w:sz="6" w:space="0" w:color="414142"/>
              <w:bottom w:val="outset" w:sz="6" w:space="0" w:color="414142"/>
              <w:right w:val="outset" w:sz="6" w:space="0" w:color="414142"/>
            </w:tcBorders>
            <w:hideMark/>
          </w:tcPr>
          <w:p w:rsidR="00543AA6" w:rsidRPr="00EC5819" w:rsidRDefault="00543AA6" w:rsidP="00A873E8">
            <w:pPr>
              <w:spacing w:before="100" w:beforeAutospacing="1" w:after="100" w:afterAutospacing="1" w:line="360" w:lineRule="auto"/>
              <w:jc w:val="both"/>
              <w:rPr>
                <w:rFonts w:ascii="Times New Roman" w:eastAsia="Times New Roman" w:hAnsi="Times New Roman" w:cs="Times New Roman"/>
                <w:sz w:val="28"/>
                <w:szCs w:val="28"/>
                <w:lang w:eastAsia="lv-LV"/>
              </w:rPr>
            </w:pPr>
            <w:r w:rsidRPr="00EC5819">
              <w:rPr>
                <w:rFonts w:ascii="Times New Roman" w:eastAsia="Times New Roman" w:hAnsi="Times New Roman" w:cs="Times New Roman"/>
                <w:sz w:val="28"/>
                <w:szCs w:val="28"/>
                <w:lang w:eastAsia="lv-LV"/>
              </w:rPr>
              <w:t>4.</w:t>
            </w:r>
          </w:p>
        </w:tc>
        <w:tc>
          <w:tcPr>
            <w:tcW w:w="819" w:type="pct"/>
            <w:tcBorders>
              <w:top w:val="outset" w:sz="6" w:space="0" w:color="414142"/>
              <w:left w:val="outset" w:sz="6" w:space="0" w:color="414142"/>
              <w:bottom w:val="outset" w:sz="6" w:space="0" w:color="414142"/>
              <w:right w:val="outset" w:sz="6" w:space="0" w:color="414142"/>
            </w:tcBorders>
            <w:hideMark/>
          </w:tcPr>
          <w:p w:rsidR="00543AA6" w:rsidRPr="00EC5819" w:rsidRDefault="00543AA6" w:rsidP="00081A5D">
            <w:pPr>
              <w:spacing w:after="0" w:line="240" w:lineRule="auto"/>
              <w:jc w:val="both"/>
              <w:rPr>
                <w:rFonts w:ascii="Times New Roman" w:eastAsia="Times New Roman" w:hAnsi="Times New Roman" w:cs="Times New Roman"/>
                <w:sz w:val="26"/>
                <w:szCs w:val="26"/>
                <w:lang w:eastAsia="lv-LV"/>
              </w:rPr>
            </w:pPr>
            <w:r w:rsidRPr="00EC5819">
              <w:rPr>
                <w:rFonts w:ascii="Times New Roman" w:eastAsia="Times New Roman" w:hAnsi="Times New Roman" w:cs="Times New Roman"/>
                <w:sz w:val="26"/>
                <w:szCs w:val="26"/>
                <w:lang w:eastAsia="lv-LV"/>
              </w:rPr>
              <w:t>Cita informācija</w:t>
            </w:r>
          </w:p>
        </w:tc>
        <w:tc>
          <w:tcPr>
            <w:tcW w:w="4041" w:type="pct"/>
            <w:tcBorders>
              <w:top w:val="outset" w:sz="6" w:space="0" w:color="414142"/>
              <w:left w:val="outset" w:sz="6" w:space="0" w:color="414142"/>
              <w:bottom w:val="outset" w:sz="6" w:space="0" w:color="414142"/>
              <w:right w:val="outset" w:sz="6" w:space="0" w:color="414142"/>
            </w:tcBorders>
            <w:hideMark/>
          </w:tcPr>
          <w:p w:rsidR="00543AA6" w:rsidRPr="00EC5819" w:rsidRDefault="008D28A6" w:rsidP="00081A5D">
            <w:pPr>
              <w:spacing w:after="0" w:line="240" w:lineRule="auto"/>
              <w:jc w:val="both"/>
              <w:rPr>
                <w:rFonts w:ascii="Times New Roman" w:eastAsia="Times New Roman" w:hAnsi="Times New Roman" w:cs="Times New Roman"/>
                <w:sz w:val="26"/>
                <w:szCs w:val="26"/>
                <w:lang w:eastAsia="lv-LV"/>
              </w:rPr>
            </w:pPr>
            <w:r w:rsidRPr="00EC5819">
              <w:rPr>
                <w:rFonts w:ascii="Times New Roman" w:eastAsia="Times New Roman" w:hAnsi="Times New Roman" w:cs="Times New Roman"/>
                <w:sz w:val="26"/>
                <w:szCs w:val="26"/>
                <w:lang w:eastAsia="lv-LV"/>
              </w:rPr>
              <w:t>Nav</w:t>
            </w:r>
            <w:r w:rsidR="008417EF" w:rsidRPr="00EC5819">
              <w:rPr>
                <w:rFonts w:ascii="Times New Roman" w:eastAsia="Times New Roman" w:hAnsi="Times New Roman" w:cs="Times New Roman"/>
                <w:sz w:val="26"/>
                <w:szCs w:val="26"/>
                <w:lang w:eastAsia="lv-LV"/>
              </w:rPr>
              <w:t>.</w:t>
            </w:r>
          </w:p>
        </w:tc>
      </w:tr>
    </w:tbl>
    <w:p w:rsidR="00543AA6" w:rsidRDefault="00543AA6" w:rsidP="00543AA6">
      <w:pPr>
        <w:spacing w:after="0" w:line="240" w:lineRule="auto"/>
        <w:rPr>
          <w:rFonts w:ascii="Times New Roman" w:eastAsia="Times New Roman" w:hAnsi="Times New Roman" w:cs="Times New Roman"/>
          <w:sz w:val="28"/>
          <w:szCs w:val="28"/>
          <w:lang w:eastAsia="lv-LV"/>
        </w:rPr>
      </w:pPr>
    </w:p>
    <w:p w:rsidR="00A873E8" w:rsidRPr="00EC5819" w:rsidRDefault="00A873E8" w:rsidP="00543AA6">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5"/>
        <w:gridCol w:w="2209"/>
        <w:gridCol w:w="6291"/>
      </w:tblGrid>
      <w:tr w:rsidR="0091261F" w:rsidRPr="00EC5819" w:rsidTr="00081A5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43AA6" w:rsidRPr="00EC5819" w:rsidRDefault="00543AA6" w:rsidP="003C46DD">
            <w:pPr>
              <w:spacing w:before="100" w:beforeAutospacing="1" w:after="100" w:afterAutospacing="1" w:line="240" w:lineRule="auto"/>
              <w:ind w:firstLine="300"/>
              <w:jc w:val="center"/>
              <w:rPr>
                <w:rFonts w:ascii="Times New Roman" w:eastAsia="Times New Roman" w:hAnsi="Times New Roman" w:cs="Times New Roman"/>
                <w:b/>
                <w:bCs/>
                <w:sz w:val="26"/>
                <w:szCs w:val="28"/>
                <w:lang w:eastAsia="lv-LV"/>
              </w:rPr>
            </w:pPr>
            <w:r w:rsidRPr="00EC5819">
              <w:rPr>
                <w:rFonts w:ascii="Times New Roman" w:eastAsia="Times New Roman" w:hAnsi="Times New Roman" w:cs="Times New Roman"/>
                <w:b/>
                <w:bCs/>
                <w:sz w:val="26"/>
                <w:szCs w:val="28"/>
                <w:lang w:eastAsia="lv-LV"/>
              </w:rPr>
              <w:t>VII. Tiesību akta projekta izpildes nodrošināšana un tās ietekme uz institūcijām</w:t>
            </w:r>
          </w:p>
        </w:tc>
      </w:tr>
      <w:tr w:rsidR="0091261F" w:rsidRPr="00EC5819" w:rsidTr="00281052">
        <w:tc>
          <w:tcPr>
            <w:tcW w:w="300" w:type="pct"/>
            <w:tcBorders>
              <w:top w:val="outset" w:sz="6" w:space="0" w:color="414142"/>
              <w:left w:val="outset" w:sz="6" w:space="0" w:color="414142"/>
              <w:bottom w:val="outset" w:sz="6" w:space="0" w:color="414142"/>
              <w:right w:val="outset" w:sz="6" w:space="0" w:color="414142"/>
            </w:tcBorders>
            <w:hideMark/>
          </w:tcPr>
          <w:p w:rsidR="00543AA6" w:rsidRPr="00EC5819"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EC5819">
              <w:rPr>
                <w:rFonts w:ascii="Times New Roman" w:eastAsia="Times New Roman" w:hAnsi="Times New Roman" w:cs="Times New Roman"/>
                <w:sz w:val="26"/>
                <w:szCs w:val="26"/>
                <w:lang w:eastAsia="lv-LV"/>
              </w:rPr>
              <w:t>1.</w:t>
            </w:r>
          </w:p>
        </w:tc>
        <w:tc>
          <w:tcPr>
            <w:tcW w:w="1223" w:type="pct"/>
            <w:tcBorders>
              <w:top w:val="outset" w:sz="6" w:space="0" w:color="414142"/>
              <w:left w:val="outset" w:sz="6" w:space="0" w:color="414142"/>
              <w:bottom w:val="outset" w:sz="6" w:space="0" w:color="414142"/>
              <w:right w:val="outset" w:sz="6" w:space="0" w:color="414142"/>
            </w:tcBorders>
            <w:hideMark/>
          </w:tcPr>
          <w:p w:rsidR="00543AA6" w:rsidRPr="00EC5819" w:rsidRDefault="00543AA6" w:rsidP="00081A5D">
            <w:pPr>
              <w:spacing w:after="0" w:line="240" w:lineRule="auto"/>
              <w:rPr>
                <w:rFonts w:ascii="Times New Roman" w:eastAsia="Times New Roman" w:hAnsi="Times New Roman" w:cs="Times New Roman"/>
                <w:sz w:val="26"/>
                <w:szCs w:val="26"/>
                <w:lang w:eastAsia="lv-LV"/>
              </w:rPr>
            </w:pPr>
            <w:r w:rsidRPr="00EC5819">
              <w:rPr>
                <w:rFonts w:ascii="Times New Roman" w:eastAsia="Times New Roman" w:hAnsi="Times New Roman" w:cs="Times New Roman"/>
                <w:sz w:val="26"/>
                <w:szCs w:val="26"/>
                <w:lang w:eastAsia="lv-LV"/>
              </w:rPr>
              <w:t>Projekta izpildē iesaistītās institūcijas</w:t>
            </w:r>
          </w:p>
        </w:tc>
        <w:tc>
          <w:tcPr>
            <w:tcW w:w="3477" w:type="pct"/>
            <w:tcBorders>
              <w:top w:val="outset" w:sz="6" w:space="0" w:color="414142"/>
              <w:left w:val="outset" w:sz="6" w:space="0" w:color="414142"/>
              <w:bottom w:val="outset" w:sz="6" w:space="0" w:color="414142"/>
              <w:right w:val="outset" w:sz="6" w:space="0" w:color="414142"/>
            </w:tcBorders>
            <w:hideMark/>
          </w:tcPr>
          <w:p w:rsidR="00543AA6" w:rsidRPr="00EC5819" w:rsidRDefault="003C46DD" w:rsidP="00081A5D">
            <w:pPr>
              <w:spacing w:after="0" w:line="240" w:lineRule="auto"/>
              <w:rPr>
                <w:rFonts w:ascii="Times New Roman" w:eastAsia="Times New Roman" w:hAnsi="Times New Roman" w:cs="Times New Roman"/>
                <w:sz w:val="26"/>
                <w:szCs w:val="26"/>
                <w:lang w:eastAsia="lv-LV"/>
              </w:rPr>
            </w:pPr>
            <w:r w:rsidRPr="00EC5819">
              <w:rPr>
                <w:rFonts w:ascii="Times New Roman" w:eastAsia="Times New Roman" w:hAnsi="Times New Roman" w:cs="Times New Roman"/>
                <w:sz w:val="26"/>
                <w:szCs w:val="26"/>
                <w:lang w:eastAsia="lv-LV"/>
              </w:rPr>
              <w:t>VID</w:t>
            </w:r>
          </w:p>
        </w:tc>
      </w:tr>
      <w:tr w:rsidR="0091261F" w:rsidRPr="00EC5819" w:rsidTr="00281052">
        <w:tc>
          <w:tcPr>
            <w:tcW w:w="300" w:type="pct"/>
            <w:tcBorders>
              <w:top w:val="outset" w:sz="6" w:space="0" w:color="414142"/>
              <w:left w:val="outset" w:sz="6" w:space="0" w:color="414142"/>
              <w:bottom w:val="outset" w:sz="6" w:space="0" w:color="414142"/>
              <w:right w:val="outset" w:sz="6" w:space="0" w:color="414142"/>
            </w:tcBorders>
            <w:hideMark/>
          </w:tcPr>
          <w:p w:rsidR="00543AA6" w:rsidRPr="00EC5819"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EC5819">
              <w:rPr>
                <w:rFonts w:ascii="Times New Roman" w:eastAsia="Times New Roman" w:hAnsi="Times New Roman" w:cs="Times New Roman"/>
                <w:sz w:val="26"/>
                <w:szCs w:val="26"/>
                <w:lang w:eastAsia="lv-LV"/>
              </w:rPr>
              <w:t>2.</w:t>
            </w:r>
          </w:p>
        </w:tc>
        <w:tc>
          <w:tcPr>
            <w:tcW w:w="1223" w:type="pct"/>
            <w:tcBorders>
              <w:top w:val="outset" w:sz="6" w:space="0" w:color="414142"/>
              <w:left w:val="outset" w:sz="6" w:space="0" w:color="414142"/>
              <w:bottom w:val="outset" w:sz="6" w:space="0" w:color="414142"/>
              <w:right w:val="outset" w:sz="6" w:space="0" w:color="414142"/>
            </w:tcBorders>
            <w:hideMark/>
          </w:tcPr>
          <w:p w:rsidR="00543AA6" w:rsidRPr="00EC5819" w:rsidRDefault="00543AA6" w:rsidP="00081A5D">
            <w:pPr>
              <w:spacing w:after="0" w:line="240" w:lineRule="auto"/>
              <w:rPr>
                <w:rFonts w:ascii="Times New Roman" w:eastAsia="Times New Roman" w:hAnsi="Times New Roman" w:cs="Times New Roman"/>
                <w:sz w:val="26"/>
                <w:szCs w:val="26"/>
                <w:lang w:eastAsia="lv-LV"/>
              </w:rPr>
            </w:pPr>
            <w:r w:rsidRPr="00EC5819">
              <w:rPr>
                <w:rFonts w:ascii="Times New Roman" w:eastAsia="Times New Roman" w:hAnsi="Times New Roman" w:cs="Times New Roman"/>
                <w:sz w:val="26"/>
                <w:szCs w:val="26"/>
                <w:lang w:eastAsia="lv-LV"/>
              </w:rPr>
              <w:t>Projekta izpildes ietekme uz pārvaldes funkcijām un institucionālo struktūru.</w:t>
            </w:r>
            <w:r w:rsidRPr="00EC5819">
              <w:rPr>
                <w:rFonts w:ascii="Times New Roman" w:eastAsia="Times New Roman" w:hAnsi="Times New Roman" w:cs="Times New Roman"/>
                <w:sz w:val="26"/>
                <w:szCs w:val="26"/>
                <w:lang w:eastAsia="lv-LV"/>
              </w:rPr>
              <w:br/>
              <w:t>Jaunu institūciju izveide, esošu institūciju likvidācija vai reorganizācija, to ietekme uz institūcijas cilvēkresursiem</w:t>
            </w:r>
          </w:p>
        </w:tc>
        <w:tc>
          <w:tcPr>
            <w:tcW w:w="3477" w:type="pct"/>
            <w:tcBorders>
              <w:top w:val="outset" w:sz="6" w:space="0" w:color="414142"/>
              <w:left w:val="outset" w:sz="6" w:space="0" w:color="414142"/>
              <w:bottom w:val="outset" w:sz="6" w:space="0" w:color="414142"/>
              <w:right w:val="outset" w:sz="6" w:space="0" w:color="414142"/>
            </w:tcBorders>
            <w:hideMark/>
          </w:tcPr>
          <w:p w:rsidR="007E1A7F" w:rsidRPr="00EC5819" w:rsidRDefault="007E1A7F" w:rsidP="007E1A7F">
            <w:pPr>
              <w:spacing w:after="0" w:line="240" w:lineRule="auto"/>
              <w:jc w:val="both"/>
              <w:rPr>
                <w:rFonts w:ascii="Times New Roman" w:eastAsia="Times New Roman" w:hAnsi="Times New Roman" w:cs="Times New Roman"/>
                <w:sz w:val="26"/>
                <w:szCs w:val="26"/>
                <w:lang w:eastAsia="lv-LV"/>
              </w:rPr>
            </w:pPr>
            <w:r w:rsidRPr="00EC5819">
              <w:rPr>
                <w:rFonts w:ascii="Times New Roman" w:eastAsia="Times New Roman" w:hAnsi="Times New Roman" w:cs="Times New Roman"/>
                <w:sz w:val="26"/>
                <w:szCs w:val="26"/>
                <w:lang w:eastAsia="lv-LV"/>
              </w:rPr>
              <w:t>Noteikumu projekts neparedz veidot jaunas institūcijas, reorganizēt vai likvidēt esošās institūcijas.</w:t>
            </w:r>
          </w:p>
          <w:p w:rsidR="007E1A7F" w:rsidRPr="00EC5819" w:rsidRDefault="007E1A7F" w:rsidP="007E1A7F">
            <w:pPr>
              <w:spacing w:after="0" w:line="240" w:lineRule="auto"/>
              <w:jc w:val="both"/>
              <w:rPr>
                <w:rFonts w:ascii="Times New Roman" w:eastAsia="Times New Roman" w:hAnsi="Times New Roman" w:cs="Times New Roman"/>
                <w:sz w:val="26"/>
                <w:szCs w:val="26"/>
                <w:lang w:eastAsia="lv-LV"/>
              </w:rPr>
            </w:pPr>
            <w:r w:rsidRPr="00EC5819">
              <w:rPr>
                <w:rFonts w:ascii="Times New Roman" w:eastAsia="Times New Roman" w:hAnsi="Times New Roman" w:cs="Times New Roman"/>
                <w:sz w:val="26"/>
                <w:szCs w:val="26"/>
                <w:lang w:eastAsia="lv-LV"/>
              </w:rPr>
              <w:t>Tāpat esošajām institūcijām netiek ne paplašinātas, ne sašaurinātas funkcijas.</w:t>
            </w:r>
          </w:p>
          <w:p w:rsidR="00543AA6" w:rsidRPr="00EC5819" w:rsidRDefault="007E1A7F" w:rsidP="007E3B4F">
            <w:pPr>
              <w:spacing w:after="0" w:line="240" w:lineRule="auto"/>
              <w:jc w:val="both"/>
              <w:rPr>
                <w:rFonts w:ascii="Times New Roman" w:eastAsia="Times New Roman" w:hAnsi="Times New Roman" w:cs="Times New Roman"/>
                <w:sz w:val="26"/>
                <w:szCs w:val="26"/>
                <w:lang w:eastAsia="lv-LV"/>
              </w:rPr>
            </w:pPr>
            <w:r w:rsidRPr="00EC5819">
              <w:rPr>
                <w:rFonts w:ascii="Times New Roman" w:eastAsia="Times New Roman" w:hAnsi="Times New Roman" w:cs="Times New Roman"/>
                <w:sz w:val="26"/>
                <w:szCs w:val="26"/>
                <w:lang w:eastAsia="lv-LV"/>
              </w:rPr>
              <w:t xml:space="preserve">Noteikumu projekta izpilde tiks nodrošināta esošo cilvēkresursu </w:t>
            </w:r>
            <w:r w:rsidR="00BF6C42" w:rsidRPr="00EC5819">
              <w:rPr>
                <w:rFonts w:ascii="Times New Roman" w:eastAsia="Times New Roman" w:hAnsi="Times New Roman" w:cs="Times New Roman"/>
                <w:sz w:val="26"/>
                <w:szCs w:val="26"/>
                <w:lang w:eastAsia="lv-LV"/>
              </w:rPr>
              <w:t xml:space="preserve">un finansējuma </w:t>
            </w:r>
            <w:r w:rsidRPr="00EC5819">
              <w:rPr>
                <w:rFonts w:ascii="Times New Roman" w:eastAsia="Times New Roman" w:hAnsi="Times New Roman" w:cs="Times New Roman"/>
                <w:sz w:val="26"/>
                <w:szCs w:val="26"/>
                <w:lang w:eastAsia="lv-LV"/>
              </w:rPr>
              <w:t>ietvaros.</w:t>
            </w:r>
          </w:p>
        </w:tc>
      </w:tr>
      <w:tr w:rsidR="0091261F" w:rsidRPr="00EC5819" w:rsidTr="00281052">
        <w:tc>
          <w:tcPr>
            <w:tcW w:w="300" w:type="pct"/>
            <w:tcBorders>
              <w:top w:val="outset" w:sz="6" w:space="0" w:color="414142"/>
              <w:left w:val="outset" w:sz="6" w:space="0" w:color="414142"/>
              <w:bottom w:val="outset" w:sz="6" w:space="0" w:color="414142"/>
              <w:right w:val="outset" w:sz="6" w:space="0" w:color="414142"/>
            </w:tcBorders>
            <w:hideMark/>
          </w:tcPr>
          <w:p w:rsidR="00543AA6" w:rsidRPr="00EC5819"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EC5819">
              <w:rPr>
                <w:rFonts w:ascii="Times New Roman" w:eastAsia="Times New Roman" w:hAnsi="Times New Roman" w:cs="Times New Roman"/>
                <w:sz w:val="26"/>
                <w:szCs w:val="26"/>
                <w:lang w:eastAsia="lv-LV"/>
              </w:rPr>
              <w:t>3.</w:t>
            </w:r>
          </w:p>
        </w:tc>
        <w:tc>
          <w:tcPr>
            <w:tcW w:w="1223" w:type="pct"/>
            <w:tcBorders>
              <w:top w:val="outset" w:sz="6" w:space="0" w:color="414142"/>
              <w:left w:val="outset" w:sz="6" w:space="0" w:color="414142"/>
              <w:bottom w:val="outset" w:sz="6" w:space="0" w:color="414142"/>
              <w:right w:val="outset" w:sz="6" w:space="0" w:color="414142"/>
            </w:tcBorders>
            <w:hideMark/>
          </w:tcPr>
          <w:p w:rsidR="00543AA6" w:rsidRPr="00EC5819" w:rsidRDefault="00543AA6" w:rsidP="00081A5D">
            <w:pPr>
              <w:spacing w:after="0" w:line="240" w:lineRule="auto"/>
              <w:rPr>
                <w:rFonts w:ascii="Times New Roman" w:eastAsia="Times New Roman" w:hAnsi="Times New Roman" w:cs="Times New Roman"/>
                <w:sz w:val="26"/>
                <w:szCs w:val="26"/>
                <w:lang w:eastAsia="lv-LV"/>
              </w:rPr>
            </w:pPr>
            <w:r w:rsidRPr="00EC5819">
              <w:rPr>
                <w:rFonts w:ascii="Times New Roman" w:eastAsia="Times New Roman" w:hAnsi="Times New Roman" w:cs="Times New Roman"/>
                <w:sz w:val="26"/>
                <w:szCs w:val="26"/>
                <w:lang w:eastAsia="lv-LV"/>
              </w:rPr>
              <w:t>Cita informācija</w:t>
            </w:r>
          </w:p>
        </w:tc>
        <w:tc>
          <w:tcPr>
            <w:tcW w:w="3477" w:type="pct"/>
            <w:tcBorders>
              <w:top w:val="outset" w:sz="6" w:space="0" w:color="414142"/>
              <w:left w:val="outset" w:sz="6" w:space="0" w:color="414142"/>
              <w:bottom w:val="outset" w:sz="6" w:space="0" w:color="414142"/>
              <w:right w:val="outset" w:sz="6" w:space="0" w:color="414142"/>
            </w:tcBorders>
            <w:hideMark/>
          </w:tcPr>
          <w:p w:rsidR="00543AA6" w:rsidRPr="00EC5819" w:rsidRDefault="003C46DD" w:rsidP="00081A5D">
            <w:pPr>
              <w:spacing w:after="0" w:line="240" w:lineRule="auto"/>
              <w:rPr>
                <w:rFonts w:ascii="Times New Roman" w:eastAsia="Times New Roman" w:hAnsi="Times New Roman" w:cs="Times New Roman"/>
                <w:sz w:val="26"/>
                <w:szCs w:val="26"/>
                <w:lang w:eastAsia="lv-LV"/>
              </w:rPr>
            </w:pPr>
            <w:r w:rsidRPr="00EC5819">
              <w:rPr>
                <w:rFonts w:ascii="Times New Roman" w:eastAsia="Times New Roman" w:hAnsi="Times New Roman" w:cs="Times New Roman"/>
                <w:sz w:val="26"/>
                <w:szCs w:val="26"/>
                <w:lang w:eastAsia="lv-LV"/>
              </w:rPr>
              <w:t>Nav</w:t>
            </w:r>
          </w:p>
        </w:tc>
      </w:tr>
    </w:tbl>
    <w:p w:rsidR="00AF4F4E" w:rsidRDefault="00AF4F4E">
      <w:pPr>
        <w:rPr>
          <w:sz w:val="26"/>
          <w:szCs w:val="26"/>
        </w:rPr>
      </w:pPr>
    </w:p>
    <w:p w:rsidR="00404A62" w:rsidRPr="00EC5819" w:rsidRDefault="00404A62">
      <w:pPr>
        <w:rPr>
          <w:sz w:val="26"/>
          <w:szCs w:val="26"/>
        </w:rPr>
      </w:pPr>
    </w:p>
    <w:p w:rsidR="003C46DD" w:rsidRPr="00404A62" w:rsidRDefault="003C46DD" w:rsidP="003C46DD">
      <w:pPr>
        <w:tabs>
          <w:tab w:val="left" w:pos="709"/>
          <w:tab w:val="left" w:pos="5812"/>
          <w:tab w:val="left" w:pos="7371"/>
        </w:tabs>
        <w:spacing w:after="0" w:line="240" w:lineRule="auto"/>
        <w:rPr>
          <w:rFonts w:ascii="Times New Roman" w:eastAsia="Times New Roman" w:hAnsi="Times New Roman" w:cs="Times New Roman"/>
          <w:sz w:val="26"/>
          <w:szCs w:val="26"/>
          <w:lang w:eastAsia="lv-LV"/>
        </w:rPr>
      </w:pPr>
      <w:r w:rsidRPr="00404A62">
        <w:rPr>
          <w:rFonts w:ascii="Times New Roman" w:eastAsia="Times New Roman" w:hAnsi="Times New Roman" w:cs="Times New Roman"/>
          <w:sz w:val="26"/>
          <w:szCs w:val="26"/>
          <w:lang w:eastAsia="lv-LV"/>
        </w:rPr>
        <w:t>Finanšu ministre</w:t>
      </w:r>
      <w:r w:rsidRPr="00404A62">
        <w:rPr>
          <w:rFonts w:ascii="Times New Roman" w:eastAsia="Times New Roman" w:hAnsi="Times New Roman" w:cs="Times New Roman"/>
          <w:sz w:val="26"/>
          <w:szCs w:val="26"/>
          <w:lang w:eastAsia="lv-LV"/>
        </w:rPr>
        <w:tab/>
      </w:r>
      <w:proofErr w:type="spellStart"/>
      <w:r w:rsidRPr="00404A62">
        <w:rPr>
          <w:rFonts w:ascii="Times New Roman" w:eastAsia="Times New Roman" w:hAnsi="Times New Roman" w:cs="Times New Roman"/>
          <w:sz w:val="26"/>
          <w:szCs w:val="26"/>
          <w:lang w:eastAsia="lv-LV"/>
        </w:rPr>
        <w:t>D.Reizniece</w:t>
      </w:r>
      <w:proofErr w:type="spellEnd"/>
      <w:r w:rsidRPr="00404A62">
        <w:rPr>
          <w:rFonts w:ascii="Times New Roman" w:eastAsia="Times New Roman" w:hAnsi="Times New Roman" w:cs="Times New Roman"/>
          <w:sz w:val="26"/>
          <w:szCs w:val="26"/>
          <w:lang w:eastAsia="lv-LV"/>
        </w:rPr>
        <w:t>-Ozola</w:t>
      </w:r>
    </w:p>
    <w:p w:rsidR="003C46DD" w:rsidRPr="00EC5819" w:rsidRDefault="003C46DD" w:rsidP="003C46DD">
      <w:pPr>
        <w:spacing w:after="0" w:line="240" w:lineRule="auto"/>
        <w:jc w:val="both"/>
        <w:rPr>
          <w:rFonts w:ascii="Times New Roman" w:eastAsia="Times New Roman" w:hAnsi="Times New Roman" w:cs="Times New Roman"/>
          <w:sz w:val="20"/>
          <w:szCs w:val="20"/>
          <w:lang w:eastAsia="lv-LV"/>
        </w:rPr>
      </w:pPr>
    </w:p>
    <w:p w:rsidR="003C46DD" w:rsidRPr="00EC5819" w:rsidRDefault="003C46DD" w:rsidP="003C46DD">
      <w:pPr>
        <w:spacing w:after="0" w:line="240" w:lineRule="auto"/>
        <w:jc w:val="both"/>
        <w:rPr>
          <w:rFonts w:ascii="Times New Roman" w:eastAsia="Times New Roman" w:hAnsi="Times New Roman" w:cs="Times New Roman"/>
          <w:sz w:val="20"/>
          <w:szCs w:val="20"/>
          <w:lang w:eastAsia="lv-LV"/>
        </w:rPr>
      </w:pPr>
    </w:p>
    <w:p w:rsidR="003C46DD" w:rsidRPr="00EC5819" w:rsidRDefault="003C46DD" w:rsidP="003C46DD">
      <w:pPr>
        <w:spacing w:after="0" w:line="240" w:lineRule="auto"/>
        <w:jc w:val="both"/>
        <w:rPr>
          <w:rFonts w:ascii="Times New Roman" w:eastAsia="Times New Roman" w:hAnsi="Times New Roman" w:cs="Times New Roman"/>
          <w:sz w:val="20"/>
          <w:szCs w:val="20"/>
          <w:lang w:eastAsia="lv-LV"/>
        </w:rPr>
      </w:pPr>
    </w:p>
    <w:p w:rsidR="00A6776C" w:rsidRDefault="00A6776C" w:rsidP="003C46DD">
      <w:pPr>
        <w:spacing w:after="0" w:line="240" w:lineRule="auto"/>
        <w:jc w:val="both"/>
        <w:rPr>
          <w:rFonts w:ascii="Times New Roman" w:eastAsia="Times New Roman" w:hAnsi="Times New Roman" w:cs="Times New Roman"/>
          <w:sz w:val="20"/>
          <w:szCs w:val="20"/>
          <w:lang w:eastAsia="lv-LV"/>
        </w:rPr>
      </w:pPr>
    </w:p>
    <w:p w:rsidR="00404A62" w:rsidRDefault="00404A62" w:rsidP="003C46DD">
      <w:pPr>
        <w:spacing w:after="0" w:line="240" w:lineRule="auto"/>
        <w:jc w:val="both"/>
        <w:rPr>
          <w:rFonts w:ascii="Times New Roman" w:eastAsia="Times New Roman" w:hAnsi="Times New Roman" w:cs="Times New Roman"/>
          <w:sz w:val="20"/>
          <w:szCs w:val="20"/>
          <w:lang w:eastAsia="lv-LV"/>
        </w:rPr>
      </w:pPr>
    </w:p>
    <w:p w:rsidR="00404A62" w:rsidRDefault="00404A62" w:rsidP="003C46DD">
      <w:pPr>
        <w:spacing w:after="0" w:line="240" w:lineRule="auto"/>
        <w:jc w:val="both"/>
        <w:rPr>
          <w:rFonts w:ascii="Times New Roman" w:eastAsia="Times New Roman" w:hAnsi="Times New Roman" w:cs="Times New Roman"/>
          <w:sz w:val="20"/>
          <w:szCs w:val="20"/>
          <w:lang w:eastAsia="lv-LV"/>
        </w:rPr>
      </w:pPr>
    </w:p>
    <w:p w:rsidR="00404A62" w:rsidRPr="00EC5819" w:rsidRDefault="00404A62" w:rsidP="003C46DD">
      <w:pPr>
        <w:spacing w:after="0" w:line="240" w:lineRule="auto"/>
        <w:jc w:val="both"/>
        <w:rPr>
          <w:rFonts w:ascii="Times New Roman" w:eastAsia="Times New Roman" w:hAnsi="Times New Roman" w:cs="Times New Roman"/>
          <w:sz w:val="20"/>
          <w:szCs w:val="20"/>
          <w:lang w:eastAsia="lv-LV"/>
        </w:rPr>
      </w:pPr>
    </w:p>
    <w:p w:rsidR="00A6776C" w:rsidRPr="00EC5819" w:rsidRDefault="00A6776C" w:rsidP="003C46DD">
      <w:pPr>
        <w:spacing w:after="0" w:line="240" w:lineRule="auto"/>
        <w:jc w:val="both"/>
        <w:rPr>
          <w:rFonts w:ascii="Times New Roman" w:eastAsia="Times New Roman" w:hAnsi="Times New Roman" w:cs="Times New Roman"/>
          <w:sz w:val="20"/>
          <w:szCs w:val="20"/>
          <w:lang w:eastAsia="lv-LV"/>
        </w:rPr>
      </w:pPr>
    </w:p>
    <w:p w:rsidR="003C46DD" w:rsidRPr="00EC5819" w:rsidRDefault="003C46DD" w:rsidP="003C46DD">
      <w:pPr>
        <w:spacing w:after="0" w:line="240" w:lineRule="auto"/>
        <w:jc w:val="both"/>
        <w:rPr>
          <w:rFonts w:ascii="Times New Roman" w:eastAsia="Times New Roman" w:hAnsi="Times New Roman" w:cs="Times New Roman"/>
          <w:sz w:val="20"/>
          <w:szCs w:val="20"/>
        </w:rPr>
      </w:pPr>
      <w:r w:rsidRPr="00EC5819">
        <w:rPr>
          <w:rFonts w:ascii="Times New Roman" w:eastAsia="Times New Roman" w:hAnsi="Times New Roman" w:cs="Times New Roman"/>
          <w:sz w:val="20"/>
          <w:szCs w:val="20"/>
        </w:rPr>
        <w:t>Auziņš, 67083919</w:t>
      </w:r>
    </w:p>
    <w:p w:rsidR="003C46DD" w:rsidRPr="0091261F" w:rsidRDefault="006C5347" w:rsidP="003C46DD">
      <w:pPr>
        <w:spacing w:after="0" w:line="240" w:lineRule="auto"/>
        <w:rPr>
          <w:rFonts w:ascii="Times New Roman" w:eastAsia="Times New Roman" w:hAnsi="Times New Roman" w:cs="Times New Roman"/>
          <w:snapToGrid w:val="0"/>
          <w:sz w:val="20"/>
          <w:szCs w:val="20"/>
        </w:rPr>
      </w:pPr>
      <w:hyperlink r:id="rId8" w:history="1">
        <w:r w:rsidR="003C46DD" w:rsidRPr="00EC5819">
          <w:rPr>
            <w:rFonts w:ascii="Times New Roman" w:eastAsia="Times New Roman" w:hAnsi="Times New Roman" w:cs="Times New Roman"/>
            <w:snapToGrid w:val="0"/>
            <w:sz w:val="20"/>
            <w:szCs w:val="20"/>
            <w:u w:val="single"/>
          </w:rPr>
          <w:t>Roberts.Auzins@fm.gov.lv</w:t>
        </w:r>
      </w:hyperlink>
    </w:p>
    <w:sectPr w:rsidR="003C46DD" w:rsidRPr="0091261F" w:rsidSect="0039100E">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347" w:rsidRDefault="006C5347" w:rsidP="00A75770">
      <w:pPr>
        <w:spacing w:after="0" w:line="240" w:lineRule="auto"/>
      </w:pPr>
      <w:r>
        <w:separator/>
      </w:r>
    </w:p>
  </w:endnote>
  <w:endnote w:type="continuationSeparator" w:id="0">
    <w:p w:rsidR="006C5347" w:rsidRDefault="006C5347" w:rsidP="00A7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61F" w:rsidRPr="00281052" w:rsidRDefault="0091261F" w:rsidP="0091261F">
    <w:pPr>
      <w:pStyle w:val="Footer"/>
      <w:tabs>
        <w:tab w:val="clear" w:pos="4153"/>
        <w:tab w:val="clear" w:pos="8306"/>
        <w:tab w:val="center" w:pos="4535"/>
        <w:tab w:val="left" w:pos="4943"/>
      </w:tabs>
      <w:rPr>
        <w:rFonts w:ascii="Times New Roman" w:hAnsi="Times New Roman" w:cs="Times New Roman"/>
        <w:sz w:val="18"/>
        <w:szCs w:val="18"/>
      </w:rPr>
    </w:pPr>
    <w:r w:rsidRPr="00281052">
      <w:rPr>
        <w:rFonts w:ascii="Times New Roman" w:hAnsi="Times New Roman" w:cs="Times New Roman"/>
        <w:sz w:val="18"/>
        <w:szCs w:val="18"/>
      </w:rPr>
      <w:fldChar w:fldCharType="begin"/>
    </w:r>
    <w:r w:rsidRPr="00281052">
      <w:rPr>
        <w:rFonts w:ascii="Times New Roman" w:hAnsi="Times New Roman" w:cs="Times New Roman"/>
        <w:sz w:val="18"/>
        <w:szCs w:val="18"/>
        <w:lang w:val="en-GB"/>
      </w:rPr>
      <w:instrText xml:space="preserve"> FILENAME \* MERGEFORMAT </w:instrText>
    </w:r>
    <w:r w:rsidRPr="00281052">
      <w:rPr>
        <w:rFonts w:ascii="Times New Roman" w:hAnsi="Times New Roman" w:cs="Times New Roman"/>
        <w:sz w:val="18"/>
        <w:szCs w:val="18"/>
      </w:rPr>
      <w:fldChar w:fldCharType="separate"/>
    </w:r>
    <w:r w:rsidR="00566DB6">
      <w:rPr>
        <w:rFonts w:ascii="Times New Roman" w:hAnsi="Times New Roman" w:cs="Times New Roman"/>
        <w:noProof/>
        <w:sz w:val="18"/>
        <w:szCs w:val="18"/>
        <w:lang w:val="en-GB"/>
      </w:rPr>
      <w:t>FMAnot_051218_TPD_APA.docx</w:t>
    </w:r>
    <w:r w:rsidRPr="00281052">
      <w:rP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A62" w:rsidRPr="00281052" w:rsidRDefault="00404A62" w:rsidP="00404A62">
    <w:pPr>
      <w:pStyle w:val="Footer"/>
      <w:tabs>
        <w:tab w:val="clear" w:pos="4153"/>
        <w:tab w:val="clear" w:pos="8306"/>
        <w:tab w:val="center" w:pos="4535"/>
        <w:tab w:val="left" w:pos="4943"/>
      </w:tabs>
      <w:rPr>
        <w:rFonts w:ascii="Times New Roman" w:hAnsi="Times New Roman" w:cs="Times New Roman"/>
        <w:sz w:val="18"/>
        <w:szCs w:val="18"/>
      </w:rPr>
    </w:pPr>
    <w:r w:rsidRPr="00281052">
      <w:rPr>
        <w:rFonts w:ascii="Times New Roman" w:hAnsi="Times New Roman" w:cs="Times New Roman"/>
        <w:sz w:val="18"/>
        <w:szCs w:val="18"/>
      </w:rPr>
      <w:fldChar w:fldCharType="begin"/>
    </w:r>
    <w:r w:rsidRPr="00281052">
      <w:rPr>
        <w:rFonts w:ascii="Times New Roman" w:hAnsi="Times New Roman" w:cs="Times New Roman"/>
        <w:sz w:val="18"/>
        <w:szCs w:val="18"/>
        <w:lang w:val="en-GB"/>
      </w:rPr>
      <w:instrText xml:space="preserve"> FILENAME \* MERGEFORMAT </w:instrText>
    </w:r>
    <w:r w:rsidRPr="00281052">
      <w:rPr>
        <w:rFonts w:ascii="Times New Roman" w:hAnsi="Times New Roman" w:cs="Times New Roman"/>
        <w:sz w:val="18"/>
        <w:szCs w:val="18"/>
      </w:rPr>
      <w:fldChar w:fldCharType="separate"/>
    </w:r>
    <w:r w:rsidR="00566DB6">
      <w:rPr>
        <w:rFonts w:ascii="Times New Roman" w:hAnsi="Times New Roman" w:cs="Times New Roman"/>
        <w:noProof/>
        <w:sz w:val="18"/>
        <w:szCs w:val="18"/>
        <w:lang w:val="en-GB"/>
      </w:rPr>
      <w:t>FMAnot_051218_TPD_APA.docx</w:t>
    </w:r>
    <w:r w:rsidRPr="00281052">
      <w:rPr>
        <w:rFonts w:ascii="Times New Roman" w:hAnsi="Times New Roman" w:cs="Times New Roman"/>
        <w:sz w:val="18"/>
        <w:szCs w:val="18"/>
      </w:rPr>
      <w:fldChar w:fldCharType="end"/>
    </w:r>
  </w:p>
  <w:p w:rsidR="00404A62" w:rsidRPr="00404A62" w:rsidRDefault="00404A62" w:rsidP="00404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347" w:rsidRDefault="006C5347" w:rsidP="00A75770">
      <w:pPr>
        <w:spacing w:after="0" w:line="240" w:lineRule="auto"/>
      </w:pPr>
      <w:r>
        <w:separator/>
      </w:r>
    </w:p>
  </w:footnote>
  <w:footnote w:type="continuationSeparator" w:id="0">
    <w:p w:rsidR="006C5347" w:rsidRDefault="006C5347" w:rsidP="00A75770">
      <w:pPr>
        <w:spacing w:after="0" w:line="240" w:lineRule="auto"/>
      </w:pPr>
      <w:r>
        <w:continuationSeparator/>
      </w:r>
    </w:p>
  </w:footnote>
  <w:footnote w:id="1">
    <w:p w:rsidR="006F3558" w:rsidRPr="003D4CA4" w:rsidRDefault="006F3558" w:rsidP="006F3558">
      <w:pPr>
        <w:pStyle w:val="FootnoteText"/>
        <w:jc w:val="both"/>
      </w:pPr>
      <w:r>
        <w:rPr>
          <w:rStyle w:val="FootnoteReference"/>
        </w:rPr>
        <w:footnoteRef/>
      </w:r>
      <w:r>
        <w:t xml:space="preserve"> Par zemas pievienotās vērtības pakalpojumiem </w:t>
      </w:r>
      <w:r w:rsidRPr="003D4CA4">
        <w:t xml:space="preserve">detalizētāk skatīt OECD Transfertcenu vadlīniju </w:t>
      </w:r>
      <w:r>
        <w:t>333</w:t>
      </w:r>
      <w:r w:rsidRPr="003D4CA4">
        <w:t>.lpp</w:t>
      </w:r>
      <w:r>
        <w:t xml:space="preserve"> (pieejams: </w:t>
      </w:r>
      <w:r w:rsidRPr="003D4CA4">
        <w:t>https://read.oecd-ilibrary.org/taxation/oecd-transfer-pricing-guidelines-for-multinational-enterprises-and-tax-administrations-2017_tpg-2017-en#page336</w:t>
      </w:r>
      <w:r>
        <w:t>).</w:t>
      </w:r>
    </w:p>
  </w:footnote>
  <w:footnote w:id="2">
    <w:p w:rsidR="006F3558" w:rsidRDefault="006F3558" w:rsidP="006F3558">
      <w:pPr>
        <w:pStyle w:val="FootnoteText"/>
        <w:jc w:val="both"/>
      </w:pPr>
      <w:r>
        <w:rPr>
          <w:rStyle w:val="FootnoteReference"/>
        </w:rPr>
        <w:footnoteRef/>
      </w:r>
      <w:r>
        <w:t xml:space="preserve"> Par “drošu patvērumu” detalizētāk skatīt OECD Transfertcenu vadlīniju 204.lpp (pieejams: </w:t>
      </w:r>
      <w:r w:rsidRPr="00796FC7">
        <w:t>https://read.oecd-ilibrary.org/taxation/oecd-transfer-pricing-guidelines-for-multinational-enterprises-and-tax-administrations-2017_tpg-2017-en#page207</w:t>
      </w:r>
      <w:r>
        <w:t>).</w:t>
      </w:r>
    </w:p>
  </w:footnote>
  <w:footnote w:id="3">
    <w:p w:rsidR="00404A62" w:rsidRPr="00404A62" w:rsidRDefault="00404A62" w:rsidP="00404A62">
      <w:pPr>
        <w:pStyle w:val="FootnoteText"/>
      </w:pPr>
      <w:r>
        <w:rPr>
          <w:rStyle w:val="FootnoteReference"/>
        </w:rPr>
        <w:footnoteRef/>
      </w:r>
      <w:r>
        <w:t xml:space="preserve"> </w:t>
      </w:r>
      <w:hyperlink r:id="rId1" w:history="1">
        <w:r w:rsidRPr="00404A62">
          <w:rPr>
            <w:rStyle w:val="Hyperlink"/>
            <w:sz w:val="18"/>
          </w:rPr>
          <w:t>http://www.fm.gov.lv/lv/sabiedribas_lidzdaliba/tiesibu_aktu_projekti/nodoklu_politika#project509</w:t>
        </w:r>
      </w:hyperlink>
      <w:r w:rsidRPr="00404A62">
        <w:rPr>
          <w:sz w:val="18"/>
        </w:rPr>
        <w:t xml:space="preserve"> </w:t>
      </w:r>
    </w:p>
  </w:footnote>
  <w:footnote w:id="4">
    <w:p w:rsidR="00404A62" w:rsidRDefault="00404A62">
      <w:pPr>
        <w:pStyle w:val="FootnoteText"/>
      </w:pPr>
      <w:r>
        <w:rPr>
          <w:rStyle w:val="FootnoteReference"/>
        </w:rPr>
        <w:footnoteRef/>
      </w:r>
      <w:r>
        <w:t xml:space="preserve"> </w:t>
      </w:r>
      <w:hyperlink r:id="rId2" w:history="1">
        <w:r w:rsidRPr="00404A62">
          <w:rPr>
            <w:rStyle w:val="Hyperlink"/>
            <w:sz w:val="18"/>
          </w:rPr>
          <w:t>https://mk.gov.lv/content/ministru-kabineta-diskusiju-dokumenti</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494895"/>
      <w:docPartObj>
        <w:docPartGallery w:val="Page Numbers (Top of Page)"/>
        <w:docPartUnique/>
      </w:docPartObj>
    </w:sdtPr>
    <w:sdtEndPr>
      <w:rPr>
        <w:noProof/>
      </w:rPr>
    </w:sdtEndPr>
    <w:sdtContent>
      <w:p w:rsidR="00281052" w:rsidRDefault="00281052">
        <w:pPr>
          <w:pStyle w:val="Header"/>
          <w:jc w:val="center"/>
        </w:pPr>
        <w:r>
          <w:fldChar w:fldCharType="begin"/>
        </w:r>
        <w:r>
          <w:instrText xml:space="preserve"> PAGE   \* MERGEFORMAT </w:instrText>
        </w:r>
        <w:r>
          <w:fldChar w:fldCharType="separate"/>
        </w:r>
        <w:r w:rsidR="00566DB6">
          <w:rPr>
            <w:noProof/>
          </w:rPr>
          <w:t>9</w:t>
        </w:r>
        <w:r>
          <w:rPr>
            <w:noProof/>
          </w:rPr>
          <w:fldChar w:fldCharType="end"/>
        </w:r>
      </w:p>
    </w:sdtContent>
  </w:sdt>
  <w:p w:rsidR="004F1E3C" w:rsidRDefault="004F1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201A2"/>
    <w:multiLevelType w:val="hybridMultilevel"/>
    <w:tmpl w:val="13528B20"/>
    <w:lvl w:ilvl="0" w:tplc="5E28BC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96CC6"/>
    <w:multiLevelType w:val="hybridMultilevel"/>
    <w:tmpl w:val="B198AC48"/>
    <w:lvl w:ilvl="0" w:tplc="3EAA4EA0">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BC8636E"/>
    <w:multiLevelType w:val="hybridMultilevel"/>
    <w:tmpl w:val="5CE2CD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3131F82"/>
    <w:multiLevelType w:val="hybridMultilevel"/>
    <w:tmpl w:val="4DCAB474"/>
    <w:lvl w:ilvl="0" w:tplc="8D429AA6">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17B4975"/>
    <w:multiLevelType w:val="hybridMultilevel"/>
    <w:tmpl w:val="BC92B65A"/>
    <w:lvl w:ilvl="0" w:tplc="A8F422A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1C431A2"/>
    <w:multiLevelType w:val="hybridMultilevel"/>
    <w:tmpl w:val="7EDE819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6" w15:restartNumberingAfterBreak="0">
    <w:nsid w:val="796F575C"/>
    <w:multiLevelType w:val="hybridMultilevel"/>
    <w:tmpl w:val="69A428C2"/>
    <w:lvl w:ilvl="0" w:tplc="C2DE51A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A6"/>
    <w:rsid w:val="000017B3"/>
    <w:rsid w:val="00001E17"/>
    <w:rsid w:val="00010431"/>
    <w:rsid w:val="00011F61"/>
    <w:rsid w:val="00022FE8"/>
    <w:rsid w:val="00027CC2"/>
    <w:rsid w:val="00042350"/>
    <w:rsid w:val="00042A4E"/>
    <w:rsid w:val="0005206D"/>
    <w:rsid w:val="00076BF8"/>
    <w:rsid w:val="000B4779"/>
    <w:rsid w:val="000C63D8"/>
    <w:rsid w:val="000D75A4"/>
    <w:rsid w:val="000E2F8C"/>
    <w:rsid w:val="001027DF"/>
    <w:rsid w:val="0011410C"/>
    <w:rsid w:val="00130509"/>
    <w:rsid w:val="00131D9F"/>
    <w:rsid w:val="00132416"/>
    <w:rsid w:val="00140329"/>
    <w:rsid w:val="001A272D"/>
    <w:rsid w:val="001A4FB7"/>
    <w:rsid w:val="001B1F26"/>
    <w:rsid w:val="001C0516"/>
    <w:rsid w:val="001C2DB7"/>
    <w:rsid w:val="001C36B7"/>
    <w:rsid w:val="001C63ED"/>
    <w:rsid w:val="001E2B20"/>
    <w:rsid w:val="001E2F56"/>
    <w:rsid w:val="002060E4"/>
    <w:rsid w:val="00221504"/>
    <w:rsid w:val="002223CC"/>
    <w:rsid w:val="00234A95"/>
    <w:rsid w:val="00260E54"/>
    <w:rsid w:val="00262052"/>
    <w:rsid w:val="002640CD"/>
    <w:rsid w:val="00265202"/>
    <w:rsid w:val="00265488"/>
    <w:rsid w:val="002700F5"/>
    <w:rsid w:val="00271565"/>
    <w:rsid w:val="00281052"/>
    <w:rsid w:val="002A0DF8"/>
    <w:rsid w:val="002B131E"/>
    <w:rsid w:val="002B2F3B"/>
    <w:rsid w:val="002B7799"/>
    <w:rsid w:val="002C0F87"/>
    <w:rsid w:val="002E1509"/>
    <w:rsid w:val="002F5BE0"/>
    <w:rsid w:val="00327B96"/>
    <w:rsid w:val="00335FD9"/>
    <w:rsid w:val="00340149"/>
    <w:rsid w:val="003441A5"/>
    <w:rsid w:val="00345A00"/>
    <w:rsid w:val="00347444"/>
    <w:rsid w:val="0035151E"/>
    <w:rsid w:val="00354716"/>
    <w:rsid w:val="00355DCE"/>
    <w:rsid w:val="00362A3D"/>
    <w:rsid w:val="003637CF"/>
    <w:rsid w:val="003737CD"/>
    <w:rsid w:val="00374C59"/>
    <w:rsid w:val="00375626"/>
    <w:rsid w:val="00381188"/>
    <w:rsid w:val="0039100E"/>
    <w:rsid w:val="00396A79"/>
    <w:rsid w:val="003C46DD"/>
    <w:rsid w:val="003D4CA4"/>
    <w:rsid w:val="003E604D"/>
    <w:rsid w:val="003F31DB"/>
    <w:rsid w:val="00404A62"/>
    <w:rsid w:val="004122A3"/>
    <w:rsid w:val="0045589C"/>
    <w:rsid w:val="00483A56"/>
    <w:rsid w:val="004941DA"/>
    <w:rsid w:val="004C1DFE"/>
    <w:rsid w:val="004C500C"/>
    <w:rsid w:val="004D3107"/>
    <w:rsid w:val="004E49B4"/>
    <w:rsid w:val="004F1E3C"/>
    <w:rsid w:val="005015B7"/>
    <w:rsid w:val="00515D10"/>
    <w:rsid w:val="00530243"/>
    <w:rsid w:val="005433EF"/>
    <w:rsid w:val="00543AA6"/>
    <w:rsid w:val="00566DB6"/>
    <w:rsid w:val="00587C81"/>
    <w:rsid w:val="005C5C36"/>
    <w:rsid w:val="005D212D"/>
    <w:rsid w:val="005E6279"/>
    <w:rsid w:val="005F647D"/>
    <w:rsid w:val="0060121B"/>
    <w:rsid w:val="00605BEB"/>
    <w:rsid w:val="006128D6"/>
    <w:rsid w:val="00623F17"/>
    <w:rsid w:val="00624732"/>
    <w:rsid w:val="00636CC4"/>
    <w:rsid w:val="00647E86"/>
    <w:rsid w:val="00671BD4"/>
    <w:rsid w:val="006759B6"/>
    <w:rsid w:val="00694AAD"/>
    <w:rsid w:val="006A0916"/>
    <w:rsid w:val="006A2097"/>
    <w:rsid w:val="006B1CD4"/>
    <w:rsid w:val="006B36FB"/>
    <w:rsid w:val="006C5347"/>
    <w:rsid w:val="006F27E4"/>
    <w:rsid w:val="006F33F2"/>
    <w:rsid w:val="006F3558"/>
    <w:rsid w:val="00702575"/>
    <w:rsid w:val="00712A40"/>
    <w:rsid w:val="0071676E"/>
    <w:rsid w:val="00726825"/>
    <w:rsid w:val="007376F0"/>
    <w:rsid w:val="00740711"/>
    <w:rsid w:val="00751CCE"/>
    <w:rsid w:val="007570A3"/>
    <w:rsid w:val="00765E22"/>
    <w:rsid w:val="00781AF2"/>
    <w:rsid w:val="007822D0"/>
    <w:rsid w:val="00796FC7"/>
    <w:rsid w:val="007B0C81"/>
    <w:rsid w:val="007B7C38"/>
    <w:rsid w:val="007C0C77"/>
    <w:rsid w:val="007C42C0"/>
    <w:rsid w:val="007C5264"/>
    <w:rsid w:val="007E1A7F"/>
    <w:rsid w:val="007E3B4F"/>
    <w:rsid w:val="008045C4"/>
    <w:rsid w:val="008417EF"/>
    <w:rsid w:val="00843505"/>
    <w:rsid w:val="00844A8D"/>
    <w:rsid w:val="0084599E"/>
    <w:rsid w:val="0084607A"/>
    <w:rsid w:val="00846DBD"/>
    <w:rsid w:val="00847274"/>
    <w:rsid w:val="00847674"/>
    <w:rsid w:val="008478FB"/>
    <w:rsid w:val="00873F4B"/>
    <w:rsid w:val="00874D7E"/>
    <w:rsid w:val="008850A6"/>
    <w:rsid w:val="00885843"/>
    <w:rsid w:val="00886F22"/>
    <w:rsid w:val="00895A7A"/>
    <w:rsid w:val="00895CE8"/>
    <w:rsid w:val="008B5EBF"/>
    <w:rsid w:val="008C7B0A"/>
    <w:rsid w:val="008D28A6"/>
    <w:rsid w:val="008D2D23"/>
    <w:rsid w:val="008D5ADE"/>
    <w:rsid w:val="008D7CD2"/>
    <w:rsid w:val="008F3A81"/>
    <w:rsid w:val="0091261F"/>
    <w:rsid w:val="00931AC3"/>
    <w:rsid w:val="00936FC7"/>
    <w:rsid w:val="00940FD5"/>
    <w:rsid w:val="00943048"/>
    <w:rsid w:val="00945798"/>
    <w:rsid w:val="009460E2"/>
    <w:rsid w:val="00950B49"/>
    <w:rsid w:val="0096684E"/>
    <w:rsid w:val="00971BB6"/>
    <w:rsid w:val="00973F7A"/>
    <w:rsid w:val="00980615"/>
    <w:rsid w:val="0098296A"/>
    <w:rsid w:val="009A71B7"/>
    <w:rsid w:val="009B335B"/>
    <w:rsid w:val="009B472A"/>
    <w:rsid w:val="009C7131"/>
    <w:rsid w:val="009D4FD7"/>
    <w:rsid w:val="009F40F9"/>
    <w:rsid w:val="00A052C8"/>
    <w:rsid w:val="00A169D4"/>
    <w:rsid w:val="00A16E38"/>
    <w:rsid w:val="00A247CF"/>
    <w:rsid w:val="00A2682B"/>
    <w:rsid w:val="00A271DE"/>
    <w:rsid w:val="00A34E9F"/>
    <w:rsid w:val="00A37710"/>
    <w:rsid w:val="00A40DBD"/>
    <w:rsid w:val="00A522FB"/>
    <w:rsid w:val="00A556F1"/>
    <w:rsid w:val="00A56125"/>
    <w:rsid w:val="00A60DCC"/>
    <w:rsid w:val="00A6776C"/>
    <w:rsid w:val="00A75770"/>
    <w:rsid w:val="00A769B6"/>
    <w:rsid w:val="00A80C26"/>
    <w:rsid w:val="00A84E52"/>
    <w:rsid w:val="00A873E8"/>
    <w:rsid w:val="00AB36F6"/>
    <w:rsid w:val="00AB6D75"/>
    <w:rsid w:val="00AC093B"/>
    <w:rsid w:val="00AC398F"/>
    <w:rsid w:val="00AD7693"/>
    <w:rsid w:val="00AF035E"/>
    <w:rsid w:val="00AF341F"/>
    <w:rsid w:val="00AF4F4E"/>
    <w:rsid w:val="00B06618"/>
    <w:rsid w:val="00B14D84"/>
    <w:rsid w:val="00B34C72"/>
    <w:rsid w:val="00B35E96"/>
    <w:rsid w:val="00B41D9F"/>
    <w:rsid w:val="00B516DD"/>
    <w:rsid w:val="00B535FE"/>
    <w:rsid w:val="00B750A9"/>
    <w:rsid w:val="00B84B88"/>
    <w:rsid w:val="00B878D7"/>
    <w:rsid w:val="00B94F2B"/>
    <w:rsid w:val="00BC2F03"/>
    <w:rsid w:val="00BE13E4"/>
    <w:rsid w:val="00BF3DBF"/>
    <w:rsid w:val="00BF6C42"/>
    <w:rsid w:val="00C000A0"/>
    <w:rsid w:val="00C0219B"/>
    <w:rsid w:val="00C128BD"/>
    <w:rsid w:val="00C130A5"/>
    <w:rsid w:val="00C15054"/>
    <w:rsid w:val="00C24F1D"/>
    <w:rsid w:val="00C301CE"/>
    <w:rsid w:val="00C477EC"/>
    <w:rsid w:val="00C47DCE"/>
    <w:rsid w:val="00C50A8B"/>
    <w:rsid w:val="00C6510B"/>
    <w:rsid w:val="00C74601"/>
    <w:rsid w:val="00C766BF"/>
    <w:rsid w:val="00C8467D"/>
    <w:rsid w:val="00CB02B3"/>
    <w:rsid w:val="00CC04F4"/>
    <w:rsid w:val="00CE53C2"/>
    <w:rsid w:val="00CF5595"/>
    <w:rsid w:val="00CF571D"/>
    <w:rsid w:val="00CF5E7F"/>
    <w:rsid w:val="00D03821"/>
    <w:rsid w:val="00D12ED7"/>
    <w:rsid w:val="00D37F95"/>
    <w:rsid w:val="00D44ED7"/>
    <w:rsid w:val="00D45715"/>
    <w:rsid w:val="00D511B1"/>
    <w:rsid w:val="00D571A9"/>
    <w:rsid w:val="00D83C45"/>
    <w:rsid w:val="00D83E1C"/>
    <w:rsid w:val="00D928B7"/>
    <w:rsid w:val="00DA585D"/>
    <w:rsid w:val="00DC0330"/>
    <w:rsid w:val="00DC213B"/>
    <w:rsid w:val="00DC61F4"/>
    <w:rsid w:val="00DE1373"/>
    <w:rsid w:val="00DE7E11"/>
    <w:rsid w:val="00E11D2E"/>
    <w:rsid w:val="00E20D24"/>
    <w:rsid w:val="00E23F0E"/>
    <w:rsid w:val="00E33760"/>
    <w:rsid w:val="00E432D4"/>
    <w:rsid w:val="00E43424"/>
    <w:rsid w:val="00E4382C"/>
    <w:rsid w:val="00E72A9F"/>
    <w:rsid w:val="00E8001F"/>
    <w:rsid w:val="00E82D61"/>
    <w:rsid w:val="00EA1439"/>
    <w:rsid w:val="00EA3BF7"/>
    <w:rsid w:val="00EB07A8"/>
    <w:rsid w:val="00EC5819"/>
    <w:rsid w:val="00ED6B16"/>
    <w:rsid w:val="00EE5179"/>
    <w:rsid w:val="00F1657E"/>
    <w:rsid w:val="00F23AF5"/>
    <w:rsid w:val="00F36C79"/>
    <w:rsid w:val="00F57756"/>
    <w:rsid w:val="00F60D37"/>
    <w:rsid w:val="00F74B8A"/>
    <w:rsid w:val="00F96CA5"/>
    <w:rsid w:val="00FB3348"/>
    <w:rsid w:val="00FC0D84"/>
    <w:rsid w:val="00FC3C9B"/>
    <w:rsid w:val="00FE18CB"/>
    <w:rsid w:val="00FE511A"/>
    <w:rsid w:val="00FF3C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B4062"/>
  <w15:chartTrackingRefBased/>
  <w15:docId w15:val="{8E007936-0493-48AD-8012-68AEDADA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87C81"/>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587C81"/>
    <w:rPr>
      <w:rFonts w:ascii="Times New Roman" w:eastAsia="Times New Roman" w:hAnsi="Times New Roman" w:cs="Times New Roman"/>
      <w:b/>
      <w:sz w:val="24"/>
      <w:szCs w:val="24"/>
    </w:rPr>
  </w:style>
  <w:style w:type="paragraph" w:styleId="BodyText2">
    <w:name w:val="Body Text 2"/>
    <w:basedOn w:val="Normal"/>
    <w:link w:val="BodyText2Char"/>
    <w:rsid w:val="00587C81"/>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587C81"/>
    <w:rPr>
      <w:rFonts w:ascii="Times New Roman" w:eastAsia="Times New Roman" w:hAnsi="Times New Roman" w:cs="Times New Roman"/>
      <w:sz w:val="28"/>
      <w:szCs w:val="20"/>
    </w:rPr>
  </w:style>
  <w:style w:type="character" w:styleId="CommentReference">
    <w:name w:val="annotation reference"/>
    <w:uiPriority w:val="99"/>
    <w:semiHidden/>
    <w:unhideWhenUsed/>
    <w:rsid w:val="00A75770"/>
    <w:rPr>
      <w:sz w:val="16"/>
      <w:szCs w:val="16"/>
    </w:rPr>
  </w:style>
  <w:style w:type="paragraph" w:styleId="CommentText">
    <w:name w:val="annotation text"/>
    <w:basedOn w:val="Normal"/>
    <w:link w:val="CommentTextChar"/>
    <w:uiPriority w:val="99"/>
    <w:semiHidden/>
    <w:unhideWhenUsed/>
    <w:rsid w:val="00A7577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75770"/>
    <w:rPr>
      <w:rFonts w:ascii="Times New Roman" w:eastAsia="Times New Roman" w:hAnsi="Times New Roman" w:cs="Times New Roman"/>
      <w:sz w:val="20"/>
      <w:szCs w:val="20"/>
    </w:rPr>
  </w:style>
  <w:style w:type="paragraph" w:styleId="FootnoteText">
    <w:name w:val="footnote text"/>
    <w:basedOn w:val="Normal"/>
    <w:link w:val="FootnoteTextChar"/>
    <w:rsid w:val="00A75770"/>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A75770"/>
    <w:rPr>
      <w:rFonts w:ascii="Times New Roman" w:eastAsia="Times New Roman" w:hAnsi="Times New Roman" w:cs="Times New Roman"/>
      <w:sz w:val="20"/>
      <w:szCs w:val="20"/>
      <w:lang w:eastAsia="lv-LV"/>
    </w:rPr>
  </w:style>
  <w:style w:type="character" w:styleId="FootnoteReference">
    <w:name w:val="footnote reference"/>
    <w:uiPriority w:val="99"/>
    <w:unhideWhenUsed/>
    <w:rsid w:val="00A75770"/>
    <w:rPr>
      <w:vertAlign w:val="superscript"/>
    </w:rPr>
  </w:style>
  <w:style w:type="paragraph" w:styleId="BalloonText">
    <w:name w:val="Balloon Text"/>
    <w:basedOn w:val="Normal"/>
    <w:link w:val="BalloonTextChar"/>
    <w:uiPriority w:val="99"/>
    <w:semiHidden/>
    <w:unhideWhenUsed/>
    <w:rsid w:val="00A75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77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750A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750A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F55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5595"/>
  </w:style>
  <w:style w:type="paragraph" w:styleId="Footer">
    <w:name w:val="footer"/>
    <w:basedOn w:val="Normal"/>
    <w:link w:val="FooterChar"/>
    <w:uiPriority w:val="99"/>
    <w:unhideWhenUsed/>
    <w:rsid w:val="00CF55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5595"/>
  </w:style>
  <w:style w:type="paragraph" w:styleId="ListParagraph">
    <w:name w:val="List Paragraph"/>
    <w:basedOn w:val="Normal"/>
    <w:uiPriority w:val="34"/>
    <w:qFormat/>
    <w:rsid w:val="00CF5595"/>
    <w:pPr>
      <w:ind w:left="720"/>
      <w:contextualSpacing/>
    </w:pPr>
  </w:style>
  <w:style w:type="paragraph" w:styleId="Revision">
    <w:name w:val="Revision"/>
    <w:hidden/>
    <w:uiPriority w:val="99"/>
    <w:semiHidden/>
    <w:rsid w:val="00726825"/>
    <w:pPr>
      <w:spacing w:after="0" w:line="240" w:lineRule="auto"/>
    </w:pPr>
  </w:style>
  <w:style w:type="character" w:styleId="Hyperlink">
    <w:name w:val="Hyperlink"/>
    <w:basedOn w:val="DefaultParagraphFont"/>
    <w:uiPriority w:val="99"/>
    <w:unhideWhenUsed/>
    <w:rsid w:val="008417EF"/>
    <w:rPr>
      <w:color w:val="0563C1" w:themeColor="hyperlink"/>
      <w:u w:val="single"/>
    </w:rPr>
  </w:style>
  <w:style w:type="paragraph" w:styleId="NormalWeb">
    <w:name w:val="Normal (Web)"/>
    <w:basedOn w:val="Normal"/>
    <w:uiPriority w:val="99"/>
    <w:semiHidden/>
    <w:unhideWhenUsed/>
    <w:rsid w:val="008417EF"/>
    <w:pPr>
      <w:spacing w:after="0"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268651">
      <w:bodyDiv w:val="1"/>
      <w:marLeft w:val="0"/>
      <w:marRight w:val="0"/>
      <w:marTop w:val="0"/>
      <w:marBottom w:val="0"/>
      <w:divBdr>
        <w:top w:val="none" w:sz="0" w:space="0" w:color="auto"/>
        <w:left w:val="none" w:sz="0" w:space="0" w:color="auto"/>
        <w:bottom w:val="none" w:sz="0" w:space="0" w:color="auto"/>
        <w:right w:val="none" w:sz="0" w:space="0" w:color="auto"/>
      </w:divBdr>
    </w:div>
    <w:div w:id="184328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s.Auzins@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mk.gov.lv/content/ministru-kabineta-diskusiju-dokumenti" TargetMode="External"/><Relationship Id="rId1" Type="http://schemas.openxmlformats.org/officeDocument/2006/relationships/hyperlink" Target="http://www.fm.gov.lv/lv/sabiedribas_lidzdaliba/tiesibu_aktu_projekti/nodoklu_politika#project5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A1232-AA1F-4A9A-9AC9-245C2DF5F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11966</Words>
  <Characters>6821</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Ministru kabineta noteikumu projekta  „Transfertcenu dokumentācija un kārtība, kādā noslēdzama nodokļu maksātāja un nodokļu administrācijas iepriekšēja vienošanās par tirgus cenas (vērtības) noteikšanu darījumam vai darījumu veidam” sākotnējās ietekmes no</vt:lpstr>
    </vt:vector>
  </TitlesOfParts>
  <Manager/>
  <Company>FM</Company>
  <LinksUpToDate>false</LinksUpToDate>
  <CharactersWithSpaces>18750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„Transfertcenu dokumentācija un kārtība, kādā noslēdzama nodokļu maksātāja un nodokļu administrācijas iepriekšēja vienošanās par tirgus cenas (vērtības) noteikšanu darījumam vai darījumu veidam” sākotnējās ietekmes no</dc:title>
  <dc:subject>Anotācija</dc:subject>
  <dc:creator>Roberts Auziņš</dc:creator>
  <cp:keywords/>
  <dc:description>Roberts Auziņš_x000d_
67083919</dc:description>
  <cp:lastModifiedBy>Ingūna Runča</cp:lastModifiedBy>
  <cp:revision>3</cp:revision>
  <cp:lastPrinted>2018-12-06T08:07:00Z</cp:lastPrinted>
  <dcterms:created xsi:type="dcterms:W3CDTF">2018-12-06T08:06:00Z</dcterms:created>
  <dcterms:modified xsi:type="dcterms:W3CDTF">2018-12-06T08:07:00Z</dcterms:modified>
  <cp:category/>
</cp:coreProperties>
</file>