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F098" w14:textId="07B84B80" w:rsidR="00C97FBD" w:rsidRDefault="00C97FBD" w:rsidP="00D7612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E0109">
        <w:rPr>
          <w:rFonts w:ascii="Times New Roman" w:hAnsi="Times New Roman"/>
          <w:b/>
          <w:bCs/>
          <w:color w:val="auto"/>
          <w:sz w:val="24"/>
          <w:szCs w:val="24"/>
        </w:rPr>
        <w:t>Ministru kabineta noteikumu projekta „</w:t>
      </w:r>
      <w:r w:rsidRPr="00DE0109">
        <w:rPr>
          <w:rFonts w:ascii="Times New Roman" w:hAnsi="Times New Roman"/>
          <w:b/>
          <w:color w:val="auto"/>
          <w:sz w:val="24"/>
          <w:szCs w:val="24"/>
        </w:rPr>
        <w:t>Grozījumi Ministru kabineta 2012.gada 5.jūnija noteikumos Nr.38</w:t>
      </w:r>
      <w:r w:rsidR="001C61DD">
        <w:rPr>
          <w:rFonts w:ascii="Times New Roman" w:hAnsi="Times New Roman"/>
          <w:b/>
          <w:color w:val="auto"/>
          <w:sz w:val="24"/>
          <w:szCs w:val="24"/>
        </w:rPr>
        <w:t>7</w:t>
      </w:r>
      <w:r w:rsidRPr="00DE010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29CF">
        <w:rPr>
          <w:rFonts w:ascii="Times New Roman" w:hAnsi="Times New Roman"/>
          <w:b/>
          <w:color w:val="auto"/>
          <w:sz w:val="24"/>
          <w:szCs w:val="24"/>
        </w:rPr>
        <w:t>“</w:t>
      </w:r>
      <w:r w:rsidR="001C61DD" w:rsidRPr="001C61DD">
        <w:t xml:space="preserve"> </w:t>
      </w:r>
      <w:r w:rsidR="001C61DD" w:rsidRPr="001C61DD">
        <w:rPr>
          <w:rFonts w:ascii="Times New Roman" w:hAnsi="Times New Roman"/>
          <w:b/>
          <w:color w:val="auto"/>
          <w:sz w:val="24"/>
          <w:szCs w:val="24"/>
        </w:rPr>
        <w:t>Kārtība, kādā Valsts kase nodrošina maksājumu pakalpojumu sniegšanu</w:t>
      </w:r>
      <w:r w:rsidRPr="00DE0109">
        <w:rPr>
          <w:rFonts w:ascii="Times New Roman" w:hAnsi="Times New Roman"/>
          <w:b/>
          <w:color w:val="auto"/>
          <w:sz w:val="24"/>
          <w:szCs w:val="24"/>
        </w:rPr>
        <w:t>”</w:t>
      </w:r>
      <w:r w:rsidRPr="00DE0109">
        <w:rPr>
          <w:rFonts w:ascii="Times New Roman" w:hAnsi="Times New Roman"/>
          <w:b/>
          <w:bCs/>
          <w:color w:val="auto"/>
          <w:sz w:val="24"/>
          <w:szCs w:val="24"/>
        </w:rPr>
        <w:t xml:space="preserve"> sākotnējās ietekmes novērtējuma ziņojums (anotācija)</w:t>
      </w:r>
    </w:p>
    <w:p w14:paraId="443511EA" w14:textId="5647671D" w:rsidR="005769D4" w:rsidRDefault="005769D4" w:rsidP="00D7612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95707AD" w14:textId="77777777" w:rsidR="005769D4" w:rsidRPr="005B1D34" w:rsidRDefault="005769D4" w:rsidP="005769D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372"/>
      </w:tblGrid>
      <w:tr w:rsidR="005769D4" w:rsidRPr="005B1D34" w14:paraId="2626B55F" w14:textId="77777777" w:rsidTr="00C50EAE">
        <w:tc>
          <w:tcPr>
            <w:tcW w:w="5000" w:type="pct"/>
            <w:gridSpan w:val="2"/>
            <w:hideMark/>
          </w:tcPr>
          <w:p w14:paraId="0ACE4481" w14:textId="77777777" w:rsidR="005769D4" w:rsidRPr="005B1D34" w:rsidRDefault="005769D4" w:rsidP="00C50EAE">
            <w:pPr>
              <w:spacing w:after="12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769D4" w:rsidRPr="005B1D34" w14:paraId="750EBE70" w14:textId="77777777" w:rsidTr="00C50EAE">
        <w:trPr>
          <w:trHeight w:val="3302"/>
        </w:trPr>
        <w:tc>
          <w:tcPr>
            <w:tcW w:w="1484" w:type="pct"/>
            <w:hideMark/>
          </w:tcPr>
          <w:p w14:paraId="3608D34E" w14:textId="77777777" w:rsidR="005769D4" w:rsidRPr="005B1D34" w:rsidRDefault="005769D4" w:rsidP="00C50EAE">
            <w:pPr>
              <w:spacing w:after="12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1D34">
              <w:rPr>
                <w:rFonts w:cs="Times New Roman"/>
                <w:color w:val="000000" w:themeColor="text1"/>
                <w:sz w:val="24"/>
                <w:szCs w:val="24"/>
              </w:rPr>
              <w:t xml:space="preserve">Mērķis, risinājums un projekta spēkā stāšanās laiks </w:t>
            </w:r>
          </w:p>
        </w:tc>
        <w:tc>
          <w:tcPr>
            <w:tcW w:w="3516" w:type="pct"/>
            <w:shd w:val="clear" w:color="auto" w:fill="auto"/>
            <w:hideMark/>
          </w:tcPr>
          <w:p w14:paraId="0B9F305B" w14:textId="591BAF75" w:rsidR="005769D4" w:rsidRPr="005B1D34" w:rsidRDefault="007B6B9D" w:rsidP="00C50EAE">
            <w:pPr>
              <w:spacing w:after="12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Projekts šo jomu neskar</w:t>
            </w:r>
          </w:p>
        </w:tc>
      </w:tr>
    </w:tbl>
    <w:p w14:paraId="51ACD568" w14:textId="77777777" w:rsidR="005769D4" w:rsidRPr="005B1D34" w:rsidRDefault="005769D4" w:rsidP="005769D4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267"/>
        <w:gridCol w:w="6228"/>
      </w:tblGrid>
      <w:tr w:rsidR="005769D4" w:rsidRPr="005B1D34" w14:paraId="55510E1E" w14:textId="77777777" w:rsidTr="00C50EAE">
        <w:trPr>
          <w:trHeight w:val="2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3E765" w14:textId="77777777" w:rsidR="005769D4" w:rsidRPr="005B1D34" w:rsidRDefault="005769D4" w:rsidP="00C50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0F1969" w:rsidRPr="005B1D34" w14:paraId="25B2F02B" w14:textId="77777777" w:rsidTr="00C50EAE">
        <w:trPr>
          <w:trHeight w:val="324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977BA1" w14:textId="77777777" w:rsidR="000F1969" w:rsidRPr="005B1D34" w:rsidRDefault="000F1969" w:rsidP="000F19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E8416" w14:textId="77777777" w:rsidR="000F1969" w:rsidRPr="005B1D34" w:rsidRDefault="000F1969" w:rsidP="000F196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CE2D76" w14:textId="29EC8655" w:rsidR="000F1969" w:rsidRPr="005B1D34" w:rsidRDefault="000F1969" w:rsidP="002D18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D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 „Grozījumi Ministru kabineta 2012. gada 5. jūnija noteikumi Nr. 387 “Kārtība, kādā Valsts kase nodrošina maksājumu pakalpojumu sniegšanu”” (turpmāk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33D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projekts) izstrādāts pamatojoties</w:t>
            </w:r>
            <w:bookmarkStart w:id="0" w:name="_GoBack"/>
            <w:bookmarkEnd w:id="0"/>
            <w:r w:rsidR="002D1863">
              <w:rPr>
                <w:rFonts w:ascii="Times New Roman" w:hAnsi="Times New Roman" w:cs="Times New Roman"/>
                <w:sz w:val="24"/>
                <w:szCs w:val="24"/>
              </w:rPr>
              <w:t xml:space="preserve">  Finanšu ministrijas iniciatīvu  pilnveidot un </w:t>
            </w:r>
            <w:proofErr w:type="spellStart"/>
            <w:r w:rsidR="002D1863">
              <w:rPr>
                <w:rFonts w:ascii="Times New Roman" w:hAnsi="Times New Roman" w:cs="Times New Roman"/>
                <w:sz w:val="24"/>
                <w:szCs w:val="24"/>
              </w:rPr>
              <w:t>efektivizēt</w:t>
            </w:r>
            <w:proofErr w:type="spellEnd"/>
            <w:r w:rsidR="002D1863">
              <w:rPr>
                <w:rFonts w:ascii="Times New Roman" w:hAnsi="Times New Roman" w:cs="Times New Roman"/>
                <w:sz w:val="24"/>
                <w:szCs w:val="24"/>
              </w:rPr>
              <w:t xml:space="preserve"> tāmju iesniegšanas procesu, kas tiek realizēta ar 01.01.2019. un uz kā pamata tiek izstrādāti Ministru kabineta noteikumi “Kārtība, kādā Valsts kase nodrošina elektronisko informācijas apmaiņu”</w:t>
            </w:r>
            <w:r w:rsidRPr="00733D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F1969" w:rsidRPr="005B1D34" w14:paraId="2EB972DD" w14:textId="77777777" w:rsidTr="00C50EAE">
        <w:trPr>
          <w:trHeight w:val="372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47577" w14:textId="77777777" w:rsidR="000F1969" w:rsidRPr="005B1D34" w:rsidRDefault="000F1969" w:rsidP="000F19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568EC" w14:textId="3984EE45" w:rsidR="000F1969" w:rsidRPr="005B1D34" w:rsidRDefault="000F1969" w:rsidP="00972D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FD6F502" w14:textId="77777777" w:rsidR="000F1969" w:rsidRPr="005B1D34" w:rsidRDefault="000F1969" w:rsidP="000F19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E53BC0B" w14:textId="66EAF415" w:rsidR="000F1969" w:rsidRDefault="000F1969" w:rsidP="000F1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projektā ir paredzēts aizstāt </w:t>
            </w:r>
            <w:r w:rsidRPr="000F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vārdus “budžeta elektr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onisko norēķinu sistēmas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0F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vārdiem “e-pakalpojuma </w:t>
            </w:r>
            <w:proofErr w:type="spellStart"/>
            <w:r w:rsidRPr="000F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eKase</w:t>
            </w:r>
            <w:proofErr w:type="spellEnd"/>
            <w:r w:rsidRPr="000F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0F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vārdus „ informācijas sistēmas” ar vārdu „e-pakalpojumus”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tādejādi nodrošinot vienotu terminoloģiju ar</w:t>
            </w:r>
            <w:r>
              <w:t xml:space="preserve"> </w:t>
            </w:r>
            <w:r w:rsidRPr="000F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</w:t>
            </w:r>
            <w:r w:rsidRPr="000F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“Kārtība, kādā Valsts kase nodrošina elektronisko informācijas apmaiņu”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D6AA143" w14:textId="4B484219" w:rsidR="000F1969" w:rsidRPr="00FD0933" w:rsidRDefault="000F1969" w:rsidP="00972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noteikumu projektu jaunā redakcijā tiek izteikts noteikumu 2.pielikums </w:t>
            </w:r>
            <w:r w:rsidRPr="000F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kases klienta parakstu paraugu kartīte</w:t>
            </w:r>
            <w:r w:rsidR="00575D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precizējot tajā norādīto pilnvarojuma apmēru, t.i. precizējot pilnvarojuma aprakstu e-pakalpojumu pieteikumu iesniegšanai. </w:t>
            </w:r>
          </w:p>
        </w:tc>
      </w:tr>
      <w:tr w:rsidR="005769D4" w:rsidRPr="005B1D34" w14:paraId="0819029E" w14:textId="77777777" w:rsidTr="00C50EAE">
        <w:trPr>
          <w:trHeight w:val="372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854F0" w14:textId="77777777" w:rsidR="005769D4" w:rsidRPr="005B1D34" w:rsidRDefault="005769D4" w:rsidP="00C50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F4E0E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kapitāl-sabiedrības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26B3E" w14:textId="77777777" w:rsidR="005769D4" w:rsidRPr="005B1D34" w:rsidRDefault="005769D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5769D4" w:rsidRPr="005B1D34" w14:paraId="5CF20EEF" w14:textId="77777777" w:rsidTr="00C50EAE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619C0" w14:textId="77777777" w:rsidR="005769D4" w:rsidRPr="005B1D34" w:rsidRDefault="005769D4" w:rsidP="00C50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6B6FD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14:paraId="09F6D264" w14:textId="77777777" w:rsidR="005769D4" w:rsidRPr="005B1D34" w:rsidRDefault="005769D4" w:rsidP="00C50EA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4D33C10A" w14:textId="77777777" w:rsidR="005769D4" w:rsidRPr="005B1D34" w:rsidRDefault="005769D4" w:rsidP="005769D4">
      <w:pPr>
        <w:spacing w:after="12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233"/>
        <w:gridCol w:w="6369"/>
      </w:tblGrid>
      <w:tr w:rsidR="005769D4" w:rsidRPr="005B1D34" w14:paraId="60EA65CD" w14:textId="77777777" w:rsidTr="00C50EAE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816AC8" w14:textId="77777777" w:rsidR="005769D4" w:rsidRPr="005B1D34" w:rsidRDefault="005769D4" w:rsidP="00C50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5769D4" w:rsidRPr="005B1D34" w14:paraId="3A24B9B2" w14:textId="77777777" w:rsidTr="00C50EAE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505FF0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D3454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4D78EB" w14:textId="4979914D" w:rsidR="005769D4" w:rsidRPr="005B1D34" w:rsidRDefault="005769D4" w:rsidP="00972D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Budžeta finansētas institūcijas, pašvaldības, </w:t>
            </w:r>
            <w:r w:rsidR="00BE02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budžeta nefinansētas iestādes,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zvērinātus 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izpildīt</w:t>
            </w:r>
            <w:r w:rsidR="00972D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ājus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kapitālsabiedrīb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kurās ieguldīta valsts vai pašvaldīb</w:t>
            </w:r>
            <w:r w:rsidR="00972D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kapitāla daļa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769D4" w:rsidRPr="005B1D34" w14:paraId="0E25C37E" w14:textId="77777777" w:rsidTr="00C50EAE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4B1D7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74638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5042F6" w14:textId="360641EE" w:rsidR="005769D4" w:rsidRPr="005B1D34" w:rsidRDefault="00972D93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Tiesiskais regulējums nerada ietekmi uz </w:t>
            </w: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tautsaimniecību un administratīvo slogu</w:t>
            </w:r>
          </w:p>
        </w:tc>
      </w:tr>
      <w:tr w:rsidR="005769D4" w:rsidRPr="005B1D34" w14:paraId="61D39400" w14:textId="77777777" w:rsidTr="00C50EAE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9705E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E8BDD0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C68B1C" w14:textId="2BE18905" w:rsidR="005769D4" w:rsidRPr="005B1D34" w:rsidRDefault="00972D93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5769D4" w:rsidRPr="005B1D34" w14:paraId="603BF56D" w14:textId="77777777" w:rsidTr="00C50EAE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E1B43F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CC8C1C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27E2FE" w14:textId="77777777" w:rsidR="005769D4" w:rsidRPr="005B1D34" w:rsidRDefault="005769D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5769D4" w:rsidRPr="005B1D34" w14:paraId="0DF950ED" w14:textId="77777777" w:rsidTr="00C50EAE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43378D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71E12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99080" w14:textId="77777777" w:rsidR="005769D4" w:rsidRPr="005B1D34" w:rsidRDefault="005769D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30A24015" w14:textId="4208CA70" w:rsidR="005769D4" w:rsidRDefault="005769D4" w:rsidP="005769D4">
      <w:pPr>
        <w:spacing w:after="12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61"/>
      </w:tblGrid>
      <w:tr w:rsidR="00E26822" w:rsidRPr="00CD458B" w14:paraId="33D39E65" w14:textId="77777777" w:rsidTr="007D194F">
        <w:tc>
          <w:tcPr>
            <w:tcW w:w="5000" w:type="pct"/>
            <w:hideMark/>
          </w:tcPr>
          <w:p w14:paraId="2B3F3B53" w14:textId="77777777" w:rsidR="00E26822" w:rsidRPr="00CD458B" w:rsidRDefault="00E26822" w:rsidP="007D194F">
            <w:pPr>
              <w:spacing w:after="120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D458B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7B6B9D" w:rsidRPr="00CD458B" w14:paraId="295544D3" w14:textId="77777777" w:rsidTr="007D194F">
        <w:tc>
          <w:tcPr>
            <w:tcW w:w="5000" w:type="pct"/>
          </w:tcPr>
          <w:p w14:paraId="252F7982" w14:textId="5676DB60" w:rsidR="007B6B9D" w:rsidRPr="00CD458B" w:rsidRDefault="007B6B9D" w:rsidP="007B6B9D">
            <w:pPr>
              <w:spacing w:after="12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</w:rPr>
              <w:t>Projekts šo jomu neskar</w:t>
            </w:r>
          </w:p>
        </w:tc>
      </w:tr>
    </w:tbl>
    <w:p w14:paraId="0D857D19" w14:textId="77777777" w:rsidR="00E26822" w:rsidRPr="005B1D34" w:rsidRDefault="00E26822" w:rsidP="005769D4">
      <w:pPr>
        <w:spacing w:after="12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769D4" w:rsidRPr="005B1D34" w14:paraId="0641E93B" w14:textId="77777777" w:rsidTr="00E26822">
        <w:tc>
          <w:tcPr>
            <w:tcW w:w="9606" w:type="dxa"/>
          </w:tcPr>
          <w:p w14:paraId="5B813101" w14:textId="77777777" w:rsidR="005769D4" w:rsidRPr="005B1D34" w:rsidRDefault="005769D4" w:rsidP="00C50EAE">
            <w:pPr>
              <w:spacing w:after="1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5769D4" w:rsidRPr="005B1D34" w14:paraId="0CA8C1D0" w14:textId="77777777" w:rsidTr="00E26822">
        <w:tc>
          <w:tcPr>
            <w:tcW w:w="9606" w:type="dxa"/>
          </w:tcPr>
          <w:p w14:paraId="299D2532" w14:textId="43CA5530" w:rsidR="005769D4" w:rsidRPr="005B1D34" w:rsidRDefault="001A7404" w:rsidP="001A7404">
            <w:pPr>
              <w:spacing w:after="1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</w:rPr>
              <w:t>Projekts šo jomu neskar</w:t>
            </w:r>
          </w:p>
        </w:tc>
      </w:tr>
    </w:tbl>
    <w:p w14:paraId="41200973" w14:textId="77777777" w:rsidR="005769D4" w:rsidRPr="005B1D34" w:rsidRDefault="005769D4" w:rsidP="005769D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1A7404" w14:paraId="22DC103D" w14:textId="77777777" w:rsidTr="00E10DCE">
        <w:trPr>
          <w:trHeight w:val="47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9627" w14:textId="77777777" w:rsidR="001A7404" w:rsidRDefault="001A7404" w:rsidP="00E10DCE">
            <w:pPr>
              <w:ind w:left="142" w:righ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V. Tiesību akta projekta atbilstība Latvijas Republikas starptautiskajām saistībām</w:t>
            </w:r>
          </w:p>
        </w:tc>
      </w:tr>
      <w:tr w:rsidR="001A7404" w14:paraId="7B0656CD" w14:textId="77777777" w:rsidTr="00E10DCE">
        <w:trPr>
          <w:trHeight w:val="47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C53B" w14:textId="77777777" w:rsidR="001A7404" w:rsidRDefault="001A7404" w:rsidP="00E10DCE">
            <w:pPr>
              <w:ind w:left="142" w:right="8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Projekts šo jomu neskar</w:t>
            </w:r>
          </w:p>
        </w:tc>
      </w:tr>
    </w:tbl>
    <w:p w14:paraId="6DB6DD27" w14:textId="77777777" w:rsidR="005769D4" w:rsidRPr="005B1D34" w:rsidRDefault="005769D4" w:rsidP="005769D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46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716"/>
        <w:gridCol w:w="5969"/>
      </w:tblGrid>
      <w:tr w:rsidR="005769D4" w:rsidRPr="005B1D34" w14:paraId="428FAFFD" w14:textId="77777777" w:rsidTr="00E26822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4F0C18" w14:textId="77777777" w:rsidR="005769D4" w:rsidRPr="005B1D34" w:rsidRDefault="005769D4" w:rsidP="00C50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5769D4" w:rsidRPr="005B1D34" w14:paraId="44E03BE5" w14:textId="77777777" w:rsidTr="00E26822">
        <w:trPr>
          <w:trHeight w:val="432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F4A63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58AC2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929AA" w14:textId="77777777" w:rsidR="005769D4" w:rsidRPr="005B1D34" w:rsidRDefault="005769D4" w:rsidP="00C50EA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Ministru kabineta 2009. gada 25. augusta noteikumu Nr. 970 “Sabiedrības līdzdalības kārtība attīstības plānošanas procesā” 7.4.</w:t>
            </w:r>
            <w:r w:rsidRPr="005B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1 </w:t>
            </w:r>
            <w:r w:rsidRPr="005B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apakšpunktu sabiedrības pārstāvji ir aicināti līdzdarboties, rakstiski sniedzot viedokli par noteikumu projektu tā izstrādes stadijā. Sabiedrības pārstāvji ir informēti par iespēju līdzdarboties, publicējot paziņojumu </w:t>
            </w:r>
            <w:r w:rsidRPr="005B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par līdzdalības procesu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kases</w:t>
            </w:r>
            <w:r w:rsidRPr="005B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tīmekļvietnē </w:t>
            </w:r>
            <w:hyperlink r:id="rId8" w:history="1">
              <w:r w:rsidRPr="00195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www.kase.gov.lv</w:t>
              </w:r>
            </w:hyperlink>
            <w:r w:rsidRPr="005B1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769D4" w:rsidRPr="005B1D34" w14:paraId="0D123689" w14:textId="77777777" w:rsidTr="00E26822">
        <w:trPr>
          <w:trHeight w:val="264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69190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B2532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FEA783" w14:textId="103A337C" w:rsidR="005769D4" w:rsidRPr="006A2A99" w:rsidRDefault="005769D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A2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Sabiedrības līdzdalība ir nodrošināta, publicējot uzziņu par projekta izstrādes uzsākšanu 2018.gada 12.septembrī Valsts kases tīmekļvietnē </w:t>
            </w:r>
            <w:r w:rsidR="001A7404" w:rsidRPr="001A7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https://www.kase.gov.lv/valsts-kase/sabiedribas-lidzdaliba</w:t>
            </w:r>
            <w:r w:rsidRPr="006A2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6D6D16D7" w14:textId="77777777" w:rsidR="005769D4" w:rsidRPr="005B1D34" w:rsidRDefault="005769D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A2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Ņemot vērā, ka Projekts skar tikai Valsts kases klientus, plašāku sabiedrību par projekta izstrādi nav nepieciešams informēt.</w:t>
            </w:r>
          </w:p>
        </w:tc>
      </w:tr>
      <w:tr w:rsidR="005769D4" w:rsidRPr="005B1D34" w14:paraId="13E794B6" w14:textId="77777777" w:rsidTr="00E26822">
        <w:trPr>
          <w:trHeight w:val="372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2E623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38150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84C789" w14:textId="77777777" w:rsidR="005769D4" w:rsidRPr="005B1D34" w:rsidRDefault="005769D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Noteikumu projekta izstrādes laikā nav saņemti sabiedrības pārstāvju priekšlikumi. </w:t>
            </w:r>
          </w:p>
        </w:tc>
      </w:tr>
      <w:tr w:rsidR="005769D4" w:rsidRPr="005B1D34" w14:paraId="55FE9F6C" w14:textId="77777777" w:rsidTr="00E26822">
        <w:trPr>
          <w:trHeight w:val="372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0B799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04C3C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989F7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2436D225" w14:textId="77777777" w:rsidR="005769D4" w:rsidRPr="005B1D34" w:rsidRDefault="005769D4" w:rsidP="005769D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46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802"/>
        <w:gridCol w:w="5883"/>
      </w:tblGrid>
      <w:tr w:rsidR="005769D4" w:rsidRPr="005B1D34" w14:paraId="3EF94FF0" w14:textId="77777777" w:rsidTr="00A43367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289C19" w14:textId="77777777" w:rsidR="005769D4" w:rsidRPr="005B1D34" w:rsidRDefault="005769D4" w:rsidP="00C50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5769D4" w:rsidRPr="005B1D34" w14:paraId="566C329C" w14:textId="77777777" w:rsidTr="00A43367">
        <w:trPr>
          <w:trHeight w:val="336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7C7064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0B41A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3A0205" w14:textId="34E4E101" w:rsidR="005769D4" w:rsidRPr="006A2A99" w:rsidRDefault="001A740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kase</w:t>
            </w:r>
          </w:p>
        </w:tc>
      </w:tr>
      <w:tr w:rsidR="005769D4" w:rsidRPr="005B1D34" w14:paraId="6FE8AF89" w14:textId="77777777" w:rsidTr="00A43367">
        <w:trPr>
          <w:trHeight w:val="360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E7EBD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0D9FF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4CA7F476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5A3120" w14:textId="213BE1DC" w:rsidR="005769D4" w:rsidRPr="005B1D34" w:rsidRDefault="005769D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Noteikumu projekts neietekmē pārvaldes funkcijas un institucionālo struktūru</w:t>
            </w:r>
            <w:r w:rsidR="0078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cilvēkresursi institūcijā netiek ietekmēti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391B85CC" w14:textId="77777777" w:rsidR="005769D4" w:rsidRPr="005B1D34" w:rsidRDefault="005769D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Jaunas institūcijas nav jāveido. Esošās institūcijas nav jāreorganizē.</w:t>
            </w:r>
          </w:p>
        </w:tc>
      </w:tr>
      <w:tr w:rsidR="005769D4" w:rsidRPr="005B1D34" w14:paraId="4D0C28ED" w14:textId="77777777" w:rsidTr="00A43367">
        <w:trPr>
          <w:trHeight w:val="312"/>
          <w:jc w:val="center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2FF19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14451" w14:textId="77777777" w:rsidR="005769D4" w:rsidRPr="005B1D34" w:rsidRDefault="005769D4" w:rsidP="00C50E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468FEC" w14:textId="77777777" w:rsidR="005769D4" w:rsidRPr="005B1D34" w:rsidRDefault="005769D4" w:rsidP="00C50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B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668ADDEB" w14:textId="77777777" w:rsidR="005769D4" w:rsidRPr="005B1D34" w:rsidRDefault="005769D4" w:rsidP="005769D4">
      <w:pPr>
        <w:pStyle w:val="BodyText2"/>
        <w:rPr>
          <w:b/>
          <w:i/>
          <w:sz w:val="24"/>
          <w:szCs w:val="24"/>
          <w:lang w:eastAsia="lv-LV"/>
        </w:rPr>
      </w:pPr>
    </w:p>
    <w:p w14:paraId="0B470404" w14:textId="2BB5C3EE" w:rsidR="005769D4" w:rsidRDefault="005769D4" w:rsidP="005769D4">
      <w:pPr>
        <w:pStyle w:val="BodyText2"/>
        <w:rPr>
          <w:lang w:val="lv-LV"/>
        </w:rPr>
      </w:pPr>
    </w:p>
    <w:p w14:paraId="772A5BBF" w14:textId="77777777" w:rsidR="007B6B9D" w:rsidRPr="005B1D34" w:rsidRDefault="007B6B9D" w:rsidP="005769D4">
      <w:pPr>
        <w:pStyle w:val="BodyText2"/>
        <w:rPr>
          <w:lang w:val="lv-LV"/>
        </w:rPr>
      </w:pPr>
    </w:p>
    <w:p w14:paraId="06A7183B" w14:textId="77777777" w:rsidR="004D741F" w:rsidRDefault="004D741F" w:rsidP="00D76125">
      <w:pPr>
        <w:pStyle w:val="BodyText2"/>
        <w:rPr>
          <w:lang w:val="lv-LV"/>
        </w:rPr>
      </w:pPr>
    </w:p>
    <w:p w14:paraId="535941DC" w14:textId="5D48331E" w:rsidR="002E1C2B" w:rsidRPr="00A873BA" w:rsidRDefault="009120A2" w:rsidP="00D76125">
      <w:pPr>
        <w:pStyle w:val="BodyText2"/>
        <w:rPr>
          <w:szCs w:val="28"/>
          <w:lang w:val="lv-LV"/>
        </w:rPr>
      </w:pPr>
      <w:r w:rsidRPr="00A873BA">
        <w:rPr>
          <w:szCs w:val="28"/>
          <w:lang w:val="lv-LV"/>
        </w:rPr>
        <w:t>Finanšu ministre</w:t>
      </w:r>
      <w:r w:rsidR="002E1C2B" w:rsidRPr="00A873BA">
        <w:rPr>
          <w:szCs w:val="28"/>
          <w:lang w:val="lv-LV"/>
        </w:rPr>
        <w:tab/>
      </w:r>
      <w:r w:rsidR="002E1C2B" w:rsidRPr="00A873BA">
        <w:rPr>
          <w:szCs w:val="28"/>
          <w:lang w:val="lv-LV"/>
        </w:rPr>
        <w:tab/>
      </w:r>
      <w:r w:rsidR="002E1C2B" w:rsidRPr="00A873BA">
        <w:rPr>
          <w:szCs w:val="28"/>
          <w:lang w:val="lv-LV"/>
        </w:rPr>
        <w:tab/>
      </w:r>
      <w:r w:rsidR="002E1C2B" w:rsidRPr="00A873BA">
        <w:rPr>
          <w:szCs w:val="28"/>
          <w:lang w:val="lv-LV"/>
        </w:rPr>
        <w:tab/>
      </w:r>
      <w:r w:rsidR="002E1C2B" w:rsidRPr="00A873BA">
        <w:rPr>
          <w:szCs w:val="28"/>
          <w:lang w:val="lv-LV"/>
        </w:rPr>
        <w:tab/>
      </w:r>
      <w:r w:rsidR="002E1C2B" w:rsidRPr="00A873BA">
        <w:rPr>
          <w:szCs w:val="28"/>
          <w:lang w:val="lv-LV"/>
        </w:rPr>
        <w:tab/>
      </w:r>
      <w:r w:rsidR="002E1C2B" w:rsidRPr="00A873BA">
        <w:rPr>
          <w:szCs w:val="28"/>
          <w:lang w:val="lv-LV"/>
        </w:rPr>
        <w:tab/>
      </w:r>
      <w:proofErr w:type="spellStart"/>
      <w:r w:rsidRPr="00D214BB">
        <w:rPr>
          <w:szCs w:val="28"/>
          <w:lang w:val="it-IT"/>
        </w:rPr>
        <w:t>D.Reizniece</w:t>
      </w:r>
      <w:proofErr w:type="spellEnd"/>
      <w:r w:rsidRPr="00D214BB">
        <w:rPr>
          <w:szCs w:val="28"/>
          <w:lang w:val="it-IT"/>
        </w:rPr>
        <w:t>-Ozola</w:t>
      </w:r>
    </w:p>
    <w:p w14:paraId="22407821" w14:textId="77777777" w:rsidR="002E1C2B" w:rsidRPr="00690FEF" w:rsidRDefault="002E1C2B" w:rsidP="00D76125">
      <w:pPr>
        <w:spacing w:line="240" w:lineRule="auto"/>
        <w:jc w:val="both"/>
        <w:rPr>
          <w:szCs w:val="20"/>
        </w:rPr>
      </w:pPr>
    </w:p>
    <w:p w14:paraId="1E4D5059" w14:textId="77777777" w:rsidR="004D741F" w:rsidRDefault="004D741F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14:paraId="175B4334" w14:textId="77777777" w:rsidR="00F25AEB" w:rsidRDefault="00F25AEB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32DDC43" w14:textId="77777777" w:rsidR="00F25AEB" w:rsidRDefault="00F25AEB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1E85A06" w14:textId="77777777" w:rsidR="002E1C2B" w:rsidRPr="00A873BA" w:rsidRDefault="002E1C2B" w:rsidP="00D761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A873BA">
        <w:rPr>
          <w:rFonts w:ascii="Times New Roman" w:hAnsi="Times New Roman" w:cs="Times New Roman"/>
          <w:sz w:val="24"/>
        </w:rPr>
        <w:t>M.Prikulis</w:t>
      </w:r>
      <w:proofErr w:type="spellEnd"/>
    </w:p>
    <w:p w14:paraId="09D25ED7" w14:textId="77777777" w:rsidR="002E1C2B" w:rsidRPr="00A873BA" w:rsidRDefault="002E1C2B" w:rsidP="00D7612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A873BA">
        <w:rPr>
          <w:rFonts w:ascii="Times New Roman" w:hAnsi="Times New Roman" w:cs="Times New Roman"/>
          <w:sz w:val="24"/>
        </w:rPr>
        <w:t>67094291, martins.prikulis@kase.gov.lv</w:t>
      </w:r>
    </w:p>
    <w:sectPr w:rsidR="002E1C2B" w:rsidRPr="00A873BA" w:rsidSect="00780ED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745C" w14:textId="77777777" w:rsidR="00294D45" w:rsidRDefault="00294D45" w:rsidP="00DE0109">
      <w:pPr>
        <w:spacing w:after="0" w:line="240" w:lineRule="auto"/>
      </w:pPr>
      <w:r>
        <w:separator/>
      </w:r>
    </w:p>
  </w:endnote>
  <w:endnote w:type="continuationSeparator" w:id="0">
    <w:p w14:paraId="1D6BB3E4" w14:textId="77777777" w:rsidR="00294D45" w:rsidRDefault="00294D45" w:rsidP="00D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9B7A" w14:textId="1ADDC688" w:rsidR="00CE48EC" w:rsidRPr="00CE48EC" w:rsidRDefault="00B807A9" w:rsidP="00DE010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F54EB">
      <w:rPr>
        <w:rFonts w:ascii="Times New Roman" w:hAnsi="Times New Roman" w:cs="Times New Roman"/>
        <w:noProof/>
        <w:sz w:val="20"/>
        <w:szCs w:val="20"/>
      </w:rPr>
      <w:t>FMAnot_171018</w:t>
    </w:r>
    <w:r>
      <w:rPr>
        <w:rFonts w:ascii="Times New Roman" w:hAnsi="Times New Roman" w:cs="Times New Roman"/>
        <w:sz w:val="20"/>
        <w:szCs w:val="20"/>
      </w:rPr>
      <w:fldChar w:fldCharType="end"/>
    </w:r>
    <w:r w:rsidR="00CE48EC">
      <w:rPr>
        <w:rFonts w:ascii="Times New Roman" w:hAnsi="Times New Roman" w:cs="Times New Roman"/>
        <w:sz w:val="20"/>
        <w:szCs w:val="20"/>
      </w:rPr>
      <w:t>_2</w:t>
    </w:r>
  </w:p>
  <w:p w14:paraId="2C730149" w14:textId="77777777" w:rsidR="00DE0109" w:rsidRDefault="00DE0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266E" w14:textId="69288D54" w:rsidR="00B807A9" w:rsidRPr="00B807A9" w:rsidRDefault="00B807A9" w:rsidP="00B807A9">
    <w:pPr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F54EB">
      <w:rPr>
        <w:rFonts w:ascii="Times New Roman" w:hAnsi="Times New Roman" w:cs="Times New Roman"/>
        <w:noProof/>
        <w:sz w:val="20"/>
        <w:szCs w:val="20"/>
      </w:rPr>
      <w:t>FMAnot_171018</w:t>
    </w:r>
    <w:r>
      <w:rPr>
        <w:rFonts w:ascii="Times New Roman" w:hAnsi="Times New Roman" w:cs="Times New Roman"/>
        <w:sz w:val="20"/>
        <w:szCs w:val="20"/>
      </w:rPr>
      <w:fldChar w:fldCharType="end"/>
    </w:r>
    <w:r w:rsidR="00241E22">
      <w:rPr>
        <w:rFonts w:ascii="Times New Roman" w:hAnsi="Times New Roman" w:cs="Times New Roman"/>
        <w:sz w:val="20"/>
        <w:szCs w:val="20"/>
      </w:rPr>
      <w:t>_</w:t>
    </w:r>
    <w:r w:rsidR="00CE48EC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A1A9" w14:textId="77777777" w:rsidR="00294D45" w:rsidRDefault="00294D45" w:rsidP="00DE0109">
      <w:pPr>
        <w:spacing w:after="0" w:line="240" w:lineRule="auto"/>
      </w:pPr>
      <w:r>
        <w:separator/>
      </w:r>
    </w:p>
  </w:footnote>
  <w:footnote w:type="continuationSeparator" w:id="0">
    <w:p w14:paraId="58B0A0EE" w14:textId="77777777" w:rsidR="00294D45" w:rsidRDefault="00294D45" w:rsidP="00DE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673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F53A81" w14:textId="2E88E574" w:rsidR="002E1C2B" w:rsidRDefault="002E1C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8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D2615E" w14:textId="77777777" w:rsidR="002E1C2B" w:rsidRDefault="002E1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3895"/>
    <w:multiLevelType w:val="hybridMultilevel"/>
    <w:tmpl w:val="C6FAE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BD"/>
    <w:rsid w:val="00001BCE"/>
    <w:rsid w:val="000059B3"/>
    <w:rsid w:val="00024E96"/>
    <w:rsid w:val="00037185"/>
    <w:rsid w:val="00045761"/>
    <w:rsid w:val="00060153"/>
    <w:rsid w:val="00063CAE"/>
    <w:rsid w:val="000801C8"/>
    <w:rsid w:val="000919DC"/>
    <w:rsid w:val="0009337C"/>
    <w:rsid w:val="000B0920"/>
    <w:rsid w:val="000B182E"/>
    <w:rsid w:val="000B709A"/>
    <w:rsid w:val="000E6860"/>
    <w:rsid w:val="000F1969"/>
    <w:rsid w:val="001155D0"/>
    <w:rsid w:val="001361E8"/>
    <w:rsid w:val="001448A0"/>
    <w:rsid w:val="00152F6D"/>
    <w:rsid w:val="0017726F"/>
    <w:rsid w:val="00193B9D"/>
    <w:rsid w:val="001969CE"/>
    <w:rsid w:val="001A7404"/>
    <w:rsid w:val="001B3343"/>
    <w:rsid w:val="001C61DD"/>
    <w:rsid w:val="001F309C"/>
    <w:rsid w:val="001F417E"/>
    <w:rsid w:val="00206BF8"/>
    <w:rsid w:val="00241E22"/>
    <w:rsid w:val="00271A53"/>
    <w:rsid w:val="00294D45"/>
    <w:rsid w:val="002A36D5"/>
    <w:rsid w:val="002A490A"/>
    <w:rsid w:val="002A57F1"/>
    <w:rsid w:val="002A75DC"/>
    <w:rsid w:val="002D1863"/>
    <w:rsid w:val="002D68D0"/>
    <w:rsid w:val="002E1C2B"/>
    <w:rsid w:val="002E38E1"/>
    <w:rsid w:val="00311329"/>
    <w:rsid w:val="00313AB4"/>
    <w:rsid w:val="003322DB"/>
    <w:rsid w:val="003606AA"/>
    <w:rsid w:val="00376B8E"/>
    <w:rsid w:val="003A262E"/>
    <w:rsid w:val="003B2AE1"/>
    <w:rsid w:val="003C2122"/>
    <w:rsid w:val="0040437D"/>
    <w:rsid w:val="00414658"/>
    <w:rsid w:val="0041739A"/>
    <w:rsid w:val="004431E1"/>
    <w:rsid w:val="00446E7E"/>
    <w:rsid w:val="004670AE"/>
    <w:rsid w:val="00470EFA"/>
    <w:rsid w:val="00495106"/>
    <w:rsid w:val="004A25D2"/>
    <w:rsid w:val="004A2B39"/>
    <w:rsid w:val="004B6367"/>
    <w:rsid w:val="004D24B7"/>
    <w:rsid w:val="004D741F"/>
    <w:rsid w:val="004E5E9C"/>
    <w:rsid w:val="004F2F51"/>
    <w:rsid w:val="005006BA"/>
    <w:rsid w:val="00512FEC"/>
    <w:rsid w:val="00526818"/>
    <w:rsid w:val="00532F18"/>
    <w:rsid w:val="005522BF"/>
    <w:rsid w:val="00552C37"/>
    <w:rsid w:val="00554A9D"/>
    <w:rsid w:val="00565988"/>
    <w:rsid w:val="00571BC8"/>
    <w:rsid w:val="00575D78"/>
    <w:rsid w:val="005769D4"/>
    <w:rsid w:val="005804A8"/>
    <w:rsid w:val="005B7515"/>
    <w:rsid w:val="005C1E10"/>
    <w:rsid w:val="005E175D"/>
    <w:rsid w:val="00605F2C"/>
    <w:rsid w:val="0061454A"/>
    <w:rsid w:val="00636119"/>
    <w:rsid w:val="00641D65"/>
    <w:rsid w:val="00645096"/>
    <w:rsid w:val="0065058A"/>
    <w:rsid w:val="006C018A"/>
    <w:rsid w:val="006E4ABC"/>
    <w:rsid w:val="00710DAA"/>
    <w:rsid w:val="00722908"/>
    <w:rsid w:val="00733D3E"/>
    <w:rsid w:val="007702CF"/>
    <w:rsid w:val="00770FC6"/>
    <w:rsid w:val="00776FAC"/>
    <w:rsid w:val="00780ED8"/>
    <w:rsid w:val="007810A9"/>
    <w:rsid w:val="00791849"/>
    <w:rsid w:val="007A68FE"/>
    <w:rsid w:val="007B6B9D"/>
    <w:rsid w:val="007C08AD"/>
    <w:rsid w:val="007D1C2A"/>
    <w:rsid w:val="007E1C0C"/>
    <w:rsid w:val="007F420B"/>
    <w:rsid w:val="007F54EB"/>
    <w:rsid w:val="007F5CF9"/>
    <w:rsid w:val="007F73D2"/>
    <w:rsid w:val="008120AC"/>
    <w:rsid w:val="00824707"/>
    <w:rsid w:val="008467CF"/>
    <w:rsid w:val="00855BBF"/>
    <w:rsid w:val="0085736A"/>
    <w:rsid w:val="008577A4"/>
    <w:rsid w:val="00871013"/>
    <w:rsid w:val="00873C86"/>
    <w:rsid w:val="008863BE"/>
    <w:rsid w:val="00896265"/>
    <w:rsid w:val="00897E10"/>
    <w:rsid w:val="008C22B8"/>
    <w:rsid w:val="008F30FF"/>
    <w:rsid w:val="009120A2"/>
    <w:rsid w:val="0091304B"/>
    <w:rsid w:val="00936FA2"/>
    <w:rsid w:val="00972D93"/>
    <w:rsid w:val="00982DA3"/>
    <w:rsid w:val="00992C25"/>
    <w:rsid w:val="009A0805"/>
    <w:rsid w:val="009B4D32"/>
    <w:rsid w:val="009F5310"/>
    <w:rsid w:val="00A02AD7"/>
    <w:rsid w:val="00A43367"/>
    <w:rsid w:val="00A61D75"/>
    <w:rsid w:val="00A67D8A"/>
    <w:rsid w:val="00A70F48"/>
    <w:rsid w:val="00A72AD1"/>
    <w:rsid w:val="00A81807"/>
    <w:rsid w:val="00A821D5"/>
    <w:rsid w:val="00A829CF"/>
    <w:rsid w:val="00A873BA"/>
    <w:rsid w:val="00A87DFB"/>
    <w:rsid w:val="00A9676A"/>
    <w:rsid w:val="00AA4075"/>
    <w:rsid w:val="00AC2C90"/>
    <w:rsid w:val="00B05EE6"/>
    <w:rsid w:val="00B45F92"/>
    <w:rsid w:val="00B807A9"/>
    <w:rsid w:val="00B94157"/>
    <w:rsid w:val="00BD1F7F"/>
    <w:rsid w:val="00BD291B"/>
    <w:rsid w:val="00BE021F"/>
    <w:rsid w:val="00BF0891"/>
    <w:rsid w:val="00C008C0"/>
    <w:rsid w:val="00C02187"/>
    <w:rsid w:val="00C06E7D"/>
    <w:rsid w:val="00C22108"/>
    <w:rsid w:val="00C32D2C"/>
    <w:rsid w:val="00C42196"/>
    <w:rsid w:val="00C579BA"/>
    <w:rsid w:val="00C612B8"/>
    <w:rsid w:val="00C84456"/>
    <w:rsid w:val="00C8622D"/>
    <w:rsid w:val="00C92107"/>
    <w:rsid w:val="00C92633"/>
    <w:rsid w:val="00C97FBD"/>
    <w:rsid w:val="00CA21A9"/>
    <w:rsid w:val="00CD668D"/>
    <w:rsid w:val="00CD6E16"/>
    <w:rsid w:val="00CE48EC"/>
    <w:rsid w:val="00CF281A"/>
    <w:rsid w:val="00D06CF6"/>
    <w:rsid w:val="00D10E49"/>
    <w:rsid w:val="00D214BB"/>
    <w:rsid w:val="00D3742F"/>
    <w:rsid w:val="00D463FC"/>
    <w:rsid w:val="00D56592"/>
    <w:rsid w:val="00D76125"/>
    <w:rsid w:val="00D83BE0"/>
    <w:rsid w:val="00D94151"/>
    <w:rsid w:val="00DA6D41"/>
    <w:rsid w:val="00DA74D0"/>
    <w:rsid w:val="00DB07BF"/>
    <w:rsid w:val="00DD5FC9"/>
    <w:rsid w:val="00DE0109"/>
    <w:rsid w:val="00DE1377"/>
    <w:rsid w:val="00DE2CD3"/>
    <w:rsid w:val="00DE5029"/>
    <w:rsid w:val="00DE69C8"/>
    <w:rsid w:val="00DE6BA4"/>
    <w:rsid w:val="00DF1460"/>
    <w:rsid w:val="00DF1556"/>
    <w:rsid w:val="00DF1E55"/>
    <w:rsid w:val="00DF2235"/>
    <w:rsid w:val="00DF5FFF"/>
    <w:rsid w:val="00E02A9F"/>
    <w:rsid w:val="00E0775E"/>
    <w:rsid w:val="00E26822"/>
    <w:rsid w:val="00E43A4A"/>
    <w:rsid w:val="00E475A0"/>
    <w:rsid w:val="00E75CC6"/>
    <w:rsid w:val="00E8287D"/>
    <w:rsid w:val="00E96EC1"/>
    <w:rsid w:val="00EA61B4"/>
    <w:rsid w:val="00EC10A2"/>
    <w:rsid w:val="00EC2346"/>
    <w:rsid w:val="00EF0826"/>
    <w:rsid w:val="00EF53B2"/>
    <w:rsid w:val="00EF5C09"/>
    <w:rsid w:val="00F016D8"/>
    <w:rsid w:val="00F100A1"/>
    <w:rsid w:val="00F25AEB"/>
    <w:rsid w:val="00F40C4C"/>
    <w:rsid w:val="00F63869"/>
    <w:rsid w:val="00F66909"/>
    <w:rsid w:val="00F8720E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6AB39E90"/>
  <w15:docId w15:val="{79E4145A-8412-4A1C-AF9B-B10126F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C9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97FBD"/>
  </w:style>
  <w:style w:type="character" w:styleId="Hyperlink">
    <w:name w:val="Hyperlink"/>
    <w:basedOn w:val="DefaultParagraphFont"/>
    <w:uiPriority w:val="99"/>
    <w:unhideWhenUsed/>
    <w:rsid w:val="00C97FBD"/>
    <w:rPr>
      <w:color w:val="0000FF"/>
      <w:u w:val="single"/>
    </w:rPr>
  </w:style>
  <w:style w:type="paragraph" w:customStyle="1" w:styleId="tvhtml">
    <w:name w:val="tv_html"/>
    <w:basedOn w:val="Normal"/>
    <w:rsid w:val="00C9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C97FB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33458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E0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09"/>
  </w:style>
  <w:style w:type="paragraph" w:styleId="Footer">
    <w:name w:val="footer"/>
    <w:basedOn w:val="Normal"/>
    <w:link w:val="FooterChar"/>
    <w:uiPriority w:val="99"/>
    <w:unhideWhenUsed/>
    <w:rsid w:val="00DE0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09"/>
  </w:style>
  <w:style w:type="paragraph" w:styleId="BalloonText">
    <w:name w:val="Balloon Text"/>
    <w:basedOn w:val="Normal"/>
    <w:link w:val="BalloonTextChar"/>
    <w:uiPriority w:val="99"/>
    <w:semiHidden/>
    <w:unhideWhenUsed/>
    <w:rsid w:val="00DE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0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2E1C2B"/>
    <w:pPr>
      <w:spacing w:after="0" w:line="240" w:lineRule="auto"/>
      <w:ind w:right="-857"/>
    </w:pPr>
    <w:rPr>
      <w:rFonts w:ascii="Times New Roman" w:eastAsia="Times New Roman" w:hAnsi="Times New Roman" w:cs="Times New Roman"/>
      <w:sz w:val="28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E1C2B"/>
    <w:rPr>
      <w:rFonts w:ascii="Times New Roman" w:eastAsia="Times New Roman" w:hAnsi="Times New Roman" w:cs="Times New Roman"/>
      <w:sz w:val="28"/>
      <w:szCs w:val="16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EF5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3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106"/>
    <w:pPr>
      <w:ind w:left="720"/>
      <w:contextualSpacing/>
    </w:pPr>
  </w:style>
  <w:style w:type="table" w:styleId="TableGrid">
    <w:name w:val="Table Grid"/>
    <w:basedOn w:val="TableNormal"/>
    <w:uiPriority w:val="39"/>
    <w:rsid w:val="005769D4"/>
    <w:pPr>
      <w:spacing w:after="0" w:line="240" w:lineRule="auto"/>
    </w:pPr>
    <w:rPr>
      <w:rFonts w:ascii="Times New Roman" w:eastAsia="Calibri" w:hAnsi="Times New Roman" w:cs="SimSu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9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2BC7-CD52-48F7-92E3-0BBAF8A7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2012.gada 5.jūnija noteikumos Nr.386 "Kārtība, kādā Valsts kase nodrošina elektronisko informācijas apmaiņu” sākotnējās ietekmes novērtējuma ziņojums (anotācija)</vt:lpstr>
    </vt:vector>
  </TitlesOfParts>
  <Company>Valsts kase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2012.gada 5.jūnija noteikumos Nr.386 "Kārtība, kādā Valsts kase nodrošina elektronisko informācijas apmaiņu” sākotnējās ietekmes novērtējuma ziņojums (anotācija)</dc:title>
  <dc:subject>Anotācija</dc:subject>
  <dc:creator>Mārtiņš Prikulis</dc:creator>
  <dc:description>martins.prikulis@kase.gov.lv; 67094291</dc:description>
  <cp:lastModifiedBy>Aiva Capa</cp:lastModifiedBy>
  <cp:revision>9</cp:revision>
  <cp:lastPrinted>2015-10-02T06:56:00Z</cp:lastPrinted>
  <dcterms:created xsi:type="dcterms:W3CDTF">2018-12-03T07:38:00Z</dcterms:created>
  <dcterms:modified xsi:type="dcterms:W3CDTF">2018-12-04T11:10:00Z</dcterms:modified>
  <cp:category/>
</cp:coreProperties>
</file>