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A7CD" w14:textId="6E3AD89E" w:rsidR="00BF66D6" w:rsidRPr="00F00085" w:rsidRDefault="00BF66D6" w:rsidP="00F00085">
      <w:pPr>
        <w:pStyle w:val="Title"/>
        <w:spacing w:before="130" w:line="260" w:lineRule="exact"/>
        <w:ind w:firstLine="539"/>
        <w:rPr>
          <w:b/>
          <w:bCs/>
          <w:sz w:val="24"/>
          <w:szCs w:val="24"/>
          <w:lang w:eastAsia="lv-LV"/>
        </w:rPr>
      </w:pPr>
      <w:r w:rsidRPr="009C3335">
        <w:rPr>
          <w:b/>
          <w:bCs/>
          <w:sz w:val="24"/>
          <w:szCs w:val="24"/>
          <w:lang w:eastAsia="lv-LV"/>
        </w:rPr>
        <w:t>Likumprojekta “Grozījumi Pievienotās vērtības nodokļa likumā” sākotnējās ietekmes novērtējuma ziņojums (anotācija)</w:t>
      </w:r>
    </w:p>
    <w:p w14:paraId="00F83DD7" w14:textId="03DEA7D2" w:rsidR="00446CC3" w:rsidRPr="009C3335" w:rsidRDefault="00446CC3"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26"/>
        <w:gridCol w:w="5370"/>
      </w:tblGrid>
      <w:tr w:rsidR="00BD5588" w:rsidRPr="009A6CAD" w14:paraId="45CE2879" w14:textId="77777777" w:rsidTr="00D5425D">
        <w:trPr>
          <w:cantSplit/>
        </w:trPr>
        <w:tc>
          <w:tcPr>
            <w:tcW w:w="8296" w:type="dxa"/>
            <w:gridSpan w:val="2"/>
            <w:shd w:val="clear" w:color="auto" w:fill="FFFFFF"/>
            <w:vAlign w:val="center"/>
            <w:hideMark/>
          </w:tcPr>
          <w:p w14:paraId="61564627" w14:textId="425C6988" w:rsidR="00C4494C" w:rsidRPr="009C3335" w:rsidRDefault="00BD5588" w:rsidP="00C4494C">
            <w:pPr>
              <w:jc w:val="center"/>
              <w:rPr>
                <w:b/>
                <w:iCs/>
                <w:lang w:eastAsia="en-US"/>
              </w:rPr>
            </w:pPr>
            <w:r w:rsidRPr="009C3335">
              <w:rPr>
                <w:b/>
                <w:iCs/>
                <w:lang w:eastAsia="en-US"/>
              </w:rPr>
              <w:t>Tiesību akta projekta anotācijas kopsavilkums</w:t>
            </w:r>
          </w:p>
        </w:tc>
      </w:tr>
      <w:tr w:rsidR="00F33A55" w:rsidRPr="009A6CAD" w14:paraId="27F11016" w14:textId="77777777" w:rsidTr="00D5425D">
        <w:trPr>
          <w:cantSplit/>
        </w:trPr>
        <w:tc>
          <w:tcPr>
            <w:tcW w:w="2926" w:type="dxa"/>
            <w:shd w:val="clear" w:color="auto" w:fill="FFFFFF"/>
            <w:hideMark/>
          </w:tcPr>
          <w:p w14:paraId="417DBE15" w14:textId="77777777" w:rsidR="00BD5588" w:rsidRDefault="00BD5588" w:rsidP="00122EEB">
            <w:pPr>
              <w:rPr>
                <w:iCs/>
                <w:lang w:eastAsia="en-US"/>
              </w:rPr>
            </w:pPr>
            <w:r w:rsidRPr="009C3335">
              <w:rPr>
                <w:iCs/>
                <w:lang w:eastAsia="en-US"/>
              </w:rPr>
              <w:t>Mērķis, risinājums un projekta spēkā stāšanās laiks (500 zīmes bez atstarpēm)</w:t>
            </w:r>
          </w:p>
          <w:p w14:paraId="367F9A18" w14:textId="77777777" w:rsidR="00BA46AA" w:rsidRDefault="00BA46AA" w:rsidP="00122EEB">
            <w:pPr>
              <w:rPr>
                <w:iCs/>
                <w:lang w:eastAsia="en-US"/>
              </w:rPr>
            </w:pPr>
          </w:p>
          <w:p w14:paraId="41DBE24F" w14:textId="77777777" w:rsidR="00BA46AA" w:rsidRDefault="00BA46AA" w:rsidP="00122EEB">
            <w:pPr>
              <w:rPr>
                <w:iCs/>
                <w:lang w:eastAsia="en-US"/>
              </w:rPr>
            </w:pPr>
          </w:p>
          <w:p w14:paraId="4561D132" w14:textId="77777777" w:rsidR="00BA46AA" w:rsidRDefault="00BA46AA" w:rsidP="00122EEB">
            <w:pPr>
              <w:rPr>
                <w:iCs/>
                <w:lang w:eastAsia="en-US"/>
              </w:rPr>
            </w:pPr>
          </w:p>
          <w:p w14:paraId="154AB82B" w14:textId="77777777" w:rsidR="00BA46AA" w:rsidRDefault="00BA46AA" w:rsidP="00122EEB">
            <w:pPr>
              <w:rPr>
                <w:iCs/>
                <w:lang w:eastAsia="en-US"/>
              </w:rPr>
            </w:pPr>
          </w:p>
          <w:p w14:paraId="77F5ED6C" w14:textId="77777777" w:rsidR="00BA46AA" w:rsidRDefault="00BA46AA" w:rsidP="00122EEB">
            <w:pPr>
              <w:rPr>
                <w:iCs/>
                <w:lang w:eastAsia="en-US"/>
              </w:rPr>
            </w:pPr>
          </w:p>
          <w:p w14:paraId="5D573BB5" w14:textId="77777777" w:rsidR="00BA46AA" w:rsidRDefault="00BA46AA" w:rsidP="00122EEB">
            <w:pPr>
              <w:rPr>
                <w:iCs/>
                <w:lang w:eastAsia="en-US"/>
              </w:rPr>
            </w:pPr>
          </w:p>
          <w:p w14:paraId="2006DA39" w14:textId="77777777" w:rsidR="00BA46AA" w:rsidRDefault="00BA46AA" w:rsidP="00122EEB">
            <w:pPr>
              <w:rPr>
                <w:iCs/>
                <w:lang w:eastAsia="en-US"/>
              </w:rPr>
            </w:pPr>
          </w:p>
          <w:p w14:paraId="78549310" w14:textId="77777777" w:rsidR="00BA46AA" w:rsidRDefault="00BA46AA" w:rsidP="00122EEB">
            <w:pPr>
              <w:rPr>
                <w:iCs/>
                <w:lang w:eastAsia="en-US"/>
              </w:rPr>
            </w:pPr>
          </w:p>
          <w:p w14:paraId="512ADF07" w14:textId="77777777" w:rsidR="00BA46AA" w:rsidRDefault="00BA46AA" w:rsidP="00122EEB">
            <w:pPr>
              <w:rPr>
                <w:iCs/>
                <w:lang w:eastAsia="en-US"/>
              </w:rPr>
            </w:pPr>
          </w:p>
          <w:p w14:paraId="40DD4EAE" w14:textId="77777777" w:rsidR="00BA46AA" w:rsidRDefault="00BA46AA" w:rsidP="00122EEB">
            <w:pPr>
              <w:rPr>
                <w:iCs/>
                <w:lang w:eastAsia="en-US"/>
              </w:rPr>
            </w:pPr>
          </w:p>
          <w:p w14:paraId="4190DD35" w14:textId="77777777" w:rsidR="00BA46AA" w:rsidRDefault="00BA46AA" w:rsidP="00122EEB">
            <w:pPr>
              <w:rPr>
                <w:iCs/>
                <w:lang w:eastAsia="en-US"/>
              </w:rPr>
            </w:pPr>
          </w:p>
          <w:p w14:paraId="55BB5004" w14:textId="77777777" w:rsidR="00BA46AA" w:rsidRDefault="00BA46AA" w:rsidP="00122EEB">
            <w:pPr>
              <w:rPr>
                <w:iCs/>
                <w:lang w:eastAsia="en-US"/>
              </w:rPr>
            </w:pPr>
          </w:p>
          <w:p w14:paraId="37BBAB18" w14:textId="77777777" w:rsidR="00BA46AA" w:rsidRDefault="00BA46AA" w:rsidP="00122EEB">
            <w:pPr>
              <w:rPr>
                <w:iCs/>
                <w:lang w:eastAsia="en-US"/>
              </w:rPr>
            </w:pPr>
          </w:p>
          <w:p w14:paraId="4183DBF4" w14:textId="77777777" w:rsidR="00BA46AA" w:rsidRDefault="00BA46AA" w:rsidP="00122EEB">
            <w:pPr>
              <w:rPr>
                <w:iCs/>
                <w:lang w:eastAsia="en-US"/>
              </w:rPr>
            </w:pPr>
          </w:p>
          <w:p w14:paraId="01C5212F" w14:textId="77777777" w:rsidR="00BA46AA" w:rsidRDefault="00BA46AA" w:rsidP="00122EEB">
            <w:pPr>
              <w:rPr>
                <w:iCs/>
                <w:lang w:eastAsia="en-US"/>
              </w:rPr>
            </w:pPr>
          </w:p>
          <w:p w14:paraId="6CFED260" w14:textId="77777777" w:rsidR="00BA46AA" w:rsidRDefault="00BA46AA" w:rsidP="00122EEB">
            <w:pPr>
              <w:rPr>
                <w:iCs/>
                <w:lang w:eastAsia="en-US"/>
              </w:rPr>
            </w:pPr>
          </w:p>
          <w:p w14:paraId="6613F020" w14:textId="77777777" w:rsidR="00BA46AA" w:rsidRDefault="00BA46AA" w:rsidP="00122EEB">
            <w:pPr>
              <w:rPr>
                <w:iCs/>
                <w:lang w:eastAsia="en-US"/>
              </w:rPr>
            </w:pPr>
          </w:p>
          <w:p w14:paraId="7F978879" w14:textId="77777777" w:rsidR="00BA46AA" w:rsidRDefault="00BA46AA" w:rsidP="00122EEB">
            <w:pPr>
              <w:rPr>
                <w:iCs/>
                <w:lang w:eastAsia="en-US"/>
              </w:rPr>
            </w:pPr>
          </w:p>
          <w:p w14:paraId="19268033" w14:textId="77777777" w:rsidR="00BA46AA" w:rsidRDefault="00BA46AA" w:rsidP="00122EEB">
            <w:pPr>
              <w:rPr>
                <w:iCs/>
                <w:lang w:eastAsia="en-US"/>
              </w:rPr>
            </w:pPr>
          </w:p>
          <w:p w14:paraId="241E5A4F" w14:textId="77777777" w:rsidR="00BA46AA" w:rsidRDefault="00BA46AA" w:rsidP="00122EEB">
            <w:pPr>
              <w:rPr>
                <w:iCs/>
                <w:lang w:eastAsia="en-US"/>
              </w:rPr>
            </w:pPr>
          </w:p>
          <w:p w14:paraId="072F9D6E" w14:textId="77777777" w:rsidR="00BA46AA" w:rsidRDefault="00BA46AA" w:rsidP="00122EEB">
            <w:pPr>
              <w:rPr>
                <w:iCs/>
                <w:lang w:eastAsia="en-US"/>
              </w:rPr>
            </w:pPr>
          </w:p>
          <w:p w14:paraId="37F7329E" w14:textId="77777777" w:rsidR="00BA46AA" w:rsidRDefault="00BA46AA" w:rsidP="00122EEB">
            <w:pPr>
              <w:rPr>
                <w:iCs/>
                <w:lang w:eastAsia="en-US"/>
              </w:rPr>
            </w:pPr>
          </w:p>
          <w:p w14:paraId="78CD8BE8" w14:textId="77777777" w:rsidR="00BA46AA" w:rsidRDefault="00BA46AA" w:rsidP="00122EEB">
            <w:pPr>
              <w:rPr>
                <w:iCs/>
                <w:lang w:eastAsia="en-US"/>
              </w:rPr>
            </w:pPr>
          </w:p>
          <w:p w14:paraId="1CF46875" w14:textId="77777777" w:rsidR="00BA46AA" w:rsidRDefault="00BA46AA" w:rsidP="00122EEB">
            <w:pPr>
              <w:rPr>
                <w:iCs/>
                <w:lang w:eastAsia="en-US"/>
              </w:rPr>
            </w:pPr>
          </w:p>
          <w:p w14:paraId="36DFA2E2" w14:textId="77777777" w:rsidR="00BA46AA" w:rsidRDefault="00BA46AA" w:rsidP="00122EEB">
            <w:pPr>
              <w:rPr>
                <w:iCs/>
                <w:lang w:eastAsia="en-US"/>
              </w:rPr>
            </w:pPr>
          </w:p>
          <w:p w14:paraId="75BD9C2A" w14:textId="77777777" w:rsidR="00BA46AA" w:rsidRDefault="00BA46AA" w:rsidP="00122EEB">
            <w:pPr>
              <w:rPr>
                <w:iCs/>
                <w:lang w:eastAsia="en-US"/>
              </w:rPr>
            </w:pPr>
          </w:p>
          <w:p w14:paraId="1D8DFB60" w14:textId="77777777" w:rsidR="00BA46AA" w:rsidRDefault="00BA46AA" w:rsidP="00122EEB">
            <w:pPr>
              <w:rPr>
                <w:iCs/>
                <w:lang w:eastAsia="en-US"/>
              </w:rPr>
            </w:pPr>
          </w:p>
          <w:p w14:paraId="48D85302" w14:textId="77777777" w:rsidR="00BA46AA" w:rsidRDefault="00BA46AA" w:rsidP="00122EEB">
            <w:pPr>
              <w:rPr>
                <w:iCs/>
                <w:lang w:eastAsia="en-US"/>
              </w:rPr>
            </w:pPr>
          </w:p>
          <w:p w14:paraId="37823BC7" w14:textId="77777777" w:rsidR="00BA46AA" w:rsidRDefault="00BA46AA" w:rsidP="00122EEB">
            <w:pPr>
              <w:rPr>
                <w:iCs/>
                <w:lang w:eastAsia="en-US"/>
              </w:rPr>
            </w:pPr>
          </w:p>
          <w:p w14:paraId="0F233671" w14:textId="77777777" w:rsidR="00BA46AA" w:rsidRDefault="00BA46AA" w:rsidP="00122EEB">
            <w:pPr>
              <w:rPr>
                <w:iCs/>
                <w:lang w:eastAsia="en-US"/>
              </w:rPr>
            </w:pPr>
          </w:p>
          <w:p w14:paraId="05889753" w14:textId="77777777" w:rsidR="00BA46AA" w:rsidRDefault="00BA46AA" w:rsidP="00122EEB">
            <w:pPr>
              <w:rPr>
                <w:iCs/>
                <w:lang w:eastAsia="en-US"/>
              </w:rPr>
            </w:pPr>
          </w:p>
          <w:p w14:paraId="0607459D" w14:textId="77777777" w:rsidR="00BA46AA" w:rsidRDefault="00BA46AA" w:rsidP="00122EEB">
            <w:pPr>
              <w:rPr>
                <w:iCs/>
                <w:lang w:eastAsia="en-US"/>
              </w:rPr>
            </w:pPr>
          </w:p>
          <w:p w14:paraId="6D7767A8" w14:textId="77777777" w:rsidR="00BA46AA" w:rsidRDefault="00BA46AA" w:rsidP="00122EEB">
            <w:pPr>
              <w:rPr>
                <w:iCs/>
                <w:lang w:eastAsia="en-US"/>
              </w:rPr>
            </w:pPr>
          </w:p>
          <w:p w14:paraId="10B5BDDD" w14:textId="77777777" w:rsidR="00BA46AA" w:rsidRDefault="00BA46AA" w:rsidP="00122EEB">
            <w:pPr>
              <w:rPr>
                <w:iCs/>
                <w:lang w:eastAsia="en-US"/>
              </w:rPr>
            </w:pPr>
          </w:p>
          <w:p w14:paraId="17B5E981" w14:textId="77777777" w:rsidR="00BA46AA" w:rsidRDefault="00BA46AA" w:rsidP="00122EEB">
            <w:pPr>
              <w:rPr>
                <w:iCs/>
                <w:lang w:eastAsia="en-US"/>
              </w:rPr>
            </w:pPr>
          </w:p>
          <w:p w14:paraId="79E80736" w14:textId="77777777" w:rsidR="00BA46AA" w:rsidRDefault="00BA46AA" w:rsidP="00122EEB">
            <w:pPr>
              <w:rPr>
                <w:iCs/>
                <w:lang w:eastAsia="en-US"/>
              </w:rPr>
            </w:pPr>
          </w:p>
          <w:p w14:paraId="51643AEE" w14:textId="77777777" w:rsidR="00BA46AA" w:rsidRDefault="00BA46AA" w:rsidP="00122EEB">
            <w:pPr>
              <w:rPr>
                <w:iCs/>
                <w:lang w:eastAsia="en-US"/>
              </w:rPr>
            </w:pPr>
          </w:p>
          <w:p w14:paraId="5A3E8BE1" w14:textId="77777777" w:rsidR="00BA46AA" w:rsidRDefault="00BA46AA" w:rsidP="00122EEB">
            <w:pPr>
              <w:rPr>
                <w:iCs/>
                <w:lang w:eastAsia="en-US"/>
              </w:rPr>
            </w:pPr>
          </w:p>
          <w:p w14:paraId="3F40CFB7" w14:textId="77777777" w:rsidR="00BA46AA" w:rsidRDefault="00BA46AA" w:rsidP="00122EEB">
            <w:pPr>
              <w:rPr>
                <w:iCs/>
                <w:lang w:eastAsia="en-US"/>
              </w:rPr>
            </w:pPr>
          </w:p>
          <w:p w14:paraId="5A105EE4" w14:textId="77777777" w:rsidR="00BA46AA" w:rsidRDefault="00BA46AA" w:rsidP="00122EEB">
            <w:pPr>
              <w:rPr>
                <w:iCs/>
                <w:lang w:eastAsia="en-US"/>
              </w:rPr>
            </w:pPr>
          </w:p>
          <w:p w14:paraId="0FC81F30" w14:textId="77777777" w:rsidR="00BA46AA" w:rsidRDefault="00BA46AA" w:rsidP="00122EEB">
            <w:pPr>
              <w:rPr>
                <w:iCs/>
                <w:lang w:eastAsia="en-US"/>
              </w:rPr>
            </w:pPr>
          </w:p>
          <w:p w14:paraId="51552B27" w14:textId="77777777" w:rsidR="00BA46AA" w:rsidRDefault="00BA46AA" w:rsidP="00122EEB">
            <w:pPr>
              <w:rPr>
                <w:iCs/>
                <w:lang w:eastAsia="en-US"/>
              </w:rPr>
            </w:pPr>
          </w:p>
          <w:p w14:paraId="748781E9" w14:textId="77777777" w:rsidR="00BA46AA" w:rsidRDefault="00BA46AA" w:rsidP="00122EEB">
            <w:pPr>
              <w:rPr>
                <w:iCs/>
                <w:lang w:eastAsia="en-US"/>
              </w:rPr>
            </w:pPr>
          </w:p>
          <w:p w14:paraId="2DF04474" w14:textId="77777777" w:rsidR="00BA46AA" w:rsidRDefault="00BA46AA" w:rsidP="00122EEB">
            <w:pPr>
              <w:rPr>
                <w:iCs/>
                <w:lang w:eastAsia="en-US"/>
              </w:rPr>
            </w:pPr>
          </w:p>
          <w:p w14:paraId="375BE5EB" w14:textId="77777777" w:rsidR="00BA46AA" w:rsidRDefault="00BA46AA" w:rsidP="00122EEB">
            <w:pPr>
              <w:rPr>
                <w:iCs/>
                <w:lang w:eastAsia="en-US"/>
              </w:rPr>
            </w:pPr>
          </w:p>
          <w:p w14:paraId="10F38FCA" w14:textId="106A93B6" w:rsidR="00BA46AA" w:rsidRPr="009C3335" w:rsidRDefault="00BA46AA" w:rsidP="00122EEB">
            <w:pPr>
              <w:rPr>
                <w:iCs/>
                <w:lang w:eastAsia="en-US"/>
              </w:rPr>
            </w:pPr>
          </w:p>
        </w:tc>
        <w:tc>
          <w:tcPr>
            <w:tcW w:w="5370" w:type="dxa"/>
            <w:shd w:val="clear" w:color="auto" w:fill="FFFFFF"/>
            <w:hideMark/>
          </w:tcPr>
          <w:p w14:paraId="25E1D764" w14:textId="1C3B85DD" w:rsidR="00E91443" w:rsidRDefault="003877D2" w:rsidP="00E91443">
            <w:pPr>
              <w:jc w:val="both"/>
              <w:rPr>
                <w:iCs/>
                <w:lang w:eastAsia="en-US"/>
              </w:rPr>
            </w:pPr>
            <w:r w:rsidRPr="009C3335">
              <w:rPr>
                <w:iCs/>
                <w:lang w:eastAsia="en-US"/>
              </w:rPr>
              <w:t>Likumprojekta “Grozījumi Pievienotās vērtības nodokļa likumā”</w:t>
            </w:r>
            <w:r w:rsidRPr="009A6CAD">
              <w:t xml:space="preserve"> </w:t>
            </w:r>
            <w:r w:rsidRPr="001F1905">
              <w:rPr>
                <w:iCs/>
                <w:lang w:eastAsia="en-US"/>
              </w:rPr>
              <w:t>(turpmāk – likumprojekts)</w:t>
            </w:r>
            <w:r w:rsidR="0063563A" w:rsidRPr="001F1905">
              <w:rPr>
                <w:iCs/>
                <w:lang w:eastAsia="en-US"/>
              </w:rPr>
              <w:t xml:space="preserve"> mērķis </w:t>
            </w:r>
            <w:r w:rsidR="00E91443" w:rsidRPr="001F1905">
              <w:rPr>
                <w:iCs/>
                <w:lang w:eastAsia="en-US"/>
              </w:rPr>
              <w:t>ir</w:t>
            </w:r>
            <w:r w:rsidR="00E91443">
              <w:rPr>
                <w:iCs/>
                <w:lang w:eastAsia="en-US"/>
              </w:rPr>
              <w:t xml:space="preserve">  izpildīt saistības pret Eiropas Savienību (turpmāk – ES), ieviešot atbilstošos ES tiesību aktus, kā arī precizēt   </w:t>
            </w:r>
            <w:r w:rsidR="00E91443" w:rsidRPr="000733F4">
              <w:rPr>
                <w:iCs/>
                <w:lang w:eastAsia="en-US"/>
              </w:rPr>
              <w:t xml:space="preserve">pievienotās vērtības nodokļa (turpmāk – PVN) </w:t>
            </w:r>
            <w:r w:rsidR="00E91443">
              <w:rPr>
                <w:iCs/>
                <w:lang w:eastAsia="en-US"/>
              </w:rPr>
              <w:t xml:space="preserve">piemērošanu atsevišķos darījumos, tai skaitā, lai regulējums būtu atbilstošs Eiropas Savienības </w:t>
            </w:r>
            <w:r w:rsidR="004F18E1">
              <w:rPr>
                <w:iCs/>
                <w:lang w:eastAsia="en-US"/>
              </w:rPr>
              <w:t>T</w:t>
            </w:r>
            <w:r w:rsidR="00E91443">
              <w:rPr>
                <w:iCs/>
                <w:lang w:eastAsia="en-US"/>
              </w:rPr>
              <w:t>iesas (turpmāk – EST) interpretācijai</w:t>
            </w:r>
            <w:r w:rsidR="00E84438">
              <w:rPr>
                <w:iCs/>
                <w:lang w:eastAsia="en-US"/>
              </w:rPr>
              <w:t xml:space="preserve"> un būtu nepārprotams</w:t>
            </w:r>
            <w:r w:rsidR="00E91443">
              <w:rPr>
                <w:iCs/>
                <w:lang w:eastAsia="en-US"/>
              </w:rPr>
              <w:t xml:space="preserve">. </w:t>
            </w:r>
          </w:p>
          <w:p w14:paraId="5B743280" w14:textId="1A81D5C4" w:rsidR="001E67C6" w:rsidRDefault="00E91443" w:rsidP="00F33A55">
            <w:pPr>
              <w:jc w:val="both"/>
            </w:pPr>
            <w:r>
              <w:t>Tādējādi ar šo likumprojektu ar 2019.gada 1.janvāri ir plānots pārņemt</w:t>
            </w:r>
            <w:r>
              <w:rPr>
                <w:iCs/>
                <w:lang w:eastAsia="en-US"/>
              </w:rPr>
              <w:t xml:space="preserve"> ES regulējumu darījumos ar </w:t>
            </w:r>
            <w:proofErr w:type="spellStart"/>
            <w:r>
              <w:rPr>
                <w:iCs/>
                <w:lang w:eastAsia="en-US"/>
              </w:rPr>
              <w:t>vaučeriem</w:t>
            </w:r>
            <w:proofErr w:type="spellEnd"/>
            <w:r>
              <w:rPr>
                <w:iCs/>
                <w:lang w:eastAsia="en-US"/>
              </w:rPr>
              <w:t xml:space="preserve"> un e-komercijas jomā, kā arī precizēt informatīvās atsauces uz ES direktīvām, kuras ir pārņemtas Latvijas tiesību aktos, </w:t>
            </w:r>
            <w:r w:rsidRPr="000733F4">
              <w:rPr>
                <w:iCs/>
                <w:lang w:eastAsia="en-US"/>
              </w:rPr>
              <w:t>noteikt skaidr</w:t>
            </w:r>
            <w:r>
              <w:rPr>
                <w:iCs/>
                <w:lang w:eastAsia="en-US"/>
              </w:rPr>
              <w:t>u</w:t>
            </w:r>
            <w:r w:rsidRPr="000733F4">
              <w:rPr>
                <w:iCs/>
                <w:lang w:eastAsia="en-US"/>
              </w:rPr>
              <w:t xml:space="preserve"> </w:t>
            </w:r>
            <w:r>
              <w:rPr>
                <w:iCs/>
                <w:lang w:eastAsia="en-US"/>
              </w:rPr>
              <w:t>PVN</w:t>
            </w:r>
            <w:r w:rsidRPr="000733F4">
              <w:rPr>
                <w:iCs/>
                <w:lang w:eastAsia="en-US"/>
              </w:rPr>
              <w:t xml:space="preserve"> piemērošan</w:t>
            </w:r>
            <w:r>
              <w:rPr>
                <w:iCs/>
                <w:lang w:eastAsia="en-US"/>
              </w:rPr>
              <w:t>u</w:t>
            </w:r>
            <w:r w:rsidRPr="000733F4">
              <w:rPr>
                <w:iCs/>
                <w:lang w:eastAsia="en-US"/>
              </w:rPr>
              <w:t xml:space="preserve"> darījumos ar apbūves tiesībām,</w:t>
            </w:r>
            <w:r>
              <w:rPr>
                <w:iCs/>
                <w:lang w:eastAsia="en-US"/>
              </w:rPr>
              <w:t xml:space="preserve"> precizēt atbilstoši EST interpretācijai </w:t>
            </w:r>
            <w:r>
              <w:t xml:space="preserve">PVN atbrīvojuma </w:t>
            </w:r>
            <w:r w:rsidRPr="00C872BF">
              <w:t>izmaksu pārdales grupas</w:t>
            </w:r>
            <w:r>
              <w:t xml:space="preserve"> ietvaros veiktajiem darījumiem būtību un saturu, kā arī precizēt aprieztās jeb reversās PVN maksāšanas kārtības piemērošanas tvērumu dar</w:t>
            </w:r>
            <w:r w:rsidR="00C4494C">
              <w:t>ījumos ar metālizstrādājumiem.</w:t>
            </w:r>
          </w:p>
          <w:p w14:paraId="726F03C8" w14:textId="3B6A3D2B" w:rsidR="00C4494C" w:rsidRPr="001E67C6" w:rsidRDefault="00C4494C" w:rsidP="00F33A55">
            <w:pPr>
              <w:jc w:val="both"/>
            </w:pPr>
          </w:p>
        </w:tc>
      </w:tr>
    </w:tbl>
    <w:p w14:paraId="4C316A5C" w14:textId="54339F67" w:rsidR="00C4494C" w:rsidRDefault="00C4494C" w:rsidP="00D5425D">
      <w:pPr>
        <w:pStyle w:val="Title"/>
        <w:spacing w:before="130" w:line="260" w:lineRule="exact"/>
        <w:jc w:val="both"/>
        <w:rPr>
          <w:sz w:val="24"/>
          <w:szCs w:val="24"/>
        </w:rPr>
      </w:pPr>
    </w:p>
    <w:tbl>
      <w:tblPr>
        <w:tblW w:w="51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83"/>
        <w:gridCol w:w="98"/>
        <w:gridCol w:w="1362"/>
        <w:gridCol w:w="154"/>
        <w:gridCol w:w="825"/>
        <w:gridCol w:w="110"/>
        <w:gridCol w:w="880"/>
        <w:gridCol w:w="861"/>
        <w:gridCol w:w="992"/>
        <w:gridCol w:w="861"/>
        <w:gridCol w:w="992"/>
        <w:gridCol w:w="939"/>
        <w:gridCol w:w="34"/>
        <w:gridCol w:w="17"/>
      </w:tblGrid>
      <w:tr w:rsidR="00BD5588" w:rsidRPr="009A6CAD" w14:paraId="3B0C2F4A" w14:textId="77777777" w:rsidTr="00DA395D">
        <w:trPr>
          <w:gridAfter w:val="1"/>
          <w:wAfter w:w="10" w:type="pct"/>
          <w:cantSplit/>
        </w:trPr>
        <w:tc>
          <w:tcPr>
            <w:tcW w:w="4990" w:type="pct"/>
            <w:gridSpan w:val="14"/>
            <w:vAlign w:val="center"/>
            <w:hideMark/>
          </w:tcPr>
          <w:p w14:paraId="16CC6A06" w14:textId="77777777" w:rsidR="00BD5588" w:rsidRPr="000C5394" w:rsidRDefault="00BD5588" w:rsidP="00122EEB">
            <w:pPr>
              <w:jc w:val="center"/>
              <w:rPr>
                <w:b/>
                <w:bCs/>
              </w:rPr>
            </w:pPr>
            <w:r w:rsidRPr="000C5394">
              <w:rPr>
                <w:b/>
                <w:bCs/>
              </w:rPr>
              <w:t>I. Tiesību akta projekta izstrādes nepieciešamība</w:t>
            </w:r>
          </w:p>
        </w:tc>
      </w:tr>
      <w:tr w:rsidR="007724D7" w:rsidRPr="009A6CAD" w14:paraId="43429194" w14:textId="77777777" w:rsidTr="00DA395D">
        <w:trPr>
          <w:gridAfter w:val="1"/>
          <w:wAfter w:w="10" w:type="pct"/>
          <w:cantSplit/>
        </w:trPr>
        <w:tc>
          <w:tcPr>
            <w:tcW w:w="140" w:type="pct"/>
            <w:hideMark/>
          </w:tcPr>
          <w:p w14:paraId="5D7EEBD1" w14:textId="77777777" w:rsidR="00BD5588" w:rsidRPr="000C5394" w:rsidRDefault="00BD5588" w:rsidP="00DE2739">
            <w:pPr>
              <w:jc w:val="both"/>
            </w:pPr>
            <w:r w:rsidRPr="000C5394">
              <w:t>1.</w:t>
            </w:r>
          </w:p>
        </w:tc>
        <w:tc>
          <w:tcPr>
            <w:tcW w:w="1051" w:type="pct"/>
            <w:gridSpan w:val="4"/>
            <w:hideMark/>
          </w:tcPr>
          <w:p w14:paraId="5419E391" w14:textId="77777777" w:rsidR="00BD5588" w:rsidRDefault="00446CC3" w:rsidP="00DE2739">
            <w:pPr>
              <w:jc w:val="both"/>
            </w:pPr>
            <w:r>
              <w:t>P</w:t>
            </w:r>
            <w:r w:rsidR="00BD5588" w:rsidRPr="000C5394">
              <w:t>amatojums</w:t>
            </w:r>
          </w:p>
          <w:p w14:paraId="03112A35" w14:textId="77777777" w:rsidR="00BA46AA" w:rsidRDefault="00BA46AA" w:rsidP="00DE2739">
            <w:pPr>
              <w:jc w:val="both"/>
            </w:pPr>
          </w:p>
          <w:p w14:paraId="1E3BEF82" w14:textId="77777777" w:rsidR="00BA46AA" w:rsidRDefault="00BA46AA" w:rsidP="00DE2739">
            <w:pPr>
              <w:jc w:val="both"/>
            </w:pPr>
          </w:p>
          <w:p w14:paraId="777E9734" w14:textId="77777777" w:rsidR="00BA46AA" w:rsidRDefault="00BA46AA" w:rsidP="00DE2739">
            <w:pPr>
              <w:jc w:val="both"/>
            </w:pPr>
          </w:p>
          <w:p w14:paraId="45C68258" w14:textId="77777777" w:rsidR="00BA46AA" w:rsidRDefault="00BA46AA" w:rsidP="00DE2739">
            <w:pPr>
              <w:jc w:val="both"/>
            </w:pPr>
          </w:p>
          <w:p w14:paraId="4B7ED2DE" w14:textId="77777777" w:rsidR="00BA46AA" w:rsidRDefault="00BA46AA" w:rsidP="00DE2739">
            <w:pPr>
              <w:jc w:val="both"/>
            </w:pPr>
          </w:p>
          <w:p w14:paraId="3DD1711A" w14:textId="77777777" w:rsidR="00BA46AA" w:rsidRDefault="00BA46AA" w:rsidP="00DE2739">
            <w:pPr>
              <w:jc w:val="both"/>
            </w:pPr>
          </w:p>
          <w:p w14:paraId="7CD8DEE3" w14:textId="77777777" w:rsidR="00BA46AA" w:rsidRDefault="00BA46AA" w:rsidP="00DE2739">
            <w:pPr>
              <w:jc w:val="both"/>
            </w:pPr>
          </w:p>
          <w:p w14:paraId="7669FE36" w14:textId="77777777" w:rsidR="00BA46AA" w:rsidRDefault="00BA46AA" w:rsidP="00DE2739">
            <w:pPr>
              <w:jc w:val="both"/>
            </w:pPr>
          </w:p>
          <w:p w14:paraId="1EF79D68" w14:textId="77777777" w:rsidR="00BA46AA" w:rsidRDefault="00BA46AA" w:rsidP="00DE2739">
            <w:pPr>
              <w:jc w:val="both"/>
            </w:pPr>
          </w:p>
          <w:p w14:paraId="38F37325" w14:textId="77777777" w:rsidR="00BA46AA" w:rsidRDefault="00BA46AA" w:rsidP="00DE2739">
            <w:pPr>
              <w:jc w:val="both"/>
            </w:pPr>
          </w:p>
          <w:p w14:paraId="51BA2506" w14:textId="77777777" w:rsidR="00BA46AA" w:rsidRDefault="00BA46AA" w:rsidP="00DE2739">
            <w:pPr>
              <w:jc w:val="both"/>
            </w:pPr>
          </w:p>
          <w:p w14:paraId="2F39C30B" w14:textId="77777777" w:rsidR="00BA46AA" w:rsidRDefault="00BA46AA" w:rsidP="00DE2739">
            <w:pPr>
              <w:jc w:val="both"/>
            </w:pPr>
          </w:p>
          <w:p w14:paraId="7E7C8D36" w14:textId="77777777" w:rsidR="00BA46AA" w:rsidRDefault="00BA46AA" w:rsidP="00DE2739">
            <w:pPr>
              <w:jc w:val="both"/>
            </w:pPr>
          </w:p>
          <w:p w14:paraId="28871715" w14:textId="77777777" w:rsidR="00BA46AA" w:rsidRDefault="00BA46AA" w:rsidP="00DE2739">
            <w:pPr>
              <w:jc w:val="both"/>
            </w:pPr>
          </w:p>
          <w:p w14:paraId="0878581C" w14:textId="77777777" w:rsidR="00BA46AA" w:rsidRDefault="00BA46AA" w:rsidP="00DE2739">
            <w:pPr>
              <w:jc w:val="both"/>
            </w:pPr>
          </w:p>
          <w:p w14:paraId="671B1561" w14:textId="77777777" w:rsidR="00BA46AA" w:rsidRDefault="00BA46AA" w:rsidP="00DE2739">
            <w:pPr>
              <w:jc w:val="both"/>
            </w:pPr>
          </w:p>
          <w:p w14:paraId="31A7EAF0" w14:textId="77777777" w:rsidR="00BA46AA" w:rsidRDefault="00BA46AA" w:rsidP="00DE2739">
            <w:pPr>
              <w:jc w:val="both"/>
            </w:pPr>
          </w:p>
          <w:p w14:paraId="572E47DB" w14:textId="77777777" w:rsidR="00BA46AA" w:rsidRDefault="00BA46AA" w:rsidP="00DE2739">
            <w:pPr>
              <w:jc w:val="both"/>
            </w:pPr>
          </w:p>
          <w:p w14:paraId="2A5CF04F" w14:textId="77777777" w:rsidR="00BA46AA" w:rsidRDefault="00BA46AA" w:rsidP="00DE2739">
            <w:pPr>
              <w:jc w:val="both"/>
            </w:pPr>
          </w:p>
          <w:p w14:paraId="400ED900" w14:textId="77777777" w:rsidR="00BA46AA" w:rsidRDefault="00BA46AA" w:rsidP="00DE2739">
            <w:pPr>
              <w:jc w:val="both"/>
            </w:pPr>
          </w:p>
          <w:p w14:paraId="7C3D963A" w14:textId="77777777" w:rsidR="00BA46AA" w:rsidRDefault="00BA46AA" w:rsidP="00DE2739">
            <w:pPr>
              <w:jc w:val="both"/>
            </w:pPr>
          </w:p>
          <w:p w14:paraId="27841B0F" w14:textId="77777777" w:rsidR="00BA46AA" w:rsidRDefault="00BA46AA" w:rsidP="00DE2739">
            <w:pPr>
              <w:jc w:val="both"/>
            </w:pPr>
          </w:p>
          <w:p w14:paraId="0F118328" w14:textId="77777777" w:rsidR="00BA46AA" w:rsidRDefault="00BA46AA" w:rsidP="00DE2739">
            <w:pPr>
              <w:jc w:val="both"/>
            </w:pPr>
          </w:p>
          <w:p w14:paraId="02BADB49" w14:textId="77777777" w:rsidR="00BA46AA" w:rsidRDefault="00BA46AA" w:rsidP="00DE2739">
            <w:pPr>
              <w:jc w:val="both"/>
            </w:pPr>
          </w:p>
          <w:p w14:paraId="3E9D885C" w14:textId="77777777" w:rsidR="00BA46AA" w:rsidRDefault="00BA46AA" w:rsidP="00DE2739">
            <w:pPr>
              <w:jc w:val="both"/>
            </w:pPr>
          </w:p>
          <w:p w14:paraId="72A04AA6" w14:textId="77777777" w:rsidR="00BA46AA" w:rsidRDefault="00BA46AA" w:rsidP="00DE2739">
            <w:pPr>
              <w:jc w:val="both"/>
            </w:pPr>
          </w:p>
          <w:p w14:paraId="1F9E1F45" w14:textId="77777777" w:rsidR="00BA46AA" w:rsidRDefault="00BA46AA" w:rsidP="00DE2739">
            <w:pPr>
              <w:jc w:val="both"/>
            </w:pPr>
          </w:p>
          <w:p w14:paraId="181E319D" w14:textId="77777777" w:rsidR="00BA46AA" w:rsidRDefault="00BA46AA" w:rsidP="00DE2739">
            <w:pPr>
              <w:jc w:val="both"/>
            </w:pPr>
          </w:p>
          <w:p w14:paraId="2C40B192" w14:textId="77777777" w:rsidR="00BA46AA" w:rsidRDefault="00BA46AA" w:rsidP="00DE2739">
            <w:pPr>
              <w:jc w:val="both"/>
            </w:pPr>
          </w:p>
          <w:p w14:paraId="00EBE87D" w14:textId="77777777" w:rsidR="00BA46AA" w:rsidRDefault="00BA46AA" w:rsidP="00DE2739">
            <w:pPr>
              <w:jc w:val="both"/>
            </w:pPr>
          </w:p>
          <w:p w14:paraId="0679CB43" w14:textId="77777777" w:rsidR="00BA46AA" w:rsidRDefault="00BA46AA" w:rsidP="00DE2739">
            <w:pPr>
              <w:jc w:val="both"/>
            </w:pPr>
          </w:p>
          <w:p w14:paraId="55363E15" w14:textId="77777777" w:rsidR="00BA46AA" w:rsidRDefault="00BA46AA" w:rsidP="00DE2739">
            <w:pPr>
              <w:jc w:val="both"/>
            </w:pPr>
          </w:p>
          <w:p w14:paraId="30D1BB6B" w14:textId="77777777" w:rsidR="00BA46AA" w:rsidRDefault="00BA46AA" w:rsidP="00DE2739">
            <w:pPr>
              <w:jc w:val="both"/>
            </w:pPr>
          </w:p>
          <w:p w14:paraId="3C4149CD" w14:textId="77777777" w:rsidR="00BA46AA" w:rsidRDefault="00BA46AA" w:rsidP="00DE2739">
            <w:pPr>
              <w:jc w:val="both"/>
            </w:pPr>
          </w:p>
          <w:p w14:paraId="3617BD87" w14:textId="77777777" w:rsidR="00BA46AA" w:rsidRDefault="00BA46AA" w:rsidP="00DE2739">
            <w:pPr>
              <w:jc w:val="both"/>
            </w:pPr>
          </w:p>
          <w:p w14:paraId="3B977CC5" w14:textId="77777777" w:rsidR="00BA46AA" w:rsidRDefault="00BA46AA" w:rsidP="00DE2739">
            <w:pPr>
              <w:jc w:val="both"/>
            </w:pPr>
          </w:p>
          <w:p w14:paraId="581EF305" w14:textId="77777777" w:rsidR="00BA46AA" w:rsidRDefault="00BA46AA" w:rsidP="00DE2739">
            <w:pPr>
              <w:jc w:val="both"/>
            </w:pPr>
          </w:p>
          <w:p w14:paraId="360DB28A" w14:textId="77777777" w:rsidR="00BA46AA" w:rsidRDefault="00BA46AA" w:rsidP="00DE2739">
            <w:pPr>
              <w:jc w:val="both"/>
            </w:pPr>
          </w:p>
          <w:p w14:paraId="297E6637" w14:textId="77777777" w:rsidR="00BA46AA" w:rsidRDefault="00BA46AA" w:rsidP="00DE2739">
            <w:pPr>
              <w:jc w:val="both"/>
            </w:pPr>
          </w:p>
          <w:p w14:paraId="762FF8A8" w14:textId="77777777" w:rsidR="00BA46AA" w:rsidRDefault="00BA46AA" w:rsidP="00DE2739">
            <w:pPr>
              <w:jc w:val="both"/>
            </w:pPr>
          </w:p>
          <w:p w14:paraId="128557DC" w14:textId="77777777" w:rsidR="00BA46AA" w:rsidRDefault="00BA46AA" w:rsidP="00DE2739">
            <w:pPr>
              <w:jc w:val="both"/>
            </w:pPr>
          </w:p>
          <w:p w14:paraId="29C97B24" w14:textId="77777777" w:rsidR="00BA46AA" w:rsidRDefault="00BA46AA" w:rsidP="00DE2739">
            <w:pPr>
              <w:jc w:val="both"/>
            </w:pPr>
          </w:p>
          <w:p w14:paraId="35E43370" w14:textId="77777777" w:rsidR="00BA46AA" w:rsidRDefault="00BA46AA" w:rsidP="00DE2739">
            <w:pPr>
              <w:jc w:val="both"/>
            </w:pPr>
          </w:p>
          <w:p w14:paraId="265D6D93" w14:textId="77777777" w:rsidR="00BA46AA" w:rsidRDefault="00BA46AA" w:rsidP="00DE2739">
            <w:pPr>
              <w:jc w:val="both"/>
            </w:pPr>
          </w:p>
          <w:p w14:paraId="4920A992" w14:textId="77777777" w:rsidR="00BA46AA" w:rsidRDefault="00BA46AA" w:rsidP="00DE2739">
            <w:pPr>
              <w:jc w:val="both"/>
            </w:pPr>
          </w:p>
          <w:p w14:paraId="10AA8038" w14:textId="77777777" w:rsidR="00BA46AA" w:rsidRDefault="00BA46AA" w:rsidP="00DE2739">
            <w:pPr>
              <w:jc w:val="both"/>
            </w:pPr>
          </w:p>
          <w:p w14:paraId="1D400D79" w14:textId="77777777" w:rsidR="00BA46AA" w:rsidRDefault="00BA46AA" w:rsidP="00DE2739">
            <w:pPr>
              <w:jc w:val="both"/>
            </w:pPr>
          </w:p>
          <w:p w14:paraId="68919C44" w14:textId="77777777" w:rsidR="00BA46AA" w:rsidRDefault="00BA46AA" w:rsidP="00DE2739">
            <w:pPr>
              <w:jc w:val="both"/>
            </w:pPr>
          </w:p>
          <w:p w14:paraId="7BBBD625" w14:textId="77777777" w:rsidR="00BA46AA" w:rsidRDefault="00BA46AA" w:rsidP="00DE2739">
            <w:pPr>
              <w:jc w:val="both"/>
            </w:pPr>
          </w:p>
          <w:p w14:paraId="6929AB22" w14:textId="53D32D91" w:rsidR="00BA46AA" w:rsidRPr="000C5394" w:rsidRDefault="00BA46AA" w:rsidP="00DE2739">
            <w:pPr>
              <w:jc w:val="both"/>
            </w:pPr>
          </w:p>
        </w:tc>
        <w:tc>
          <w:tcPr>
            <w:tcW w:w="3799" w:type="pct"/>
            <w:gridSpan w:val="9"/>
            <w:hideMark/>
          </w:tcPr>
          <w:p w14:paraId="78B96918" w14:textId="46B8D528" w:rsidR="00BF66D6" w:rsidRPr="00201A82" w:rsidRDefault="00BF66D6" w:rsidP="00DE2739">
            <w:pPr>
              <w:jc w:val="both"/>
            </w:pPr>
            <w:r w:rsidRPr="00201A82">
              <w:t>Li</w:t>
            </w:r>
            <w:r w:rsidR="00F749C6">
              <w:t>kumprojekts ir izstrādāts, lai:</w:t>
            </w:r>
          </w:p>
          <w:p w14:paraId="663E25CE" w14:textId="7107B850" w:rsidR="002F1692" w:rsidRPr="00201A82" w:rsidRDefault="00BF66D6" w:rsidP="00DE2739">
            <w:pPr>
              <w:pStyle w:val="ListParagraph"/>
              <w:numPr>
                <w:ilvl w:val="0"/>
                <w:numId w:val="5"/>
              </w:numPr>
              <w:ind w:left="0" w:firstLine="360"/>
              <w:jc w:val="both"/>
            </w:pPr>
            <w:r w:rsidRPr="00201A82">
              <w:t xml:space="preserve">Noteiktu </w:t>
            </w:r>
            <w:r w:rsidR="0056382D" w:rsidRPr="00201A82">
              <w:t xml:space="preserve">viennozīmīgu </w:t>
            </w:r>
            <w:r w:rsidRPr="00201A82">
              <w:t xml:space="preserve">PVN piemērošanas tiesisko regulējumu darījumos ar apbūves tiesībām, proti, noteiktu PVN piemērošanas nosacījumus darījumos ar apbūves tiesībām, </w:t>
            </w:r>
            <w:r w:rsidR="00F63675" w:rsidRPr="00201A82">
              <w:t xml:space="preserve">lai būvētu ēkas vai cita veida būves </w:t>
            </w:r>
            <w:r w:rsidRPr="00201A82">
              <w:t>uz c</w:t>
            </w:r>
            <w:r w:rsidR="002F1692" w:rsidRPr="00201A82">
              <w:t>itai personai piederošas zemes;</w:t>
            </w:r>
          </w:p>
          <w:p w14:paraId="10889463" w14:textId="2E79068B" w:rsidR="002F1692" w:rsidRPr="00201A82" w:rsidRDefault="00BF66D6" w:rsidP="00DE2739">
            <w:pPr>
              <w:pStyle w:val="ListParagraph"/>
              <w:numPr>
                <w:ilvl w:val="0"/>
                <w:numId w:val="5"/>
              </w:numPr>
              <w:ind w:left="0" w:firstLine="360"/>
              <w:jc w:val="both"/>
            </w:pPr>
            <w:r w:rsidRPr="00201A82">
              <w:t xml:space="preserve">Pārņemtu </w:t>
            </w:r>
            <w:r w:rsidR="00751AC6" w:rsidRPr="00201A82">
              <w:t>Padomes 2016.gada 27.jūnija direktīvu</w:t>
            </w:r>
            <w:r w:rsidR="00BE1CD8">
              <w:t xml:space="preserve"> (ES)</w:t>
            </w:r>
            <w:r w:rsidR="00751AC6" w:rsidRPr="00201A82">
              <w:t xml:space="preserve"> 2016/1065, ar ko attiecībā uz </w:t>
            </w:r>
            <w:proofErr w:type="spellStart"/>
            <w:r w:rsidR="00751AC6" w:rsidRPr="00201A82">
              <w:t>vaučeriem</w:t>
            </w:r>
            <w:proofErr w:type="spellEnd"/>
            <w:r w:rsidR="00751AC6" w:rsidRPr="00201A82">
              <w:t xml:space="preserve"> piemērojamo režīmu groza Direktīvu 2006/112/EK (turpmāk </w:t>
            </w:r>
            <w:r w:rsidR="00F376CB">
              <w:t>–</w:t>
            </w:r>
            <w:r w:rsidR="00751AC6" w:rsidRPr="00201A82">
              <w:t xml:space="preserve"> </w:t>
            </w:r>
            <w:r w:rsidR="006E1E1C" w:rsidRPr="00201A82">
              <w:t>Direktīv</w:t>
            </w:r>
            <w:r w:rsidR="00751AC6" w:rsidRPr="00201A82">
              <w:t>a</w:t>
            </w:r>
            <w:r w:rsidR="00F376CB">
              <w:t xml:space="preserve"> </w:t>
            </w:r>
            <w:r w:rsidR="006E1E1C" w:rsidRPr="00201A82">
              <w:t xml:space="preserve"> 2016/1065</w:t>
            </w:r>
            <w:r w:rsidR="00751AC6" w:rsidRPr="00201A82">
              <w:t>)</w:t>
            </w:r>
            <w:r w:rsidRPr="00201A82">
              <w:t xml:space="preserve">, lai nodrošinātu PVN tiesisko regulējumu </w:t>
            </w:r>
            <w:proofErr w:type="spellStart"/>
            <w:r w:rsidRPr="00201A82">
              <w:t>vaučeriem</w:t>
            </w:r>
            <w:proofErr w:type="spellEnd"/>
            <w:r w:rsidRPr="00201A82">
              <w:t>,</w:t>
            </w:r>
            <w:r w:rsidR="000509AE" w:rsidRPr="00201A82">
              <w:t xml:space="preserve"> kas stājas spēkā 2019.gada 1.janvārī</w:t>
            </w:r>
            <w:r w:rsidRPr="00201A82">
              <w:t>;</w:t>
            </w:r>
          </w:p>
          <w:p w14:paraId="31FB4E6E" w14:textId="41E5883C" w:rsidR="002F1692" w:rsidRPr="00201A82" w:rsidRDefault="00BF66D6" w:rsidP="00DE2739">
            <w:pPr>
              <w:pStyle w:val="ListParagraph"/>
              <w:numPr>
                <w:ilvl w:val="0"/>
                <w:numId w:val="5"/>
              </w:numPr>
              <w:ind w:left="0" w:firstLine="360"/>
              <w:jc w:val="both"/>
            </w:pPr>
            <w:r w:rsidRPr="00201A82">
              <w:t xml:space="preserve">Pārņemtu </w:t>
            </w:r>
            <w:r w:rsidR="00751AC6" w:rsidRPr="00201A82">
              <w:t>Padomes 2017.gada 5.decembra direktīvas</w:t>
            </w:r>
            <w:r w:rsidR="00BE1CD8">
              <w:t xml:space="preserve"> (ES)</w:t>
            </w:r>
            <w:r w:rsidR="00751AC6" w:rsidRPr="00201A82">
              <w:t xml:space="preserve"> 2017/2455, ar ko groza Direktīvu 2006/112/EK un Direktīvas 2009/132/EK attiecībā uz konkrētām pievienotās vērtības nodokļa saistībām pakalpojumu sniegšanā un preču </w:t>
            </w:r>
            <w:proofErr w:type="spellStart"/>
            <w:r w:rsidR="00751AC6" w:rsidRPr="00201A82">
              <w:t>tālpārdošanā</w:t>
            </w:r>
            <w:proofErr w:type="spellEnd"/>
            <w:r w:rsidR="00751AC6" w:rsidRPr="00201A82">
              <w:t xml:space="preserve"> (turpmāk </w:t>
            </w:r>
            <w:r w:rsidR="009951DA">
              <w:t>–</w:t>
            </w:r>
            <w:r w:rsidR="00751AC6" w:rsidRPr="00201A82">
              <w:t xml:space="preserve"> </w:t>
            </w:r>
            <w:r w:rsidR="007B2631" w:rsidRPr="00201A82">
              <w:t>Direktīva 2017/2455</w:t>
            </w:r>
            <w:r w:rsidR="00751AC6" w:rsidRPr="00201A82">
              <w:t>)</w:t>
            </w:r>
            <w:r w:rsidR="007B2631" w:rsidRPr="00201A82">
              <w:t xml:space="preserve"> </w:t>
            </w:r>
            <w:r w:rsidR="004759BB" w:rsidRPr="00201A82">
              <w:t>regulējumu, kas stājas spēkā 2019.gada 1.janvārī</w:t>
            </w:r>
            <w:r w:rsidR="002F1692" w:rsidRPr="00201A82">
              <w:t>;</w:t>
            </w:r>
          </w:p>
          <w:p w14:paraId="493B9CAA" w14:textId="0BB5CCA7" w:rsidR="002F1692" w:rsidRPr="00201A82" w:rsidRDefault="004F18E1" w:rsidP="00DE2739">
            <w:pPr>
              <w:pStyle w:val="ListParagraph"/>
              <w:numPr>
                <w:ilvl w:val="0"/>
                <w:numId w:val="5"/>
              </w:numPr>
              <w:ind w:left="0" w:firstLine="360"/>
              <w:jc w:val="both"/>
            </w:pPr>
            <w:r>
              <w:t xml:space="preserve">Pārņemtu </w:t>
            </w:r>
            <w:r w:rsidR="006915DF" w:rsidRPr="00201A82">
              <w:t xml:space="preserve">Padomes 2006.gada 28.novembra direktīvas 2006/112/EK par kopējo pievienotās vērtības nodokļa sistēmu (turpmāk –  Direktīva 2006/112/EK) </w:t>
            </w:r>
            <w:r>
              <w:t xml:space="preserve">199.a panta 1.punkta “j” apakšpunktu daļā par </w:t>
            </w:r>
            <w:r w:rsidR="005D25D2" w:rsidRPr="00201A82">
              <w:rPr>
                <w:sz w:val="23"/>
                <w:szCs w:val="23"/>
              </w:rPr>
              <w:t>apgriezt</w:t>
            </w:r>
            <w:r>
              <w:rPr>
                <w:sz w:val="23"/>
                <w:szCs w:val="23"/>
              </w:rPr>
              <w:t>ās</w:t>
            </w:r>
            <w:r w:rsidR="005D25D2" w:rsidRPr="00201A82">
              <w:rPr>
                <w:sz w:val="23"/>
                <w:szCs w:val="23"/>
              </w:rPr>
              <w:t xml:space="preserve"> jeb revers</w:t>
            </w:r>
            <w:r>
              <w:rPr>
                <w:sz w:val="23"/>
                <w:szCs w:val="23"/>
              </w:rPr>
              <w:t>ās</w:t>
            </w:r>
            <w:r w:rsidR="005D25D2" w:rsidRPr="00201A82">
              <w:rPr>
                <w:sz w:val="23"/>
                <w:szCs w:val="23"/>
              </w:rPr>
              <w:t xml:space="preserve"> PVN maksāšanas kārtīb</w:t>
            </w:r>
            <w:r>
              <w:rPr>
                <w:sz w:val="23"/>
                <w:szCs w:val="23"/>
              </w:rPr>
              <w:t>as</w:t>
            </w:r>
            <w:r w:rsidR="00C57176">
              <w:rPr>
                <w:sz w:val="23"/>
                <w:szCs w:val="23"/>
              </w:rPr>
              <w:t xml:space="preserve"> piemērošanu</w:t>
            </w:r>
            <w:r w:rsidR="005D25D2" w:rsidRPr="00201A82">
              <w:rPr>
                <w:sz w:val="23"/>
                <w:szCs w:val="23"/>
              </w:rPr>
              <w:t xml:space="preserve"> </w:t>
            </w:r>
            <w:r w:rsidR="00DE2739" w:rsidRPr="00201A82">
              <w:rPr>
                <w:sz w:val="23"/>
                <w:szCs w:val="23"/>
              </w:rPr>
              <w:t>melno un krāsaino metālu pusfabrikātu piegādei;</w:t>
            </w:r>
          </w:p>
          <w:p w14:paraId="1E844127" w14:textId="5878DC83" w:rsidR="00B579BA" w:rsidRPr="00201A82" w:rsidRDefault="006915DF" w:rsidP="00DE2739">
            <w:pPr>
              <w:pStyle w:val="ListParagraph"/>
              <w:numPr>
                <w:ilvl w:val="0"/>
                <w:numId w:val="5"/>
              </w:numPr>
              <w:ind w:left="0" w:firstLine="360"/>
              <w:jc w:val="both"/>
            </w:pPr>
            <w:r w:rsidRPr="00201A82">
              <w:t xml:space="preserve">Precizētu Pievienotās vērtības nodokļa likuma 52.panta regulējumu par PVN atbrīvojuma piemērošanu izmaksu pārdales grupas ietvaros veiktajiem darījumiem, ievērojot </w:t>
            </w:r>
            <w:r w:rsidR="002410AE">
              <w:t>EST</w:t>
            </w:r>
            <w:r w:rsidRPr="00201A82">
              <w:t xml:space="preserve"> sprieduma lietā C-326/15 DNB Banka</w:t>
            </w:r>
            <w:r w:rsidR="00847AAC" w:rsidRPr="00201A82">
              <w:t xml:space="preserve"> nolemto;</w:t>
            </w:r>
          </w:p>
          <w:p w14:paraId="664B20D1" w14:textId="77777777" w:rsidR="00E36E4B" w:rsidRDefault="00847AAC" w:rsidP="00F749C6">
            <w:pPr>
              <w:pStyle w:val="ListParagraph"/>
              <w:numPr>
                <w:ilvl w:val="0"/>
                <w:numId w:val="5"/>
              </w:numPr>
              <w:ind w:left="0" w:firstLine="360"/>
              <w:jc w:val="both"/>
            </w:pPr>
            <w:r w:rsidRPr="00201A82">
              <w:t>Precizēt</w:t>
            </w:r>
            <w:r w:rsidR="002410AE">
              <w:t>u</w:t>
            </w:r>
            <w:r w:rsidRPr="00201A82">
              <w:t xml:space="preserve"> </w:t>
            </w:r>
            <w:r w:rsidR="002410AE">
              <w:t xml:space="preserve">un padarītu nepārprotamu </w:t>
            </w:r>
            <w:r w:rsidR="00201A82" w:rsidRPr="00201A82">
              <w:t xml:space="preserve">Pievienotās vērtības nodokļa </w:t>
            </w:r>
            <w:r w:rsidR="002410AE" w:rsidRPr="00201A82">
              <w:t>likum</w:t>
            </w:r>
            <w:r w:rsidR="002410AE">
              <w:t xml:space="preserve">a 77.pantā noteikto attiecībā uz </w:t>
            </w:r>
            <w:r w:rsidR="00201A82" w:rsidRPr="00201A82">
              <w:t xml:space="preserve">apgrozījuma sliekšņa vērtību reģistrācijai </w:t>
            </w:r>
            <w:r w:rsidR="00AA7153">
              <w:t xml:space="preserve">Valsts ieņēmumu dienesta (turpmāk – </w:t>
            </w:r>
            <w:r w:rsidR="00201A82" w:rsidRPr="00201A82">
              <w:t>VID</w:t>
            </w:r>
            <w:r w:rsidR="00AA7153">
              <w:t>)</w:t>
            </w:r>
            <w:r w:rsidR="00201A82" w:rsidRPr="00201A82">
              <w:t xml:space="preserve"> PVN maksātāju reģistrā</w:t>
            </w:r>
            <w:r w:rsidR="00E36E4B">
              <w:t>;</w:t>
            </w:r>
          </w:p>
          <w:p w14:paraId="3B5EA0D4" w14:textId="1DA82E7B" w:rsidR="00F749C6" w:rsidRDefault="00E36E4B" w:rsidP="00F9689B">
            <w:pPr>
              <w:pStyle w:val="ListParagraph"/>
              <w:numPr>
                <w:ilvl w:val="0"/>
                <w:numId w:val="5"/>
              </w:numPr>
              <w:ind w:left="0" w:firstLine="360"/>
              <w:jc w:val="both"/>
            </w:pPr>
            <w:r>
              <w:t>Atbilstoši Eiropas Komisijas</w:t>
            </w:r>
            <w:r w:rsidR="00F268B9">
              <w:t xml:space="preserve"> (turpmāk – EK)</w:t>
            </w:r>
            <w:r>
              <w:t xml:space="preserve"> viedoklim</w:t>
            </w:r>
            <w:r w:rsidR="005C3D36">
              <w:t xml:space="preserve"> </w:t>
            </w:r>
            <w:r w:rsidR="005C3D36" w:rsidRPr="005C3D36">
              <w:t>un formālajam paziņojumam pārkāpumu procedūras lietā Nr.2018/2149</w:t>
            </w:r>
            <w:r>
              <w:t xml:space="preserve"> veiktu izmaiņas Pievienotās vērtības nodokļa likuma regulējumā attiecībā uz apgrieztās jeb reversās PVN maksāšanas kārtības noteikšanu </w:t>
            </w:r>
            <w:r w:rsidRPr="00E36E4B">
              <w:t>būvizstrādājumu, sadzīves elektronisko iekārtu un sadzīves elektriskās aparatūras</w:t>
            </w:r>
            <w:r w:rsidR="005C3D36">
              <w:t xml:space="preserve"> piegādēm, kas tika ieviesta</w:t>
            </w:r>
            <w:r>
              <w:t xml:space="preserve"> ar 2018.gada 1.janvāri. </w:t>
            </w:r>
          </w:p>
          <w:p w14:paraId="2FC56864" w14:textId="23DB9E8F" w:rsidR="00F749C6" w:rsidRPr="00201A82" w:rsidRDefault="00F749C6" w:rsidP="00F749C6">
            <w:pPr>
              <w:pStyle w:val="ListParagraph"/>
              <w:ind w:left="360"/>
              <w:jc w:val="both"/>
            </w:pPr>
          </w:p>
        </w:tc>
      </w:tr>
      <w:tr w:rsidR="007724D7" w:rsidRPr="009A6CAD" w14:paraId="2EAD0065" w14:textId="77777777" w:rsidTr="00DA395D">
        <w:trPr>
          <w:gridAfter w:val="1"/>
          <w:wAfter w:w="10" w:type="pct"/>
          <w:cantSplit/>
        </w:trPr>
        <w:tc>
          <w:tcPr>
            <w:tcW w:w="140" w:type="pct"/>
            <w:hideMark/>
          </w:tcPr>
          <w:p w14:paraId="6BD7BF04" w14:textId="1A1D94C0" w:rsidR="00BD5588" w:rsidRPr="00FA1FB9" w:rsidRDefault="007B0950" w:rsidP="007B0950">
            <w:r>
              <w:lastRenderedPageBreak/>
              <w:t xml:space="preserve"> 2</w:t>
            </w:r>
            <w:r w:rsidR="00BD5588" w:rsidRPr="00FA1FB9">
              <w:t>.</w:t>
            </w:r>
          </w:p>
        </w:tc>
        <w:tc>
          <w:tcPr>
            <w:tcW w:w="1051" w:type="pct"/>
            <w:gridSpan w:val="4"/>
            <w:hideMark/>
          </w:tcPr>
          <w:p w14:paraId="4EC7FE01" w14:textId="56E3C411" w:rsidR="00B42FA3" w:rsidRDefault="00BD5588" w:rsidP="00122EEB">
            <w:r w:rsidRPr="00FA1FB9">
              <w:t>Pašreizējā situācija un problēmas, kuru risināšanai tiesību akta projekts izstrādāts, tiesiskā regulējuma mērķis un būtība</w:t>
            </w:r>
          </w:p>
          <w:p w14:paraId="5516C09E" w14:textId="77777777" w:rsidR="00B42FA3" w:rsidRPr="00B42FA3" w:rsidRDefault="00B42FA3" w:rsidP="00B42FA3"/>
          <w:p w14:paraId="4054C610" w14:textId="77777777" w:rsidR="00B42FA3" w:rsidRPr="00B42FA3" w:rsidRDefault="00B42FA3"/>
          <w:p w14:paraId="045A21C5" w14:textId="77777777" w:rsidR="00B42FA3" w:rsidRPr="00B42FA3" w:rsidRDefault="00B42FA3"/>
          <w:p w14:paraId="4FDCCE1C" w14:textId="77777777" w:rsidR="00B42FA3" w:rsidRPr="00B42FA3" w:rsidRDefault="00B42FA3"/>
          <w:p w14:paraId="6426AB7E" w14:textId="77777777" w:rsidR="00B42FA3" w:rsidRPr="00B42FA3" w:rsidRDefault="00B42FA3"/>
          <w:p w14:paraId="6EEEABDE" w14:textId="77777777" w:rsidR="00B42FA3" w:rsidRPr="00B42FA3" w:rsidRDefault="00B42FA3"/>
          <w:p w14:paraId="3B7556D8" w14:textId="77777777" w:rsidR="00B42FA3" w:rsidRPr="00B42FA3" w:rsidRDefault="00B42FA3"/>
          <w:p w14:paraId="27584A32" w14:textId="77777777" w:rsidR="00B42FA3" w:rsidRPr="00B42FA3" w:rsidRDefault="00B42FA3"/>
          <w:p w14:paraId="3DFC7AFA" w14:textId="77777777" w:rsidR="00B42FA3" w:rsidRPr="00B42FA3" w:rsidRDefault="00B42FA3"/>
          <w:p w14:paraId="0BF42686" w14:textId="77777777" w:rsidR="00B42FA3" w:rsidRPr="00B42FA3" w:rsidRDefault="00B42FA3"/>
          <w:p w14:paraId="53007075" w14:textId="77777777" w:rsidR="00B42FA3" w:rsidRPr="00B42FA3" w:rsidRDefault="00B42FA3"/>
          <w:p w14:paraId="07557905" w14:textId="77777777" w:rsidR="00B42FA3" w:rsidRPr="00B42FA3" w:rsidRDefault="00B42FA3"/>
          <w:p w14:paraId="147A7485" w14:textId="77777777" w:rsidR="00B42FA3" w:rsidRPr="00B42FA3" w:rsidRDefault="00B42FA3"/>
          <w:p w14:paraId="58163300" w14:textId="77777777" w:rsidR="00B42FA3" w:rsidRPr="00B42FA3" w:rsidRDefault="00B42FA3"/>
          <w:p w14:paraId="725F1B8C" w14:textId="77777777" w:rsidR="00B42FA3" w:rsidRPr="00B42FA3" w:rsidRDefault="00B42FA3"/>
          <w:p w14:paraId="2B418E2E" w14:textId="77777777" w:rsidR="00B42FA3" w:rsidRPr="00B42FA3" w:rsidRDefault="00B42FA3"/>
          <w:p w14:paraId="2C2FA9A6" w14:textId="77777777" w:rsidR="00B42FA3" w:rsidRPr="00B42FA3" w:rsidRDefault="00B42FA3"/>
          <w:p w14:paraId="07129CF5" w14:textId="77777777" w:rsidR="00B42FA3" w:rsidRPr="00B42FA3" w:rsidRDefault="00B42FA3"/>
          <w:p w14:paraId="0043E21C" w14:textId="77777777" w:rsidR="00B42FA3" w:rsidRPr="00B42FA3" w:rsidRDefault="00B42FA3"/>
          <w:p w14:paraId="64088DFE" w14:textId="77777777" w:rsidR="00B42FA3" w:rsidRPr="00B42FA3" w:rsidRDefault="00B42FA3"/>
          <w:p w14:paraId="1C57BBF7" w14:textId="77777777" w:rsidR="00B42FA3" w:rsidRPr="00B42FA3" w:rsidRDefault="00B42FA3"/>
          <w:p w14:paraId="6889CD90" w14:textId="77777777" w:rsidR="00B42FA3" w:rsidRPr="00B42FA3" w:rsidRDefault="00B42FA3"/>
          <w:p w14:paraId="579307E8" w14:textId="77777777" w:rsidR="00B42FA3" w:rsidRPr="00B42FA3" w:rsidRDefault="00B42FA3"/>
          <w:p w14:paraId="15D78BA4" w14:textId="77777777" w:rsidR="00B42FA3" w:rsidRPr="00B42FA3" w:rsidRDefault="00B42FA3"/>
          <w:p w14:paraId="7F99BAC0" w14:textId="77777777" w:rsidR="00B42FA3" w:rsidRPr="00B42FA3" w:rsidRDefault="00B42FA3"/>
          <w:p w14:paraId="2102B8FE" w14:textId="77777777" w:rsidR="00B42FA3" w:rsidRPr="00B42FA3" w:rsidRDefault="00B42FA3"/>
          <w:p w14:paraId="3D80A427" w14:textId="77777777" w:rsidR="00B42FA3" w:rsidRPr="00B42FA3" w:rsidRDefault="00B42FA3"/>
          <w:p w14:paraId="5398578C" w14:textId="77777777" w:rsidR="00B42FA3" w:rsidRPr="00B42FA3" w:rsidRDefault="00B42FA3"/>
          <w:p w14:paraId="0050B13D" w14:textId="77777777" w:rsidR="00B42FA3" w:rsidRPr="00B42FA3" w:rsidRDefault="00B42FA3"/>
          <w:p w14:paraId="0ED2EC3D" w14:textId="77777777" w:rsidR="00B42FA3" w:rsidRPr="00B42FA3" w:rsidRDefault="00B42FA3"/>
          <w:p w14:paraId="223CCA37" w14:textId="77777777" w:rsidR="00B42FA3" w:rsidRPr="00B42FA3" w:rsidRDefault="00B42FA3"/>
          <w:p w14:paraId="065C812E" w14:textId="77777777" w:rsidR="00B42FA3" w:rsidRPr="00B42FA3" w:rsidRDefault="00B42FA3"/>
          <w:p w14:paraId="628F44E2" w14:textId="77777777" w:rsidR="00B42FA3" w:rsidRPr="00B42FA3" w:rsidRDefault="00B42FA3"/>
          <w:p w14:paraId="51A72452" w14:textId="77777777" w:rsidR="00B42FA3" w:rsidRPr="00B42FA3" w:rsidRDefault="00B42FA3"/>
          <w:p w14:paraId="0D562102" w14:textId="77777777" w:rsidR="00B42FA3" w:rsidRPr="00B42FA3" w:rsidRDefault="00B42FA3"/>
          <w:p w14:paraId="0A298CCF" w14:textId="77777777" w:rsidR="00B42FA3" w:rsidRPr="00B42FA3" w:rsidRDefault="00B42FA3"/>
          <w:p w14:paraId="12594244" w14:textId="77777777" w:rsidR="00B42FA3" w:rsidRPr="00B42FA3" w:rsidRDefault="00B42FA3"/>
          <w:p w14:paraId="62BDEB62" w14:textId="77777777" w:rsidR="00B42FA3" w:rsidRPr="00B42FA3" w:rsidRDefault="00B42FA3"/>
          <w:p w14:paraId="1FA62AFB" w14:textId="77777777" w:rsidR="00B42FA3" w:rsidRPr="00B42FA3" w:rsidRDefault="00B42FA3"/>
          <w:p w14:paraId="7AE5B510" w14:textId="7A5FAF60" w:rsidR="00B42FA3" w:rsidRDefault="00B42FA3" w:rsidP="00B42FA3"/>
          <w:p w14:paraId="5ED88E09" w14:textId="77777777" w:rsidR="00B42FA3" w:rsidRPr="00B42FA3" w:rsidRDefault="00B42FA3" w:rsidP="00B42FA3"/>
          <w:p w14:paraId="58D9641D" w14:textId="77777777" w:rsidR="00B42FA3" w:rsidRPr="00B42FA3" w:rsidRDefault="00B42FA3"/>
          <w:p w14:paraId="5E0D02BB" w14:textId="77777777" w:rsidR="00B42FA3" w:rsidRPr="00B42FA3" w:rsidRDefault="00B42FA3"/>
          <w:p w14:paraId="43D7EE23" w14:textId="26E298CF" w:rsidR="00BD5588" w:rsidRPr="00B42FA3" w:rsidRDefault="00BD5588" w:rsidP="00F9689B">
            <w:pPr>
              <w:jc w:val="right"/>
            </w:pPr>
          </w:p>
        </w:tc>
        <w:tc>
          <w:tcPr>
            <w:tcW w:w="3799" w:type="pct"/>
            <w:gridSpan w:val="9"/>
            <w:hideMark/>
          </w:tcPr>
          <w:p w14:paraId="1380CD45" w14:textId="7F7B6A73" w:rsidR="008B7BD5" w:rsidRDefault="00BF66D6" w:rsidP="00C63D14">
            <w:pPr>
              <w:ind w:firstLine="399"/>
              <w:jc w:val="both"/>
            </w:pPr>
            <w:r w:rsidRPr="002F0075">
              <w:t>1.</w:t>
            </w:r>
            <w:r w:rsidRPr="002F0075">
              <w:tab/>
              <w:t>2015.gada 5.martā pieņemtie grozījumi Civillikumā par</w:t>
            </w:r>
            <w:r w:rsidR="00A12E53" w:rsidRPr="00896D55">
              <w:t xml:space="preserve">edz, ka ar 2017.gada 1.janvāri Latvijas tiesību sistēmā </w:t>
            </w:r>
            <w:r w:rsidRPr="00896D55">
              <w:t>tika ieviests jauns tiesību institūts – apbūves tiesība (</w:t>
            </w:r>
            <w:proofErr w:type="spellStart"/>
            <w:r w:rsidRPr="00896D55">
              <w:t>superficies</w:t>
            </w:r>
            <w:proofErr w:type="spellEnd"/>
            <w:r w:rsidRPr="00896D55">
              <w:t>). Apbūves tiesība ir ar līgumu piešķirta mantojama un atsavināma lietu tiesība, kas nodrošina iespēju apbūves tiesību ieguvējam apb</w:t>
            </w:r>
            <w:r w:rsidRPr="00955A58">
              <w:t xml:space="preserve">ūves tiesīgajam) būvēt nedzīvojamas ēkas vai inženierbūves uz citai personai (zemes gabala īpašniekam) piederošas zemes un lietot tās kā īpašniekam šīs tiesības spēkā esamības laikā. Izvērtējot jauna tiesību institūta “apbūves tiesība” </w:t>
            </w:r>
            <w:r w:rsidR="008B7BD5">
              <w:t xml:space="preserve">būtību, secināms, ka apbūves tiesību nodošana atbilstoši Pievienotās vērtības nodokļa likuma 1.panta 14.punktam ir pakalpojuma sniegšana, konkrētāk, nemateriāla īpašuma (nemateriālo vērtību un tiesību) pārdošana (nodošana) (Pievienotās vērtības nodokļa likuma 1.panta 14.punkta “a” apakšpunkts). </w:t>
            </w:r>
          </w:p>
          <w:p w14:paraId="6594786B" w14:textId="7BC96FCF" w:rsidR="00BF66D6" w:rsidRPr="002F0075" w:rsidRDefault="008B7BD5" w:rsidP="00C63D14">
            <w:pPr>
              <w:ind w:firstLine="399"/>
              <w:jc w:val="both"/>
            </w:pPr>
            <w:r>
              <w:t>Tā kā atbilstoši</w:t>
            </w:r>
            <w:r w:rsidR="00BF66D6" w:rsidRPr="00955A58">
              <w:t xml:space="preserve"> </w:t>
            </w:r>
            <w:r w:rsidR="006E1E1C" w:rsidRPr="006814BB">
              <w:t>D</w:t>
            </w:r>
            <w:r w:rsidR="00A12E53" w:rsidRPr="006814BB">
              <w:t>irektīva</w:t>
            </w:r>
            <w:r w:rsidR="000B2357" w:rsidRPr="006814BB">
              <w:t>s</w:t>
            </w:r>
            <w:r w:rsidR="006E1E1C" w:rsidRPr="006814BB">
              <w:t xml:space="preserve"> 2006/112/EK</w:t>
            </w:r>
            <w:r w:rsidR="00BF66D6" w:rsidRPr="006814BB">
              <w:t xml:space="preserve"> 15.panta 2.punkta “b” apakšpunkt</w:t>
            </w:r>
            <w:r w:rsidRPr="006814BB">
              <w:t xml:space="preserve">am dalībvalsts apbūves tiesības var uzskatītas arī par </w:t>
            </w:r>
            <w:r w:rsidR="00BF66D6" w:rsidRPr="006814BB">
              <w:t xml:space="preserve"> lietu tiesīb</w:t>
            </w:r>
            <w:r w:rsidRPr="006814BB">
              <w:t>ām</w:t>
            </w:r>
            <w:r w:rsidR="00BF66D6" w:rsidRPr="006814BB">
              <w:t>, kas to turētājam dod nekustamā īpašuma lietojuma tiesības</w:t>
            </w:r>
            <w:r w:rsidRPr="006814BB">
              <w:t>,</w:t>
            </w:r>
            <w:r w:rsidR="00BF66D6" w:rsidRPr="006814BB">
              <w:t xml:space="preserve"> un </w:t>
            </w:r>
            <w:r w:rsidRPr="006814BB">
              <w:t xml:space="preserve">tādējādi </w:t>
            </w:r>
            <w:r w:rsidR="00BF66D6" w:rsidRPr="006814BB">
              <w:t>tās var uzskatīt par materiālu īpašumu</w:t>
            </w:r>
            <w:r w:rsidR="000D21D7" w:rsidRPr="006814BB">
              <w:t>, proti, par preci</w:t>
            </w:r>
            <w:r w:rsidRPr="006814BB">
              <w:t>, tad</w:t>
            </w:r>
            <w:r w:rsidR="006814BB">
              <w:t>,</w:t>
            </w:r>
            <w:r w:rsidRPr="006814BB">
              <w:t xml:space="preserve"> lai radītu nepārprotamu PVN regulējumu darījumos ar apbūves tiesībām</w:t>
            </w:r>
            <w:r w:rsidR="001B7392">
              <w:t xml:space="preserve"> un nostiprinātu PVN regulējuma interpretāciju tiesību akta veidā</w:t>
            </w:r>
            <w:r w:rsidR="006814BB">
              <w:t>,</w:t>
            </w:r>
            <w:r w:rsidRPr="006814BB">
              <w:t xml:space="preserve"> </w:t>
            </w:r>
          </w:p>
          <w:p w14:paraId="05DF814A" w14:textId="59359A7D" w:rsidR="004E7E4B" w:rsidRDefault="00A765A3" w:rsidP="00BF66D6">
            <w:pPr>
              <w:jc w:val="both"/>
            </w:pPr>
            <w:r w:rsidRPr="002F0075">
              <w:t>ir nepieciešams veikt grozījumus Pievienotās vērtības nodokļa likumā</w:t>
            </w:r>
            <w:r w:rsidR="006814BB">
              <w:t>,</w:t>
            </w:r>
            <w:r w:rsidRPr="002F0075">
              <w:t xml:space="preserve"> </w:t>
            </w:r>
            <w:r w:rsidR="00F647C7" w:rsidRPr="002F0075">
              <w:t>nosakot</w:t>
            </w:r>
            <w:r w:rsidR="007A3293">
              <w:t>,</w:t>
            </w:r>
            <w:r w:rsidR="00F647C7" w:rsidRPr="002F0075">
              <w:t xml:space="preserve"> </w:t>
            </w:r>
            <w:r w:rsidR="005D610D">
              <w:t>ka ar PVN apliekamā</w:t>
            </w:r>
            <w:r w:rsidR="00F647C7" w:rsidRPr="002F0075">
              <w:t xml:space="preserve"> vērtīb</w:t>
            </w:r>
            <w:r w:rsidR="005D610D">
              <w:t>a apbūves tiesību piešķiršanas darījumā ir atlīdzība par apbūves tiesību piešķiršanu</w:t>
            </w:r>
            <w:r w:rsidR="00F647C7" w:rsidRPr="002F0075">
              <w:t xml:space="preserve"> un </w:t>
            </w:r>
            <w:r w:rsidR="005D610D">
              <w:t>ka izsolē pārdodot apbūves tiesības</w:t>
            </w:r>
            <w:r w:rsidR="007A3293">
              <w:t>,</w:t>
            </w:r>
            <w:r w:rsidR="005D610D">
              <w:t xml:space="preserve"> ar PVN </w:t>
            </w:r>
            <w:r w:rsidR="007A3293">
              <w:t xml:space="preserve">ir apliekama </w:t>
            </w:r>
            <w:r w:rsidR="005D610D">
              <w:t xml:space="preserve">izsoles cena. </w:t>
            </w:r>
          </w:p>
          <w:p w14:paraId="2A23A541" w14:textId="77777777" w:rsidR="00F06AA6" w:rsidRPr="002F0075" w:rsidRDefault="00F06AA6" w:rsidP="00BF66D6">
            <w:pPr>
              <w:jc w:val="both"/>
            </w:pPr>
          </w:p>
          <w:p w14:paraId="7585DCF6" w14:textId="5A8A21E4" w:rsidR="003067F0" w:rsidRDefault="006E1E1C" w:rsidP="00C63D14">
            <w:pPr>
              <w:ind w:firstLine="399"/>
              <w:jc w:val="both"/>
            </w:pPr>
            <w:r w:rsidRPr="002F0075">
              <w:t>2.</w:t>
            </w:r>
            <w:r w:rsidR="003067F0" w:rsidRPr="002F0075">
              <w:t xml:space="preserve"> Direktīva 2016/1065,</w:t>
            </w:r>
            <w:r w:rsidR="003067F0">
              <w:t xml:space="preserve"> kas nosaka PVN piemērošanu darījumos ar </w:t>
            </w:r>
            <w:proofErr w:type="spellStart"/>
            <w:r w:rsidR="003067F0">
              <w:t>vaučeriem</w:t>
            </w:r>
            <w:proofErr w:type="spellEnd"/>
            <w:r w:rsidR="003067F0">
              <w:t xml:space="preserve"> ir jāpārņem ar 2019.gada 1.janvāri, lai  </w:t>
            </w:r>
            <w:r w:rsidR="003067F0" w:rsidRPr="002F0075">
              <w:t xml:space="preserve"> </w:t>
            </w:r>
            <w:r w:rsidR="003067F0" w:rsidRPr="001265D9">
              <w:t xml:space="preserve"> noteikt</w:t>
            </w:r>
            <w:r w:rsidR="003067F0">
              <w:t>u</w:t>
            </w:r>
            <w:r w:rsidR="003067F0" w:rsidRPr="001265D9">
              <w:t xml:space="preserve"> skaidrus un harmonizētus PVN piemērošanas noteikumus attiecībā uz gadījumiem, kad tiek izmantots </w:t>
            </w:r>
            <w:proofErr w:type="spellStart"/>
            <w:r w:rsidR="003067F0" w:rsidRPr="001265D9">
              <w:t>vaučers</w:t>
            </w:r>
            <w:proofErr w:type="spellEnd"/>
            <w:r w:rsidR="003067F0" w:rsidRPr="001265D9">
              <w:t>, ar kuru iegādājas preci vai pakalpojumu, lai novērstu nekonsekvenci, konkurences kropļojumus, PVN dubultu uzlikšanu vai neuzlikšanu un lai samazinātu PVN maksāšanas izvairīšanās risku</w:t>
            </w:r>
            <w:r w:rsidR="003067F0">
              <w:t xml:space="preserve"> ES līmenī</w:t>
            </w:r>
            <w:r w:rsidR="003067F0" w:rsidRPr="001265D9">
              <w:t xml:space="preserve">. </w:t>
            </w:r>
          </w:p>
          <w:p w14:paraId="23991224" w14:textId="284A3046" w:rsidR="00D8191B" w:rsidRPr="002F0075" w:rsidRDefault="004E36F7" w:rsidP="004E2568">
            <w:pPr>
              <w:ind w:firstLine="399"/>
              <w:jc w:val="both"/>
            </w:pPr>
            <w:r>
              <w:t xml:space="preserve">Latvijas Pievienotās vērtības nodokļa normatīvajos aktos šobrīd ir noteikts regulējums PVN piemērošanai darījumos ar </w:t>
            </w:r>
            <w:r w:rsidR="00CC602E">
              <w:t xml:space="preserve">tāda veida </w:t>
            </w:r>
            <w:proofErr w:type="spellStart"/>
            <w:r w:rsidR="00CC602E">
              <w:t>vaučeriem</w:t>
            </w:r>
            <w:proofErr w:type="spellEnd"/>
            <w:r w:rsidR="00CC602E">
              <w:t>, kas ir apzīmēti ar vārdiem “</w:t>
            </w:r>
            <w:r w:rsidRPr="002F0075">
              <w:t>dāvanu karte</w:t>
            </w:r>
            <w:r w:rsidR="00CC602E">
              <w:t>”</w:t>
            </w:r>
            <w:r w:rsidRPr="002F0075">
              <w:t xml:space="preserve"> un </w:t>
            </w:r>
            <w:r w:rsidR="00CC602E">
              <w:t>“</w:t>
            </w:r>
            <w:r w:rsidRPr="002F0075">
              <w:t>sarunu priekšapmaksas karte</w:t>
            </w:r>
            <w:r w:rsidR="00CC602E">
              <w:t>”</w:t>
            </w:r>
            <w:r>
              <w:t>.</w:t>
            </w:r>
            <w:r w:rsidR="00664D9E">
              <w:t xml:space="preserve"> Dāvanu kartes un sarunu priekšapmaksas kartes gadījumā PVN piem</w:t>
            </w:r>
            <w:r w:rsidR="002D1B9E">
              <w:t>ēro</w:t>
            </w:r>
            <w:r w:rsidR="00664D9E">
              <w:t xml:space="preserve">, kad atlīdzība par dāvanu karti vai sarunu priekšapmaksas karti </w:t>
            </w:r>
            <w:r w:rsidR="002D1B9E">
              <w:t>tiek</w:t>
            </w:r>
            <w:r w:rsidR="00664D9E">
              <w:t xml:space="preserve"> saņemta, lai gan </w:t>
            </w:r>
            <w:r w:rsidR="006A46C1">
              <w:t xml:space="preserve">reālā </w:t>
            </w:r>
            <w:r w:rsidR="00664D9E" w:rsidRPr="002F0075">
              <w:t>preču vai pakalpojumu saņemšan</w:t>
            </w:r>
            <w:r w:rsidR="004D2A34">
              <w:t>a</w:t>
            </w:r>
            <w:r w:rsidR="00664D9E">
              <w:t xml:space="preserve"> notika vēlākā laika posmā.</w:t>
            </w:r>
            <w:r w:rsidR="006A46C1">
              <w:t xml:space="preserve"> </w:t>
            </w:r>
            <w:r w:rsidR="00D8191B" w:rsidRPr="002F0075">
              <w:t>Pievienotās vērtības nodokļa likuma 124.panta trešā daļa nosaka, ka PVN, kas saskaņā ar šā likuma 129.panta desmito daļu ir iekļauts dāvanu kartes, sarunu priekšapmaksas kartes, braukšanas biļetes (talona), mēnešbiļetes un sporta vai kultūras pasākuma biļetes cenā, PVN maksātājs, kurš minētās kartes vai biļetes realizē savā vārdā, neizmantojot starpniecības pakalpojumus, norāda tā taksācijas perioda PVN deklarācijā, kurā attiecīgā karte vai biļete pārdota lietotājam. Savukārt Pievienotās vērtības nodokļa likuma 129.panta desmitā daļa nosaka, ka reģistrēts PVN maksātājs, kurš veic preču piegādes vai sniedz pakalpojumus par fiksētu cenu (piemēram,</w:t>
            </w:r>
            <w:r w:rsidR="00D8191B">
              <w:t xml:space="preserve"> </w:t>
            </w:r>
            <w:r w:rsidR="00D8191B" w:rsidRPr="002F0075">
              <w:t xml:space="preserve"> dāvanu kartes, sarunu priekšapmaksas kartes, braukšanas biļetes (talonus), mēnešbiļetes, biļetes uz sporta un kultūras pasākumiem), atsevišķu PVN rēķinu neizraksta. </w:t>
            </w:r>
          </w:p>
          <w:p w14:paraId="4259BAFB" w14:textId="77777777" w:rsidR="00D8191B" w:rsidRPr="002F0075" w:rsidRDefault="00D8191B" w:rsidP="00D8191B">
            <w:pPr>
              <w:jc w:val="both"/>
            </w:pPr>
            <w:r w:rsidRPr="002F0075">
              <w:lastRenderedPageBreak/>
              <w:t xml:space="preserve">Tāpat arī Latvijas Republikas normatīvie akti šobrīd nereglamentē īpašu </w:t>
            </w:r>
            <w:proofErr w:type="spellStart"/>
            <w:r w:rsidRPr="002F0075">
              <w:t>vaučeru</w:t>
            </w:r>
            <w:proofErr w:type="spellEnd"/>
            <w:r w:rsidRPr="002F0075">
              <w:t xml:space="preserve"> uzskaites kārtību. Līdz ar to patlaban tiek piemēroti vispārīgie normatīvie akti attiecībā uz ieņēmumu atzīšanu un attaisnojuma dokumentu noformēšanas kārtību. Tādu </w:t>
            </w:r>
            <w:proofErr w:type="spellStart"/>
            <w:r w:rsidRPr="002F0075">
              <w:t>vaučeru</w:t>
            </w:r>
            <w:proofErr w:type="spellEnd"/>
            <w:r w:rsidRPr="002F0075">
              <w:t>, piemēram, dāvanu kartes, taloni u.tml., izlietošanas uzskaiti šobrīd nosaka uzņēmuma vadītājs uzņēmuma grāmatvedības organizācijas dokumentos atbilstoši grāmatvedību reglamentējošo normatīvo aktu prasībām.</w:t>
            </w:r>
          </w:p>
          <w:p w14:paraId="72E6AD2B" w14:textId="1F14DA2E" w:rsidR="007078D9" w:rsidRDefault="00CC602E" w:rsidP="00C63D14">
            <w:pPr>
              <w:ind w:firstLine="399"/>
              <w:jc w:val="both"/>
            </w:pPr>
            <w:r>
              <w:t xml:space="preserve">Tādējādi ir atbilstoši jāprecizē </w:t>
            </w:r>
            <w:r w:rsidR="006A46C1">
              <w:t xml:space="preserve">Latvijas </w:t>
            </w:r>
            <w:r w:rsidR="002D1B9E">
              <w:t xml:space="preserve">Pievienotās vērtības nodokļa likumā noteiktais attiecībā uz </w:t>
            </w:r>
            <w:proofErr w:type="spellStart"/>
            <w:r w:rsidR="002D1B9E">
              <w:t>vaučeriem</w:t>
            </w:r>
            <w:proofErr w:type="spellEnd"/>
            <w:r w:rsidR="006A46C1">
              <w:t>, lai tie atbilstu Direktīvai</w:t>
            </w:r>
            <w:r w:rsidR="006A46C1" w:rsidRPr="002F0075">
              <w:t xml:space="preserve"> 2016/1065</w:t>
            </w:r>
            <w:r w:rsidR="002D1B9E">
              <w:t xml:space="preserve"> jāievieš termini “</w:t>
            </w:r>
            <w:proofErr w:type="spellStart"/>
            <w:r w:rsidR="002D1B9E">
              <w:t>vaučers</w:t>
            </w:r>
            <w:proofErr w:type="spellEnd"/>
            <w:r w:rsidR="002D1B9E">
              <w:t xml:space="preserve">”, “viena mērķa </w:t>
            </w:r>
            <w:proofErr w:type="spellStart"/>
            <w:r w:rsidR="002D1B9E">
              <w:t>vaučers</w:t>
            </w:r>
            <w:proofErr w:type="spellEnd"/>
            <w:r w:rsidR="002D1B9E">
              <w:t xml:space="preserve">” un “vairāku mērķu </w:t>
            </w:r>
            <w:proofErr w:type="spellStart"/>
            <w:r w:rsidR="002D1B9E">
              <w:t>vaučers</w:t>
            </w:r>
            <w:proofErr w:type="spellEnd"/>
            <w:r w:rsidR="002D1B9E">
              <w:t xml:space="preserve">”, jānosaka PVN piemērošana darījumos ar </w:t>
            </w:r>
            <w:proofErr w:type="spellStart"/>
            <w:r w:rsidR="002D1B9E">
              <w:t>vaučeriem</w:t>
            </w:r>
            <w:proofErr w:type="spellEnd"/>
            <w:r w:rsidR="002D1B9E">
              <w:t xml:space="preserve"> un darījuma ar PVN apliekamo vērtību, kā arī to, ka regulējums ir piemērojams </w:t>
            </w:r>
            <w:proofErr w:type="spellStart"/>
            <w:r w:rsidR="002D1B9E" w:rsidRPr="004E2568">
              <w:t>vaučeriem</w:t>
            </w:r>
            <w:proofErr w:type="spellEnd"/>
            <w:r w:rsidR="002D1B9E" w:rsidRPr="004E2568">
              <w:t>, kas izdoti, sākot ar 2019.gada 1.janvāri</w:t>
            </w:r>
            <w:r w:rsidR="002D1B9E">
              <w:t xml:space="preserve">. </w:t>
            </w:r>
          </w:p>
          <w:p w14:paraId="1DEDC4FB" w14:textId="7E02EA8D" w:rsidR="003067F0" w:rsidRDefault="007078D9" w:rsidP="007078D9">
            <w:pPr>
              <w:ind w:firstLine="399"/>
              <w:jc w:val="both"/>
            </w:pPr>
            <w:r>
              <w:t xml:space="preserve">Termins “vairāku mērķu </w:t>
            </w:r>
            <w:proofErr w:type="spellStart"/>
            <w:r>
              <w:t>vaučers</w:t>
            </w:r>
            <w:proofErr w:type="spellEnd"/>
            <w:r>
              <w:t>” Pievienotās vērtības nodokļa likumā ir skaidrots</w:t>
            </w:r>
            <w:r w:rsidRPr="007078D9">
              <w:t xml:space="preserve"> plašāk</w:t>
            </w:r>
            <w:r>
              <w:t>, nekā Direktīvā 2016/1065, bet pēc būtības tas nemaina normas saturu un jēgu. Plašāks skaidrojums ir pamatojams ar Latvijas n</w:t>
            </w:r>
            <w:r w:rsidRPr="007078D9">
              <w:t>ormatīvo aktu projektu sagatavošana</w:t>
            </w:r>
            <w:r>
              <w:t>s noteikumu 2.3.nodaļu, vienlaikus ievērojot, ka</w:t>
            </w:r>
            <w:r w:rsidRPr="007078D9">
              <w:t xml:space="preserve"> divi termini nevar viens otru savstarpēji skaidrot. </w:t>
            </w:r>
          </w:p>
          <w:p w14:paraId="271ADF3F" w14:textId="50ED2D3D" w:rsidR="009124EE" w:rsidRPr="002F0075" w:rsidRDefault="009124EE" w:rsidP="007410D8">
            <w:pPr>
              <w:jc w:val="both"/>
            </w:pPr>
            <w:r w:rsidRPr="002F0075">
              <w:t xml:space="preserve">Svarīgi uzsvērt, ka Direktīvas 2016/1065 noteikumi nav attiecināmi uz situācijām, kad galapatērētājs neizmanto vairāku mērķu </w:t>
            </w:r>
            <w:proofErr w:type="spellStart"/>
            <w:r w:rsidRPr="002F0075">
              <w:t>vaučeru</w:t>
            </w:r>
            <w:proofErr w:type="spellEnd"/>
            <w:r w:rsidRPr="002F0075">
              <w:t xml:space="preserve"> tā derīguma termiņa laikā, un atlīdzību, kas saņemta par šādu </w:t>
            </w:r>
            <w:proofErr w:type="spellStart"/>
            <w:r w:rsidRPr="002F0075">
              <w:t>vaučeru</w:t>
            </w:r>
            <w:proofErr w:type="spellEnd"/>
            <w:r w:rsidRPr="002F0075">
              <w:t>, patur tirgotājs</w:t>
            </w:r>
            <w:r w:rsidR="00D0571B">
              <w:t xml:space="preserve">, kā arī tas, ka PVN piemērošana nemainās attiecībā uz </w:t>
            </w:r>
            <w:r w:rsidR="00D0571B" w:rsidRPr="002F0075">
              <w:t>braukšanas biļet</w:t>
            </w:r>
            <w:r w:rsidR="00D0571B">
              <w:t>ēm (taloniem), mēnešbiļetēm, biļetēm</w:t>
            </w:r>
            <w:r w:rsidR="00D0571B" w:rsidRPr="002F0075">
              <w:t xml:space="preserve"> uz sporta un kultūras pasākumiem</w:t>
            </w:r>
            <w:r w:rsidR="00D0571B">
              <w:t>.</w:t>
            </w:r>
          </w:p>
          <w:p w14:paraId="00BD85CA" w14:textId="52F79AE0" w:rsidR="009845FF" w:rsidRPr="002F0075" w:rsidRDefault="009845FF" w:rsidP="00E954A9">
            <w:pPr>
              <w:jc w:val="both"/>
            </w:pPr>
          </w:p>
          <w:p w14:paraId="60A272F5" w14:textId="35ED6D7B" w:rsidR="00E954A9" w:rsidRPr="00201A82" w:rsidRDefault="00E954A9" w:rsidP="004E2568">
            <w:pPr>
              <w:ind w:firstLine="371"/>
              <w:jc w:val="both"/>
            </w:pPr>
            <w:r w:rsidRPr="004E2568">
              <w:rPr>
                <w:bCs/>
              </w:rPr>
              <w:t>3. Ar vien</w:t>
            </w:r>
            <w:r>
              <w:rPr>
                <w:bCs/>
              </w:rPr>
              <w:t xml:space="preserve"> vairāk notiek darījumu e-komercijas jomā</w:t>
            </w:r>
            <w:r w:rsidR="007A11B4">
              <w:rPr>
                <w:bCs/>
              </w:rPr>
              <w:t>, kas rada izaicinājumus PVN piemērošanā</w:t>
            </w:r>
            <w:r>
              <w:rPr>
                <w:bCs/>
              </w:rPr>
              <w:t xml:space="preserve">, tādējādi  </w:t>
            </w:r>
            <w:r>
              <w:t xml:space="preserve">Padome 2017.gada 5.decembrī ir pieņēmusi </w:t>
            </w:r>
            <w:r w:rsidRPr="00201A82">
              <w:t>Direktīva</w:t>
            </w:r>
            <w:r w:rsidR="00494B3A">
              <w:t>s</w:t>
            </w:r>
            <w:r w:rsidRPr="00201A82">
              <w:t xml:space="preserve"> 2017/2455 regulējumu,</w:t>
            </w:r>
            <w:r>
              <w:t xml:space="preserve"> kuras atsevišķām normām ir jāstājas </w:t>
            </w:r>
            <w:r w:rsidRPr="00201A82">
              <w:t>spēkā 2019.gada 1.janvārī</w:t>
            </w:r>
            <w:r>
              <w:t>:</w:t>
            </w:r>
          </w:p>
          <w:p w14:paraId="49F728DD" w14:textId="42666CCC" w:rsidR="009F644B" w:rsidRPr="002F0075" w:rsidRDefault="0046589A" w:rsidP="00C63D14">
            <w:pPr>
              <w:pStyle w:val="BodyText2"/>
              <w:spacing w:before="120"/>
              <w:ind w:right="124" w:firstLine="399"/>
              <w:rPr>
                <w:b w:val="0"/>
                <w:bCs w:val="0"/>
              </w:rPr>
            </w:pPr>
            <w:r w:rsidRPr="002F0075">
              <w:rPr>
                <w:b w:val="0"/>
                <w:bCs w:val="0"/>
              </w:rPr>
              <w:t>3.</w:t>
            </w:r>
            <w:r w:rsidRPr="002F0075">
              <w:rPr>
                <w:b w:val="0"/>
              </w:rPr>
              <w:t>1.</w:t>
            </w:r>
            <w:r w:rsidR="00F1551D" w:rsidRPr="002F0075">
              <w:rPr>
                <w:b w:val="0"/>
              </w:rPr>
              <w:t> </w:t>
            </w:r>
            <w:r w:rsidR="00C42E7A">
              <w:rPr>
                <w:b w:val="0"/>
                <w:bCs w:val="0"/>
              </w:rPr>
              <w:t>Pēc</w:t>
            </w:r>
            <w:r w:rsidR="009F644B" w:rsidRPr="002F0075">
              <w:rPr>
                <w:b w:val="0"/>
                <w:bCs w:val="0"/>
              </w:rPr>
              <w:t xml:space="preserve"> </w:t>
            </w:r>
            <w:r w:rsidR="004938C9" w:rsidRPr="002F0075">
              <w:rPr>
                <w:b w:val="0"/>
                <w:bCs w:val="0"/>
              </w:rPr>
              <w:t>EK</w:t>
            </w:r>
            <w:r w:rsidR="009F644B" w:rsidRPr="002F0075">
              <w:rPr>
                <w:b w:val="0"/>
                <w:bCs w:val="0"/>
              </w:rPr>
              <w:t xml:space="preserve"> aplēs</w:t>
            </w:r>
            <w:r w:rsidR="00C42E7A">
              <w:rPr>
                <w:b w:val="0"/>
                <w:bCs w:val="0"/>
              </w:rPr>
              <w:t>ēm</w:t>
            </w:r>
            <w:r w:rsidR="009F644B" w:rsidRPr="002F0075">
              <w:rPr>
                <w:b w:val="0"/>
                <w:bCs w:val="0"/>
              </w:rPr>
              <w:t xml:space="preserve"> </w:t>
            </w:r>
            <w:r w:rsidR="00C42E7A">
              <w:rPr>
                <w:b w:val="0"/>
                <w:bCs w:val="0"/>
              </w:rPr>
              <w:t xml:space="preserve">reģistrētam PVN maksātājam </w:t>
            </w:r>
            <w:r w:rsidR="009F644B" w:rsidRPr="002F0075">
              <w:rPr>
                <w:b w:val="0"/>
                <w:bCs w:val="0"/>
              </w:rPr>
              <w:t xml:space="preserve">PVN saistību izpilde </w:t>
            </w:r>
            <w:r w:rsidR="00C42E7A">
              <w:rPr>
                <w:b w:val="0"/>
                <w:bCs w:val="0"/>
              </w:rPr>
              <w:t xml:space="preserve">pārrobežu e-komercijā </w:t>
            </w:r>
            <w:r w:rsidR="009F644B" w:rsidRPr="002F0075">
              <w:rPr>
                <w:b w:val="0"/>
                <w:bCs w:val="0"/>
              </w:rPr>
              <w:t>gadā vidēji izmaksā 8 000 </w:t>
            </w:r>
            <w:proofErr w:type="spellStart"/>
            <w:r w:rsidR="009F644B" w:rsidRPr="002F0075">
              <w:rPr>
                <w:b w:val="0"/>
                <w:bCs w:val="0"/>
                <w:i/>
              </w:rPr>
              <w:t>euro</w:t>
            </w:r>
            <w:proofErr w:type="spellEnd"/>
            <w:r w:rsidR="009F644B" w:rsidRPr="002F0075">
              <w:rPr>
                <w:b w:val="0"/>
                <w:bCs w:val="0"/>
              </w:rPr>
              <w:t xml:space="preserve"> katrā dalībvalstī, kurā uzņēmums sniedz </w:t>
            </w:r>
            <w:r w:rsidR="00C42E7A">
              <w:rPr>
                <w:b w:val="0"/>
                <w:bCs w:val="0"/>
              </w:rPr>
              <w:t xml:space="preserve">elektronisko sakaru, apraides un elektroniski sniegtus </w:t>
            </w:r>
            <w:r w:rsidR="009F644B" w:rsidRPr="002F0075">
              <w:rPr>
                <w:b w:val="0"/>
                <w:bCs w:val="0"/>
              </w:rPr>
              <w:t xml:space="preserve">pakalpojumus vai piegādā preces. </w:t>
            </w:r>
          </w:p>
          <w:p w14:paraId="3EE1D6AD" w14:textId="35EA576D" w:rsidR="00F976F1" w:rsidRPr="002F0075" w:rsidRDefault="004874D7" w:rsidP="009F644B">
            <w:pPr>
              <w:pStyle w:val="Heading3"/>
              <w:shd w:val="clear" w:color="auto" w:fill="FFFFFF"/>
              <w:spacing w:before="0" w:beforeAutospacing="0" w:after="0" w:afterAutospacing="0"/>
              <w:ind w:right="57"/>
              <w:jc w:val="both"/>
              <w:rPr>
                <w:b w:val="0"/>
                <w:bCs w:val="0"/>
                <w:color w:val="000000"/>
                <w:sz w:val="24"/>
                <w:szCs w:val="24"/>
              </w:rPr>
            </w:pPr>
            <w:r w:rsidRPr="002F0075">
              <w:rPr>
                <w:b w:val="0"/>
                <w:sz w:val="24"/>
                <w:szCs w:val="24"/>
              </w:rPr>
              <w:t>L</w:t>
            </w:r>
            <w:r w:rsidRPr="002F0075">
              <w:rPr>
                <w:b w:val="0"/>
                <w:bCs w:val="0"/>
                <w:sz w:val="24"/>
                <w:szCs w:val="24"/>
              </w:rPr>
              <w:t>ai mazinātu administratīvu slogu uzņēmumiem</w:t>
            </w:r>
            <w:r w:rsidR="00DE1997">
              <w:rPr>
                <w:b w:val="0"/>
                <w:bCs w:val="0"/>
                <w:sz w:val="24"/>
                <w:szCs w:val="24"/>
              </w:rPr>
              <w:t xml:space="preserve"> un veicinātu </w:t>
            </w:r>
            <w:r w:rsidR="00DE1997" w:rsidRPr="002F0075">
              <w:rPr>
                <w:b w:val="0"/>
                <w:bCs w:val="0"/>
                <w:sz w:val="24"/>
                <w:szCs w:val="24"/>
              </w:rPr>
              <w:t>it īpaši maz</w:t>
            </w:r>
            <w:r w:rsidR="00DE1997">
              <w:rPr>
                <w:b w:val="0"/>
                <w:bCs w:val="0"/>
                <w:sz w:val="24"/>
                <w:szCs w:val="24"/>
              </w:rPr>
              <w:t>u</w:t>
            </w:r>
            <w:r w:rsidR="00DE1997" w:rsidRPr="002F0075">
              <w:rPr>
                <w:b w:val="0"/>
                <w:bCs w:val="0"/>
                <w:sz w:val="24"/>
                <w:szCs w:val="24"/>
              </w:rPr>
              <w:t xml:space="preserve"> un vidēj</w:t>
            </w:r>
            <w:r w:rsidR="00DE1997">
              <w:rPr>
                <w:b w:val="0"/>
                <w:bCs w:val="0"/>
                <w:sz w:val="24"/>
                <w:szCs w:val="24"/>
              </w:rPr>
              <w:t>u</w:t>
            </w:r>
            <w:r w:rsidR="00DE1997" w:rsidRPr="002F0075">
              <w:rPr>
                <w:b w:val="0"/>
                <w:bCs w:val="0"/>
                <w:sz w:val="24"/>
                <w:szCs w:val="24"/>
              </w:rPr>
              <w:t xml:space="preserve"> uzņēmum</w:t>
            </w:r>
            <w:r w:rsidR="00DE1997">
              <w:rPr>
                <w:b w:val="0"/>
                <w:bCs w:val="0"/>
                <w:sz w:val="24"/>
                <w:szCs w:val="24"/>
              </w:rPr>
              <w:t>u iesaisti pārrobežu e-komercijas darījumos</w:t>
            </w:r>
            <w:r w:rsidRPr="002F0075">
              <w:rPr>
                <w:b w:val="0"/>
                <w:bCs w:val="0"/>
                <w:sz w:val="24"/>
                <w:szCs w:val="24"/>
              </w:rPr>
              <w:t xml:space="preserve">, </w:t>
            </w:r>
            <w:r w:rsidRPr="002F0075">
              <w:rPr>
                <w:b w:val="0"/>
                <w:sz w:val="24"/>
                <w:szCs w:val="24"/>
              </w:rPr>
              <w:t xml:space="preserve">no 2019.gada 1.janvāra stājas spēkā grozījumi </w:t>
            </w:r>
            <w:r w:rsidR="00935E90" w:rsidRPr="002F0075">
              <w:rPr>
                <w:b w:val="0"/>
                <w:sz w:val="24"/>
                <w:szCs w:val="24"/>
              </w:rPr>
              <w:t>Direktīv</w:t>
            </w:r>
            <w:r w:rsidR="00935E90">
              <w:rPr>
                <w:b w:val="0"/>
                <w:sz w:val="24"/>
                <w:szCs w:val="24"/>
              </w:rPr>
              <w:t>ā</w:t>
            </w:r>
            <w:r w:rsidR="00935E90" w:rsidRPr="002F0075">
              <w:rPr>
                <w:b w:val="0"/>
                <w:sz w:val="24"/>
                <w:szCs w:val="24"/>
              </w:rPr>
              <w:t xml:space="preserve"> </w:t>
            </w:r>
            <w:r w:rsidR="007C5BAD" w:rsidRPr="002F0075">
              <w:rPr>
                <w:b w:val="0"/>
                <w:sz w:val="24"/>
                <w:szCs w:val="24"/>
              </w:rPr>
              <w:t>2006/112/EK</w:t>
            </w:r>
            <w:r w:rsidRPr="002F0075">
              <w:rPr>
                <w:b w:val="0"/>
                <w:sz w:val="24"/>
                <w:szCs w:val="24"/>
              </w:rPr>
              <w:t xml:space="preserve">, ar kuriem tiek noteikta </w:t>
            </w:r>
            <w:r w:rsidRPr="00896D55">
              <w:rPr>
                <w:b w:val="0"/>
                <w:bCs w:val="0"/>
                <w:color w:val="000000"/>
                <w:sz w:val="24"/>
                <w:szCs w:val="24"/>
              </w:rPr>
              <w:t>robežvērtība ES iekšienē veiktajiem darījumiem 10 000 </w:t>
            </w:r>
            <w:proofErr w:type="spellStart"/>
            <w:r w:rsidRPr="00896D55">
              <w:rPr>
                <w:b w:val="0"/>
                <w:bCs w:val="0"/>
                <w:i/>
                <w:color w:val="000000"/>
                <w:sz w:val="24"/>
                <w:szCs w:val="24"/>
              </w:rPr>
              <w:t>euro</w:t>
            </w:r>
            <w:proofErr w:type="spellEnd"/>
            <w:r w:rsidRPr="00896D55">
              <w:rPr>
                <w:b w:val="0"/>
                <w:bCs w:val="0"/>
                <w:color w:val="000000"/>
                <w:sz w:val="24"/>
                <w:szCs w:val="24"/>
              </w:rPr>
              <w:t xml:space="preserve"> apmērā, kuru nepārsniedzot, tādu pakalpojumu, uz ko var attiecināt īpaš</w:t>
            </w:r>
            <w:r w:rsidRPr="00955A58">
              <w:rPr>
                <w:b w:val="0"/>
                <w:bCs w:val="0"/>
                <w:sz w:val="24"/>
                <w:szCs w:val="24"/>
              </w:rPr>
              <w:t>u PVN</w:t>
            </w:r>
            <w:r w:rsidRPr="00955A58">
              <w:rPr>
                <w:b w:val="0"/>
                <w:bCs w:val="0"/>
                <w:color w:val="000000"/>
                <w:sz w:val="24"/>
                <w:szCs w:val="24"/>
              </w:rPr>
              <w:t xml:space="preserve"> režīmu elektroniskajiem pakalpojumiem, piegādes viet</w:t>
            </w:r>
            <w:r w:rsidRPr="002F0075">
              <w:rPr>
                <w:b w:val="0"/>
                <w:bCs w:val="0"/>
                <w:color w:val="000000"/>
                <w:sz w:val="24"/>
                <w:szCs w:val="24"/>
              </w:rPr>
              <w:t>a ir pakalpojumu sniedzēja dalībvalstī</w:t>
            </w:r>
            <w:r w:rsidRPr="002F0075">
              <w:rPr>
                <w:b w:val="0"/>
                <w:sz w:val="24"/>
                <w:szCs w:val="24"/>
              </w:rPr>
              <w:t>.</w:t>
            </w:r>
            <w:r w:rsidR="00251477" w:rsidRPr="002F0075">
              <w:rPr>
                <w:b w:val="0"/>
                <w:sz w:val="24"/>
                <w:szCs w:val="24"/>
              </w:rPr>
              <w:t xml:space="preserve"> </w:t>
            </w:r>
            <w:r w:rsidR="00CA62AE" w:rsidRPr="002F0075">
              <w:rPr>
                <w:b w:val="0"/>
                <w:sz w:val="24"/>
                <w:szCs w:val="24"/>
              </w:rPr>
              <w:t>Tādējādi</w:t>
            </w:r>
            <w:r w:rsidR="009F644B" w:rsidRPr="002F0075">
              <w:rPr>
                <w:b w:val="0"/>
                <w:sz w:val="24"/>
                <w:szCs w:val="24"/>
              </w:rPr>
              <w:t xml:space="preserve"> </w:t>
            </w:r>
            <w:r w:rsidR="00F976F1" w:rsidRPr="002F0075">
              <w:rPr>
                <w:b w:val="0"/>
                <w:sz w:val="24"/>
                <w:szCs w:val="24"/>
              </w:rPr>
              <w:t xml:space="preserve">ir </w:t>
            </w:r>
            <w:r w:rsidR="00CA62AE" w:rsidRPr="002F0075">
              <w:rPr>
                <w:b w:val="0"/>
                <w:sz w:val="24"/>
                <w:szCs w:val="24"/>
              </w:rPr>
              <w:t>nepieciešams veikt groz</w:t>
            </w:r>
            <w:r w:rsidR="00CA62AE" w:rsidRPr="002F0075">
              <w:rPr>
                <w:b w:val="0"/>
                <w:bCs w:val="0"/>
                <w:sz w:val="24"/>
                <w:szCs w:val="24"/>
              </w:rPr>
              <w:t xml:space="preserve">ījumus </w:t>
            </w:r>
            <w:r w:rsidR="00611F12" w:rsidRPr="002F0075">
              <w:rPr>
                <w:b w:val="0"/>
                <w:bCs w:val="0"/>
                <w:sz w:val="24"/>
                <w:szCs w:val="24"/>
              </w:rPr>
              <w:t>Pievienotās vērtības nodokļa likum</w:t>
            </w:r>
            <w:r w:rsidR="00935E90">
              <w:rPr>
                <w:b w:val="0"/>
                <w:bCs w:val="0"/>
                <w:sz w:val="24"/>
                <w:szCs w:val="24"/>
              </w:rPr>
              <w:t>ā</w:t>
            </w:r>
            <w:r w:rsidR="00CA62AE" w:rsidRPr="002F0075">
              <w:rPr>
                <w:b w:val="0"/>
                <w:bCs w:val="0"/>
                <w:sz w:val="24"/>
                <w:szCs w:val="24"/>
              </w:rPr>
              <w:t>,</w:t>
            </w:r>
            <w:r w:rsidR="00611F12" w:rsidRPr="002F0075">
              <w:rPr>
                <w:b w:val="0"/>
                <w:bCs w:val="0"/>
                <w:sz w:val="24"/>
                <w:szCs w:val="24"/>
              </w:rPr>
              <w:t xml:space="preserve"> </w:t>
            </w:r>
            <w:r w:rsidR="00CA62AE" w:rsidRPr="002F0075">
              <w:rPr>
                <w:b w:val="0"/>
                <w:bCs w:val="0"/>
                <w:sz w:val="24"/>
                <w:szCs w:val="24"/>
              </w:rPr>
              <w:t>nosakot</w:t>
            </w:r>
            <w:r w:rsidR="007C5BAD">
              <w:rPr>
                <w:b w:val="0"/>
                <w:bCs w:val="0"/>
                <w:sz w:val="24"/>
                <w:szCs w:val="24"/>
              </w:rPr>
              <w:t>, ka e</w:t>
            </w:r>
            <w:r w:rsidR="007C5BAD" w:rsidRPr="007C5BAD">
              <w:rPr>
                <w:b w:val="0"/>
                <w:bCs w:val="0"/>
                <w:sz w:val="24"/>
                <w:szCs w:val="24"/>
              </w:rPr>
              <w:t>lektronisko sakaru, apraides un elektroniski sniegta pakalpojuma sniegšanas viet</w:t>
            </w:r>
            <w:r w:rsidR="007C5BAD">
              <w:rPr>
                <w:b w:val="0"/>
                <w:bCs w:val="0"/>
                <w:sz w:val="24"/>
                <w:szCs w:val="24"/>
              </w:rPr>
              <w:t>a</w:t>
            </w:r>
            <w:r w:rsidR="007C5BAD" w:rsidRPr="007C5BAD">
              <w:rPr>
                <w:b w:val="0"/>
                <w:bCs w:val="0"/>
                <w:sz w:val="24"/>
                <w:szCs w:val="24"/>
              </w:rPr>
              <w:t xml:space="preserve"> </w:t>
            </w:r>
            <w:r w:rsidR="007C5BAD">
              <w:rPr>
                <w:b w:val="0"/>
                <w:bCs w:val="0"/>
                <w:sz w:val="24"/>
                <w:szCs w:val="24"/>
              </w:rPr>
              <w:t xml:space="preserve">ir </w:t>
            </w:r>
            <w:r w:rsidR="00DE1997">
              <w:rPr>
                <w:b w:val="0"/>
                <w:bCs w:val="0"/>
                <w:sz w:val="24"/>
                <w:szCs w:val="24"/>
              </w:rPr>
              <w:t xml:space="preserve">nosakāma </w:t>
            </w:r>
            <w:r w:rsidR="007C5BAD" w:rsidRPr="007C5BAD">
              <w:rPr>
                <w:b w:val="0"/>
                <w:bCs w:val="0"/>
                <w:sz w:val="24"/>
                <w:szCs w:val="24"/>
              </w:rPr>
              <w:t>pakalpojumu sniedzēja dalībvalstī</w:t>
            </w:r>
            <w:r w:rsidR="007C5BAD">
              <w:rPr>
                <w:b w:val="0"/>
                <w:bCs w:val="0"/>
                <w:color w:val="000000"/>
                <w:sz w:val="24"/>
                <w:szCs w:val="24"/>
              </w:rPr>
              <w:t>, ja</w:t>
            </w:r>
            <w:r w:rsidR="007C5BAD" w:rsidRPr="002F0075">
              <w:rPr>
                <w:b w:val="0"/>
                <w:bCs w:val="0"/>
                <w:color w:val="000000"/>
                <w:sz w:val="24"/>
                <w:szCs w:val="24"/>
              </w:rPr>
              <w:t xml:space="preserve"> </w:t>
            </w:r>
            <w:r w:rsidR="007C5BAD" w:rsidRPr="007C5BAD">
              <w:rPr>
                <w:b w:val="0"/>
                <w:bCs w:val="0"/>
                <w:color w:val="000000"/>
                <w:sz w:val="24"/>
                <w:szCs w:val="24"/>
              </w:rPr>
              <w:t>kopējā</w:t>
            </w:r>
            <w:r w:rsidR="007C5BAD" w:rsidRPr="002F0075">
              <w:rPr>
                <w:b w:val="0"/>
                <w:bCs w:val="0"/>
                <w:color w:val="000000"/>
                <w:sz w:val="24"/>
                <w:szCs w:val="24"/>
              </w:rPr>
              <w:t xml:space="preserve"> </w:t>
            </w:r>
            <w:r w:rsidR="00C95C47" w:rsidRPr="002F0075">
              <w:rPr>
                <w:b w:val="0"/>
                <w:bCs w:val="0"/>
                <w:color w:val="000000"/>
                <w:sz w:val="24"/>
                <w:szCs w:val="24"/>
              </w:rPr>
              <w:t xml:space="preserve">pārrobežu darījumu </w:t>
            </w:r>
            <w:r w:rsidR="00425C8B" w:rsidRPr="002F0075">
              <w:rPr>
                <w:b w:val="0"/>
                <w:bCs w:val="0"/>
                <w:color w:val="000000"/>
                <w:sz w:val="24"/>
                <w:szCs w:val="24"/>
              </w:rPr>
              <w:t>vērtīb</w:t>
            </w:r>
            <w:r w:rsidR="007C5BAD">
              <w:rPr>
                <w:b w:val="0"/>
                <w:bCs w:val="0"/>
                <w:color w:val="000000"/>
                <w:sz w:val="24"/>
                <w:szCs w:val="24"/>
              </w:rPr>
              <w:t>a (bez PVN)</w:t>
            </w:r>
            <w:r w:rsidR="00425C8B" w:rsidRPr="002F0075">
              <w:rPr>
                <w:b w:val="0"/>
                <w:bCs w:val="0"/>
                <w:color w:val="000000"/>
                <w:sz w:val="24"/>
                <w:szCs w:val="24"/>
              </w:rPr>
              <w:t xml:space="preserve"> </w:t>
            </w:r>
            <w:r w:rsidR="007C5BAD">
              <w:rPr>
                <w:b w:val="0"/>
                <w:bCs w:val="0"/>
                <w:color w:val="000000"/>
                <w:sz w:val="24"/>
                <w:szCs w:val="24"/>
              </w:rPr>
              <w:t xml:space="preserve">nepārsniedz </w:t>
            </w:r>
            <w:r w:rsidR="002A0C8C" w:rsidRPr="002F0075">
              <w:rPr>
                <w:b w:val="0"/>
                <w:bCs w:val="0"/>
                <w:color w:val="000000"/>
                <w:sz w:val="24"/>
                <w:szCs w:val="24"/>
              </w:rPr>
              <w:t>10 000 </w:t>
            </w:r>
            <w:proofErr w:type="spellStart"/>
            <w:r w:rsidR="002A0C8C" w:rsidRPr="002F0075">
              <w:rPr>
                <w:b w:val="0"/>
                <w:bCs w:val="0"/>
                <w:i/>
                <w:color w:val="000000"/>
                <w:sz w:val="24"/>
                <w:szCs w:val="24"/>
              </w:rPr>
              <w:t>euro</w:t>
            </w:r>
            <w:proofErr w:type="spellEnd"/>
            <w:r w:rsidR="007C5BAD">
              <w:rPr>
                <w:b w:val="0"/>
                <w:bCs w:val="0"/>
                <w:color w:val="000000"/>
                <w:sz w:val="24"/>
                <w:szCs w:val="24"/>
              </w:rPr>
              <w:t>.</w:t>
            </w:r>
            <w:r w:rsidR="002A0C8C" w:rsidRPr="002F0075">
              <w:rPr>
                <w:b w:val="0"/>
                <w:bCs w:val="0"/>
                <w:color w:val="000000"/>
                <w:sz w:val="24"/>
                <w:szCs w:val="24"/>
              </w:rPr>
              <w:t xml:space="preserve"> </w:t>
            </w:r>
          </w:p>
          <w:p w14:paraId="11533613" w14:textId="7A28CE1B" w:rsidR="00F976F1" w:rsidRPr="002F0075" w:rsidRDefault="00F976F1" w:rsidP="00C63D14">
            <w:pPr>
              <w:pStyle w:val="Heading3"/>
              <w:shd w:val="clear" w:color="auto" w:fill="FFFFFF"/>
              <w:spacing w:before="0" w:beforeAutospacing="0" w:after="0" w:afterAutospacing="0"/>
              <w:ind w:right="57" w:firstLine="399"/>
              <w:jc w:val="both"/>
              <w:rPr>
                <w:b w:val="0"/>
                <w:bCs w:val="0"/>
                <w:color w:val="000000"/>
                <w:sz w:val="24"/>
                <w:szCs w:val="24"/>
              </w:rPr>
            </w:pPr>
            <w:r w:rsidRPr="002F0075">
              <w:rPr>
                <w:b w:val="0"/>
                <w:bCs w:val="0"/>
                <w:color w:val="000000"/>
                <w:sz w:val="24"/>
                <w:szCs w:val="24"/>
              </w:rPr>
              <w:t>3.2.</w:t>
            </w:r>
            <w:r w:rsidR="00F1551D" w:rsidRPr="002F0075">
              <w:rPr>
                <w:b w:val="0"/>
                <w:bCs w:val="0"/>
                <w:color w:val="000000"/>
                <w:sz w:val="24"/>
                <w:szCs w:val="24"/>
              </w:rPr>
              <w:t> </w:t>
            </w:r>
            <w:r w:rsidRPr="002F0075">
              <w:rPr>
                <w:b w:val="0"/>
                <w:bCs w:val="0"/>
                <w:color w:val="000000"/>
                <w:sz w:val="24"/>
                <w:szCs w:val="24"/>
              </w:rPr>
              <w:t>Uzņēmumi, kuri sniedz elektronisko sakaru, apraides un elektroniski sniegtos pakalpojumus, var nereģistrēties katrā dalībvalstī PVN maksāšanas nolūkam, ja tie ir izvēlēju</w:t>
            </w:r>
            <w:r w:rsidR="00E12D5B" w:rsidRPr="002F0075">
              <w:rPr>
                <w:b w:val="0"/>
                <w:bCs w:val="0"/>
                <w:color w:val="000000"/>
                <w:sz w:val="24"/>
                <w:szCs w:val="24"/>
              </w:rPr>
              <w:t xml:space="preserve">šies </w:t>
            </w:r>
            <w:r w:rsidR="00E12D5B" w:rsidRPr="002F0075">
              <w:rPr>
                <w:b w:val="0"/>
                <w:bCs w:val="0"/>
                <w:color w:val="000000"/>
                <w:sz w:val="24"/>
                <w:szCs w:val="24"/>
              </w:rPr>
              <w:lastRenderedPageBreak/>
              <w:t xml:space="preserve">izmantot īpašu PVN režīmu </w:t>
            </w:r>
            <w:r w:rsidR="001A1078" w:rsidRPr="002F0075">
              <w:rPr>
                <w:b w:val="0"/>
                <w:bCs w:val="0"/>
                <w:color w:val="000000"/>
                <w:sz w:val="24"/>
                <w:szCs w:val="24"/>
              </w:rPr>
              <w:t xml:space="preserve">PVN deklarēšanai un maksāšanai </w:t>
            </w:r>
            <w:r w:rsidR="00E12D5B" w:rsidRPr="002F0075">
              <w:rPr>
                <w:b w:val="0"/>
                <w:bCs w:val="0"/>
                <w:color w:val="000000"/>
                <w:sz w:val="24"/>
                <w:szCs w:val="24"/>
              </w:rPr>
              <w:t xml:space="preserve">- </w:t>
            </w:r>
            <w:r w:rsidR="00935E90">
              <w:rPr>
                <w:b w:val="0"/>
                <w:bCs w:val="0"/>
                <w:color w:val="000000"/>
                <w:sz w:val="24"/>
                <w:szCs w:val="24"/>
              </w:rPr>
              <w:t>m</w:t>
            </w:r>
            <w:r w:rsidR="00935E90" w:rsidRPr="002F0075">
              <w:rPr>
                <w:b w:val="0"/>
                <w:bCs w:val="0"/>
                <w:color w:val="000000"/>
                <w:sz w:val="24"/>
                <w:szCs w:val="24"/>
              </w:rPr>
              <w:t xml:space="preserve">ini </w:t>
            </w:r>
            <w:r w:rsidR="00E12D5B" w:rsidRPr="002F0075">
              <w:rPr>
                <w:b w:val="0"/>
                <w:bCs w:val="0"/>
                <w:color w:val="000000"/>
                <w:sz w:val="24"/>
                <w:szCs w:val="24"/>
              </w:rPr>
              <w:t>vienas pieturas aģentūru (</w:t>
            </w:r>
            <w:r w:rsidR="00E12D5B" w:rsidRPr="002F0075">
              <w:rPr>
                <w:b w:val="0"/>
                <w:bCs w:val="0"/>
                <w:i/>
                <w:color w:val="000000"/>
                <w:sz w:val="24"/>
                <w:szCs w:val="24"/>
              </w:rPr>
              <w:t>MOSS</w:t>
            </w:r>
            <w:r w:rsidR="00E12D5B" w:rsidRPr="002F0075">
              <w:rPr>
                <w:b w:val="0"/>
                <w:bCs w:val="0"/>
                <w:color w:val="000000"/>
                <w:sz w:val="24"/>
                <w:szCs w:val="24"/>
              </w:rPr>
              <w:t xml:space="preserve"> režīms).</w:t>
            </w:r>
            <w:r w:rsidR="0060041D" w:rsidRPr="002F0075">
              <w:rPr>
                <w:b w:val="0"/>
                <w:bCs w:val="0"/>
                <w:color w:val="000000"/>
                <w:sz w:val="24"/>
                <w:szCs w:val="24"/>
              </w:rPr>
              <w:t xml:space="preserve"> </w:t>
            </w:r>
          </w:p>
          <w:p w14:paraId="79CCD2BF" w14:textId="708DC5DF" w:rsidR="001A1078" w:rsidRPr="002F0075" w:rsidRDefault="00935E90" w:rsidP="009F644B">
            <w:pPr>
              <w:pStyle w:val="Heading3"/>
              <w:shd w:val="clear" w:color="auto" w:fill="FFFFFF"/>
              <w:spacing w:before="0" w:beforeAutospacing="0" w:after="0" w:afterAutospacing="0"/>
              <w:ind w:right="57"/>
              <w:jc w:val="both"/>
              <w:rPr>
                <w:b w:val="0"/>
                <w:bCs w:val="0"/>
                <w:color w:val="000000"/>
                <w:sz w:val="24"/>
                <w:szCs w:val="24"/>
              </w:rPr>
            </w:pPr>
            <w:r>
              <w:rPr>
                <w:b w:val="0"/>
                <w:bCs w:val="0"/>
                <w:sz w:val="24"/>
                <w:szCs w:val="24"/>
              </w:rPr>
              <w:t>M</w:t>
            </w:r>
            <w:r w:rsidR="00611F12" w:rsidRPr="002F0075">
              <w:rPr>
                <w:b w:val="0"/>
                <w:bCs w:val="0"/>
                <w:sz w:val="24"/>
                <w:szCs w:val="24"/>
              </w:rPr>
              <w:t xml:space="preserve">inētās </w:t>
            </w:r>
            <w:r w:rsidR="00E12D5B" w:rsidRPr="002F0075">
              <w:rPr>
                <w:b w:val="0"/>
                <w:bCs w:val="0"/>
                <w:sz w:val="24"/>
                <w:szCs w:val="24"/>
              </w:rPr>
              <w:t>10 000 </w:t>
            </w:r>
            <w:proofErr w:type="spellStart"/>
            <w:r w:rsidR="00E12D5B" w:rsidRPr="002F0075">
              <w:rPr>
                <w:b w:val="0"/>
                <w:bCs w:val="0"/>
                <w:i/>
                <w:sz w:val="24"/>
                <w:szCs w:val="24"/>
              </w:rPr>
              <w:t>euro</w:t>
            </w:r>
            <w:proofErr w:type="spellEnd"/>
            <w:r w:rsidR="00E12D5B" w:rsidRPr="002F0075">
              <w:rPr>
                <w:b w:val="0"/>
                <w:bCs w:val="0"/>
                <w:sz w:val="24"/>
                <w:szCs w:val="24"/>
              </w:rPr>
              <w:t xml:space="preserve"> </w:t>
            </w:r>
            <w:r w:rsidR="00611F12" w:rsidRPr="002F0075">
              <w:rPr>
                <w:b w:val="0"/>
                <w:bCs w:val="0"/>
                <w:sz w:val="24"/>
                <w:szCs w:val="24"/>
              </w:rPr>
              <w:t xml:space="preserve">robežvērtības ieviešana </w:t>
            </w:r>
            <w:r w:rsidR="00E12D5B" w:rsidRPr="002F0075">
              <w:rPr>
                <w:b w:val="0"/>
                <w:bCs w:val="0"/>
                <w:sz w:val="24"/>
                <w:szCs w:val="24"/>
              </w:rPr>
              <w:t xml:space="preserve">elektronisko sakaru, apraides un elektroniski sniegto pakalpojumu piegādes vietas noteikšanai </w:t>
            </w:r>
            <w:r w:rsidR="00611F12" w:rsidRPr="002F0075">
              <w:rPr>
                <w:b w:val="0"/>
                <w:bCs w:val="0"/>
                <w:sz w:val="24"/>
                <w:szCs w:val="24"/>
              </w:rPr>
              <w:t xml:space="preserve">neierobežo </w:t>
            </w:r>
            <w:r w:rsidR="008C617D" w:rsidRPr="002F0075">
              <w:rPr>
                <w:b w:val="0"/>
                <w:bCs w:val="0"/>
                <w:sz w:val="24"/>
                <w:szCs w:val="24"/>
              </w:rPr>
              <w:t>nodokļu maksātāja</w:t>
            </w:r>
            <w:r w:rsidR="00611F12" w:rsidRPr="002F0075">
              <w:rPr>
                <w:b w:val="0"/>
                <w:bCs w:val="0"/>
                <w:sz w:val="24"/>
                <w:szCs w:val="24"/>
              </w:rPr>
              <w:t xml:space="preserve">, kurš sniedz elektronisko sakaru, apraides un elektroniski sniegtus pakalpojumus, iespējas </w:t>
            </w:r>
            <w:r w:rsidR="00611F12" w:rsidRPr="002F0075">
              <w:rPr>
                <w:b w:val="0"/>
                <w:bCs w:val="0"/>
                <w:color w:val="000000"/>
                <w:sz w:val="24"/>
                <w:szCs w:val="24"/>
              </w:rPr>
              <w:t xml:space="preserve">izmantot </w:t>
            </w:r>
            <w:r w:rsidR="004A210E" w:rsidRPr="002F0075">
              <w:rPr>
                <w:b w:val="0"/>
                <w:i/>
                <w:sz w:val="24"/>
                <w:szCs w:val="24"/>
              </w:rPr>
              <w:t>MOSS</w:t>
            </w:r>
            <w:r w:rsidR="00611F12" w:rsidRPr="002F0075">
              <w:rPr>
                <w:b w:val="0"/>
                <w:bCs w:val="0"/>
                <w:color w:val="000000"/>
                <w:sz w:val="24"/>
                <w:szCs w:val="24"/>
              </w:rPr>
              <w:t xml:space="preserve">, piemēram, ja </w:t>
            </w:r>
            <w:r w:rsidR="001A1078" w:rsidRPr="002F0075">
              <w:rPr>
                <w:b w:val="0"/>
                <w:bCs w:val="0"/>
                <w:color w:val="000000"/>
                <w:sz w:val="24"/>
                <w:szCs w:val="24"/>
              </w:rPr>
              <w:t xml:space="preserve">pārrobežu darījumu vērtība </w:t>
            </w:r>
            <w:r w:rsidR="00F376DF" w:rsidRPr="002F0075">
              <w:rPr>
                <w:b w:val="0"/>
                <w:bCs w:val="0"/>
                <w:color w:val="000000"/>
                <w:sz w:val="24"/>
                <w:szCs w:val="24"/>
              </w:rPr>
              <w:t>ir</w:t>
            </w:r>
            <w:r w:rsidR="00D56C4F" w:rsidRPr="002F0075">
              <w:rPr>
                <w:b w:val="0"/>
                <w:bCs w:val="0"/>
                <w:color w:val="000000"/>
                <w:sz w:val="24"/>
                <w:szCs w:val="24"/>
              </w:rPr>
              <w:t xml:space="preserve"> </w:t>
            </w:r>
            <w:r w:rsidR="00611F12" w:rsidRPr="002F0075">
              <w:rPr>
                <w:b w:val="0"/>
                <w:bCs w:val="0"/>
                <w:color w:val="000000"/>
                <w:sz w:val="24"/>
                <w:szCs w:val="24"/>
              </w:rPr>
              <w:t>zemāk</w:t>
            </w:r>
            <w:r w:rsidR="001A1078" w:rsidRPr="002F0075">
              <w:rPr>
                <w:b w:val="0"/>
                <w:bCs w:val="0"/>
                <w:color w:val="000000"/>
                <w:sz w:val="24"/>
                <w:szCs w:val="24"/>
              </w:rPr>
              <w:t>a</w:t>
            </w:r>
            <w:r w:rsidR="00611F12" w:rsidRPr="002F0075">
              <w:rPr>
                <w:b w:val="0"/>
                <w:bCs w:val="0"/>
                <w:color w:val="000000"/>
                <w:sz w:val="24"/>
                <w:szCs w:val="24"/>
              </w:rPr>
              <w:t xml:space="preserve"> par </w:t>
            </w:r>
            <w:r w:rsidR="00D56C4F" w:rsidRPr="002F0075">
              <w:rPr>
                <w:b w:val="0"/>
                <w:bCs w:val="0"/>
                <w:color w:val="000000"/>
                <w:sz w:val="24"/>
                <w:szCs w:val="24"/>
              </w:rPr>
              <w:t>noteikto robežvērtību.</w:t>
            </w:r>
            <w:r w:rsidR="0060041D" w:rsidRPr="002F0075">
              <w:rPr>
                <w:b w:val="0"/>
                <w:bCs w:val="0"/>
                <w:color w:val="000000"/>
                <w:sz w:val="24"/>
                <w:szCs w:val="24"/>
              </w:rPr>
              <w:t xml:space="preserve"> </w:t>
            </w:r>
            <w:r w:rsidR="001A1078" w:rsidRPr="002F0075">
              <w:rPr>
                <w:b w:val="0"/>
                <w:bCs w:val="0"/>
                <w:sz w:val="24"/>
                <w:szCs w:val="24"/>
              </w:rPr>
              <w:t xml:space="preserve">Atbilstoši </w:t>
            </w:r>
            <w:r w:rsidRPr="002F0075">
              <w:rPr>
                <w:b w:val="0"/>
                <w:sz w:val="24"/>
                <w:szCs w:val="24"/>
              </w:rPr>
              <w:t>Direktīva</w:t>
            </w:r>
            <w:r>
              <w:rPr>
                <w:b w:val="0"/>
                <w:sz w:val="24"/>
                <w:szCs w:val="24"/>
              </w:rPr>
              <w:t>i</w:t>
            </w:r>
            <w:r w:rsidRPr="002F0075">
              <w:rPr>
                <w:b w:val="0"/>
                <w:sz w:val="24"/>
                <w:szCs w:val="24"/>
              </w:rPr>
              <w:t xml:space="preserve"> </w:t>
            </w:r>
            <w:r w:rsidR="001A1078" w:rsidRPr="002F0075">
              <w:rPr>
                <w:b w:val="0"/>
                <w:sz w:val="24"/>
                <w:szCs w:val="24"/>
              </w:rPr>
              <w:t xml:space="preserve">2017/2455 no 2019.gada 1.janvāra stājas spēkā nosacījums, ka </w:t>
            </w:r>
            <w:r w:rsidR="001A1078" w:rsidRPr="002F0075">
              <w:rPr>
                <w:b w:val="0"/>
                <w:bCs w:val="0"/>
                <w:sz w:val="24"/>
                <w:szCs w:val="24"/>
              </w:rPr>
              <w:t>elektronisko sakaru, apraides un elektroniski sniegto pakalpojumu piegādes vietas noteikšana</w:t>
            </w:r>
            <w:r w:rsidR="007E625B" w:rsidRPr="002F0075">
              <w:rPr>
                <w:b w:val="0"/>
                <w:bCs w:val="0"/>
                <w:sz w:val="24"/>
                <w:szCs w:val="24"/>
              </w:rPr>
              <w:t xml:space="preserve">, ņemot vērā </w:t>
            </w:r>
            <w:r w:rsidR="0072740C" w:rsidRPr="002F0075">
              <w:rPr>
                <w:b w:val="0"/>
                <w:bCs w:val="0"/>
                <w:sz w:val="24"/>
                <w:szCs w:val="24"/>
              </w:rPr>
              <w:t xml:space="preserve">pārrobežu darījumu </w:t>
            </w:r>
            <w:r w:rsidR="007E625B" w:rsidRPr="002F0075">
              <w:rPr>
                <w:b w:val="0"/>
                <w:bCs w:val="0"/>
                <w:sz w:val="24"/>
                <w:szCs w:val="24"/>
              </w:rPr>
              <w:t>robežvērtību</w:t>
            </w:r>
            <w:r w:rsidR="0072740C" w:rsidRPr="002F0075">
              <w:rPr>
                <w:b w:val="0"/>
                <w:bCs w:val="0"/>
                <w:sz w:val="24"/>
                <w:szCs w:val="24"/>
              </w:rPr>
              <w:t xml:space="preserve"> 10 000 </w:t>
            </w:r>
            <w:proofErr w:type="spellStart"/>
            <w:r w:rsidR="0072740C" w:rsidRPr="002F0075">
              <w:rPr>
                <w:b w:val="0"/>
                <w:bCs w:val="0"/>
                <w:i/>
                <w:sz w:val="24"/>
                <w:szCs w:val="24"/>
              </w:rPr>
              <w:t>euro</w:t>
            </w:r>
            <w:proofErr w:type="spellEnd"/>
            <w:r w:rsidR="0072740C" w:rsidRPr="002F0075">
              <w:rPr>
                <w:b w:val="0"/>
                <w:bCs w:val="0"/>
                <w:i/>
                <w:sz w:val="24"/>
                <w:szCs w:val="24"/>
              </w:rPr>
              <w:t xml:space="preserve"> </w:t>
            </w:r>
            <w:r w:rsidR="0072740C" w:rsidRPr="002F0075">
              <w:rPr>
                <w:b w:val="0"/>
                <w:bCs w:val="0"/>
                <w:sz w:val="24"/>
                <w:szCs w:val="24"/>
              </w:rPr>
              <w:t>apmērā</w:t>
            </w:r>
            <w:r w:rsidR="007E625B" w:rsidRPr="002F0075">
              <w:rPr>
                <w:b w:val="0"/>
                <w:bCs w:val="0"/>
                <w:sz w:val="24"/>
                <w:szCs w:val="24"/>
              </w:rPr>
              <w:t xml:space="preserve">, ir attiecināma uz periodu, kas ir vismaz divi kalendārie gadi. Tādējādi </w:t>
            </w:r>
            <w:r>
              <w:rPr>
                <w:b w:val="0"/>
                <w:bCs w:val="0"/>
                <w:sz w:val="24"/>
                <w:szCs w:val="24"/>
              </w:rPr>
              <w:t xml:space="preserve">ir </w:t>
            </w:r>
            <w:r w:rsidR="007E625B" w:rsidRPr="002F0075">
              <w:rPr>
                <w:b w:val="0"/>
                <w:bCs w:val="0"/>
                <w:sz w:val="24"/>
                <w:szCs w:val="24"/>
              </w:rPr>
              <w:t>nepieciešams veikt grozījumus Pievienotās vērtības nodokļa likum</w:t>
            </w:r>
            <w:r>
              <w:rPr>
                <w:b w:val="0"/>
                <w:bCs w:val="0"/>
                <w:sz w:val="24"/>
                <w:szCs w:val="24"/>
              </w:rPr>
              <w:t>ā</w:t>
            </w:r>
            <w:r w:rsidR="007E625B" w:rsidRPr="002F0075">
              <w:rPr>
                <w:b w:val="0"/>
                <w:bCs w:val="0"/>
                <w:sz w:val="24"/>
                <w:szCs w:val="24"/>
              </w:rPr>
              <w:t>, paredzot laika periodu elektronisko sakaru, apraides un elektroniski sniegto pakalpojumu piegādes vietas noteikšanai.</w:t>
            </w:r>
          </w:p>
          <w:p w14:paraId="4F34DA15" w14:textId="3FFBE99C" w:rsidR="001A2B8B" w:rsidRPr="002F0075" w:rsidRDefault="00FF257C" w:rsidP="00F1551D">
            <w:pPr>
              <w:pStyle w:val="BodyText2"/>
              <w:spacing w:before="120"/>
              <w:ind w:right="124" w:firstLine="399"/>
              <w:rPr>
                <w:b w:val="0"/>
                <w:bCs w:val="0"/>
              </w:rPr>
            </w:pPr>
            <w:r w:rsidRPr="002F0075">
              <w:rPr>
                <w:b w:val="0"/>
                <w:bCs w:val="0"/>
              </w:rPr>
              <w:t>3.</w:t>
            </w:r>
            <w:r w:rsidR="007E625B" w:rsidRPr="002F0075">
              <w:rPr>
                <w:b w:val="0"/>
                <w:bCs w:val="0"/>
              </w:rPr>
              <w:t>3</w:t>
            </w:r>
            <w:r w:rsidRPr="002F0075">
              <w:rPr>
                <w:b w:val="0"/>
                <w:bCs w:val="0"/>
              </w:rPr>
              <w:t>.</w:t>
            </w:r>
            <w:r w:rsidR="00F1551D" w:rsidRPr="002F0075">
              <w:rPr>
                <w:b w:val="0"/>
                <w:bCs w:val="0"/>
              </w:rPr>
              <w:t> </w:t>
            </w:r>
            <w:r w:rsidR="002A0C8C" w:rsidRPr="002F0075">
              <w:rPr>
                <w:b w:val="0"/>
                <w:bCs w:val="0"/>
              </w:rPr>
              <w:t xml:space="preserve">Lai </w:t>
            </w:r>
            <w:r w:rsidR="001F53EA" w:rsidRPr="002F0075">
              <w:rPr>
                <w:b w:val="0"/>
                <w:bCs w:val="0"/>
              </w:rPr>
              <w:t>mazinātu administratīvu slogu uzņēmumiem</w:t>
            </w:r>
            <w:r w:rsidR="00911D64" w:rsidRPr="002F0075">
              <w:rPr>
                <w:b w:val="0"/>
                <w:bCs w:val="0"/>
              </w:rPr>
              <w:t>, kuri sniedz elektronisko sakaru, apraides un elektroniski sniegtos pakalpojumus,</w:t>
            </w:r>
            <w:r w:rsidR="001F53EA" w:rsidRPr="002F0075">
              <w:rPr>
                <w:b w:val="0"/>
                <w:bCs w:val="0"/>
              </w:rPr>
              <w:t xml:space="preserve"> un vienkāršotu PVN rēķinu izrakstīšanu, </w:t>
            </w:r>
            <w:r w:rsidR="001A2B8B" w:rsidRPr="002F0075">
              <w:rPr>
                <w:b w:val="0"/>
                <w:bCs w:val="0"/>
              </w:rPr>
              <w:t xml:space="preserve">atbilstoši </w:t>
            </w:r>
            <w:r w:rsidR="001A2B8B" w:rsidRPr="002F0075">
              <w:rPr>
                <w:b w:val="0"/>
              </w:rPr>
              <w:t>Direktīva</w:t>
            </w:r>
            <w:r w:rsidR="00935E90">
              <w:rPr>
                <w:b w:val="0"/>
              </w:rPr>
              <w:t>i</w:t>
            </w:r>
            <w:r w:rsidR="001A2B8B" w:rsidRPr="002F0075">
              <w:rPr>
                <w:b w:val="0"/>
              </w:rPr>
              <w:t xml:space="preserve"> 2017/2455 no 2019.gada 1.janvāra stājas spēkā grozījumi Direktīvas </w:t>
            </w:r>
            <w:hyperlink r:id="rId8" w:tgtFrame="_blank" w:history="1">
              <w:r w:rsidR="001A2B8B" w:rsidRPr="002F0075">
                <w:rPr>
                  <w:b w:val="0"/>
                </w:rPr>
                <w:t>2006/112/EK</w:t>
              </w:r>
            </w:hyperlink>
            <w:r w:rsidR="001A2B8B" w:rsidRPr="002F0075">
              <w:rPr>
                <w:b w:val="0"/>
              </w:rPr>
              <w:t xml:space="preserve"> 219.a pantā, </w:t>
            </w:r>
            <w:r w:rsidR="00FA75E6" w:rsidRPr="002F0075">
              <w:rPr>
                <w:b w:val="0"/>
              </w:rPr>
              <w:t>nosakot</w:t>
            </w:r>
            <w:r w:rsidR="001A2B8B" w:rsidRPr="002F0075">
              <w:rPr>
                <w:b w:val="0"/>
                <w:bCs w:val="0"/>
              </w:rPr>
              <w:t>, ka PVN rēķina izrakstīšanai ir piemērojami identifikācijas valsts</w:t>
            </w:r>
            <w:r w:rsidR="00282E13">
              <w:rPr>
                <w:b w:val="0"/>
                <w:bCs w:val="0"/>
              </w:rPr>
              <w:t xml:space="preserve"> </w:t>
            </w:r>
            <w:r w:rsidR="001A2B8B" w:rsidRPr="002F0075">
              <w:rPr>
                <w:b w:val="0"/>
                <w:bCs w:val="0"/>
              </w:rPr>
              <w:t>noteikumi.</w:t>
            </w:r>
            <w:r w:rsidR="001A2B8B" w:rsidRPr="00896D55">
              <w:rPr>
                <w:b w:val="0"/>
                <w:bCs w:val="0"/>
              </w:rPr>
              <w:t xml:space="preserve"> Ņemot vērā minēto, ir nepieciešami </w:t>
            </w:r>
            <w:r w:rsidR="00611F12" w:rsidRPr="00896D55">
              <w:rPr>
                <w:b w:val="0"/>
                <w:bCs w:val="0"/>
              </w:rPr>
              <w:t>grozījumi Pievienotās vērtības nodokļa likuma 128.pantā</w:t>
            </w:r>
            <w:r w:rsidR="001A2B8B" w:rsidRPr="00955A58">
              <w:rPr>
                <w:b w:val="0"/>
                <w:bCs w:val="0"/>
              </w:rPr>
              <w:t xml:space="preserve">, </w:t>
            </w:r>
            <w:r w:rsidR="007E625B" w:rsidRPr="00955A58">
              <w:rPr>
                <w:b w:val="0"/>
                <w:bCs w:val="0"/>
              </w:rPr>
              <w:t xml:space="preserve">precizējot </w:t>
            </w:r>
            <w:r w:rsidR="001A2B8B" w:rsidRPr="002F0075">
              <w:rPr>
                <w:b w:val="0"/>
                <w:bCs w:val="0"/>
              </w:rPr>
              <w:t>PVN rēķina izrakstīšanu elektronisko sakaru, apraides un elektroniski sniegto pakalpojumu gadījumos</w:t>
            </w:r>
            <w:r w:rsidR="00282E13">
              <w:rPr>
                <w:b w:val="0"/>
                <w:bCs w:val="0"/>
              </w:rPr>
              <w:t xml:space="preserve"> un nosakot, ka </w:t>
            </w:r>
            <w:r w:rsidR="00282E13" w:rsidRPr="002F0075">
              <w:rPr>
                <w:b w:val="0"/>
                <w:bCs w:val="0"/>
              </w:rPr>
              <w:t>ir piemērojami identifikācijas valsts</w:t>
            </w:r>
            <w:r w:rsidR="00282E13">
              <w:rPr>
                <w:b w:val="0"/>
                <w:bCs w:val="0"/>
              </w:rPr>
              <w:t xml:space="preserve">, </w:t>
            </w:r>
            <w:r w:rsidR="00282E13" w:rsidRPr="00212E8D">
              <w:rPr>
                <w:b w:val="0"/>
                <w:bCs w:val="0"/>
              </w:rPr>
              <w:t>kuru nosaka atbilstoši Pievienotās vērtības nodokļa likuma 140.</w:t>
            </w:r>
            <w:r w:rsidR="00282E13" w:rsidRPr="00212E8D">
              <w:rPr>
                <w:b w:val="0"/>
                <w:bCs w:val="0"/>
                <w:vertAlign w:val="superscript"/>
              </w:rPr>
              <w:t>1</w:t>
            </w:r>
            <w:r w:rsidR="00282E13" w:rsidRPr="00212E8D">
              <w:rPr>
                <w:b w:val="0"/>
                <w:bCs w:val="0"/>
              </w:rPr>
              <w:t> panta pirmās daļas 2.punktam,</w:t>
            </w:r>
            <w:r w:rsidR="00282E13">
              <w:rPr>
                <w:b w:val="0"/>
                <w:bCs w:val="0"/>
              </w:rPr>
              <w:t xml:space="preserve"> nosacījumi</w:t>
            </w:r>
            <w:r w:rsidR="001A2B8B" w:rsidRPr="002F0075">
              <w:rPr>
                <w:b w:val="0"/>
                <w:bCs w:val="0"/>
              </w:rPr>
              <w:t>.</w:t>
            </w:r>
          </w:p>
          <w:p w14:paraId="6D05E98D" w14:textId="719284D6" w:rsidR="00B230F1" w:rsidRPr="002F0075" w:rsidRDefault="00CE0C47" w:rsidP="00C63D14">
            <w:pPr>
              <w:pStyle w:val="BodyText2"/>
              <w:spacing w:before="120"/>
              <w:ind w:right="124" w:firstLine="399"/>
              <w:rPr>
                <w:rFonts w:eastAsiaTheme="minorHAnsi"/>
                <w:b w:val="0"/>
                <w:lang w:eastAsia="en-US"/>
              </w:rPr>
            </w:pPr>
            <w:r w:rsidRPr="002F0075">
              <w:rPr>
                <w:b w:val="0"/>
              </w:rPr>
              <w:t>3.</w:t>
            </w:r>
            <w:r w:rsidR="007E625B" w:rsidRPr="002F0075">
              <w:rPr>
                <w:b w:val="0"/>
              </w:rPr>
              <w:t>4</w:t>
            </w:r>
            <w:r w:rsidR="00F1551D" w:rsidRPr="002F0075">
              <w:rPr>
                <w:b w:val="0"/>
              </w:rPr>
              <w:t>. </w:t>
            </w:r>
            <w:r w:rsidR="00935E90">
              <w:rPr>
                <w:b w:val="0"/>
              </w:rPr>
              <w:t>L</w:t>
            </w:r>
            <w:r w:rsidR="00FB309E" w:rsidRPr="002F0075">
              <w:rPr>
                <w:b w:val="0"/>
              </w:rPr>
              <w:t xml:space="preserve">ai </w:t>
            </w:r>
            <w:r w:rsidR="00935E90">
              <w:rPr>
                <w:b w:val="0"/>
              </w:rPr>
              <w:t xml:space="preserve">šobrīd </w:t>
            </w:r>
            <w:r w:rsidR="00FB309E" w:rsidRPr="002F0075">
              <w:rPr>
                <w:b w:val="0"/>
              </w:rPr>
              <w:t>piemērotu īpašu PVN režīmu telekomunikāciju, apraides vai elektronisko pakalpojumu sniegšanai, uzņēmums</w:t>
            </w:r>
            <w:r w:rsidR="004726D2" w:rsidRPr="002F0075">
              <w:rPr>
                <w:b w:val="0"/>
              </w:rPr>
              <w:t xml:space="preserve">, kurš neveic uzņēmējdarbību ES, </w:t>
            </w:r>
            <w:r w:rsidR="00FB309E" w:rsidRPr="002F0075">
              <w:rPr>
                <w:b w:val="0"/>
              </w:rPr>
              <w:t xml:space="preserve">nedrīkst būt reģistrēts PVN </w:t>
            </w:r>
            <w:r w:rsidR="00FB309E" w:rsidRPr="002F0075">
              <w:rPr>
                <w:b w:val="0"/>
                <w:color w:val="auto"/>
              </w:rPr>
              <w:t>maksātājs nevienā dalībvalstī</w:t>
            </w:r>
            <w:r w:rsidR="00E5098C" w:rsidRPr="002F0075">
              <w:rPr>
                <w:b w:val="0"/>
                <w:color w:val="auto"/>
              </w:rPr>
              <w:t>.</w:t>
            </w:r>
            <w:r w:rsidR="004726D2" w:rsidRPr="002F0075">
              <w:rPr>
                <w:b w:val="0"/>
                <w:color w:val="auto"/>
              </w:rPr>
              <w:t xml:space="preserve"> </w:t>
            </w:r>
            <w:r w:rsidR="00FB309E" w:rsidRPr="002F0075">
              <w:rPr>
                <w:rFonts w:eastAsia="Arial Unicode MS"/>
                <w:b w:val="0"/>
                <w:color w:val="auto"/>
              </w:rPr>
              <w:t xml:space="preserve">Savukārt, ja </w:t>
            </w:r>
            <w:r w:rsidR="00E5098C" w:rsidRPr="002F0075">
              <w:rPr>
                <w:rFonts w:eastAsia="Arial Unicode MS"/>
                <w:b w:val="0"/>
                <w:color w:val="auto"/>
              </w:rPr>
              <w:t>uzņēmum</w:t>
            </w:r>
            <w:r w:rsidR="00FB309E" w:rsidRPr="002F0075">
              <w:rPr>
                <w:rFonts w:eastAsia="Arial Unicode MS"/>
                <w:b w:val="0"/>
                <w:color w:val="auto"/>
              </w:rPr>
              <w:t>s</w:t>
            </w:r>
            <w:r w:rsidR="00E5098C" w:rsidRPr="002F0075">
              <w:rPr>
                <w:rFonts w:eastAsia="Arial Unicode MS"/>
                <w:b w:val="0"/>
                <w:color w:val="auto"/>
              </w:rPr>
              <w:t xml:space="preserve">, kurš </w:t>
            </w:r>
            <w:r w:rsidR="004A09A4" w:rsidRPr="002F0075">
              <w:rPr>
                <w:b w:val="0"/>
                <w:color w:val="auto"/>
              </w:rPr>
              <w:t xml:space="preserve">neveic </w:t>
            </w:r>
            <w:r w:rsidR="004A09A4" w:rsidRPr="002F0075">
              <w:rPr>
                <w:b w:val="0"/>
              </w:rPr>
              <w:t xml:space="preserve">uzņēmējdarbību </w:t>
            </w:r>
            <w:r w:rsidR="00FF4CCC" w:rsidRPr="002F0075">
              <w:rPr>
                <w:b w:val="0"/>
              </w:rPr>
              <w:t>ES</w:t>
            </w:r>
            <w:r w:rsidR="00FB309E" w:rsidRPr="002F0075">
              <w:rPr>
                <w:b w:val="0"/>
              </w:rPr>
              <w:t>,</w:t>
            </w:r>
            <w:r w:rsidR="004A09A4" w:rsidRPr="002F0075">
              <w:rPr>
                <w:b w:val="0"/>
              </w:rPr>
              <w:t xml:space="preserve"> ir reģistrēj</w:t>
            </w:r>
            <w:r w:rsidR="00FB309E" w:rsidRPr="002F0075">
              <w:rPr>
                <w:b w:val="0"/>
              </w:rPr>
              <w:t>ies</w:t>
            </w:r>
            <w:r w:rsidR="004A09A4" w:rsidRPr="002F0075">
              <w:rPr>
                <w:b w:val="0"/>
              </w:rPr>
              <w:t xml:space="preserve"> kā PVN maksātāj</w:t>
            </w:r>
            <w:r w:rsidR="00FB309E" w:rsidRPr="002F0075">
              <w:rPr>
                <w:b w:val="0"/>
              </w:rPr>
              <w:t>s</w:t>
            </w:r>
            <w:r w:rsidR="004A09A4" w:rsidRPr="002F0075">
              <w:rPr>
                <w:b w:val="0"/>
              </w:rPr>
              <w:t xml:space="preserve"> dalībvalstī (piemēram, dalībvalstī neregulāri veic </w:t>
            </w:r>
            <w:r w:rsidR="00FB309E" w:rsidRPr="002F0075">
              <w:rPr>
                <w:b w:val="0"/>
              </w:rPr>
              <w:t xml:space="preserve">ar PVN apliekamus </w:t>
            </w:r>
            <w:r w:rsidR="004A09A4" w:rsidRPr="002F0075">
              <w:rPr>
                <w:b w:val="0"/>
              </w:rPr>
              <w:t xml:space="preserve">darījumus), </w:t>
            </w:r>
            <w:r w:rsidR="00FB309E" w:rsidRPr="002F0075">
              <w:rPr>
                <w:b w:val="0"/>
              </w:rPr>
              <w:t xml:space="preserve">tad </w:t>
            </w:r>
            <w:r w:rsidR="004A09A4" w:rsidRPr="002F0075">
              <w:rPr>
                <w:b w:val="0"/>
              </w:rPr>
              <w:t>nevar izmantot ne īpaš</w:t>
            </w:r>
            <w:r w:rsidR="00FF4CCC" w:rsidRPr="002F0075">
              <w:rPr>
                <w:b w:val="0"/>
              </w:rPr>
              <w:t>u</w:t>
            </w:r>
            <w:r w:rsidR="004A09A4" w:rsidRPr="002F0075">
              <w:rPr>
                <w:b w:val="0"/>
              </w:rPr>
              <w:t xml:space="preserve"> </w:t>
            </w:r>
            <w:r w:rsidR="00FF4CCC" w:rsidRPr="002F0075">
              <w:rPr>
                <w:b w:val="0"/>
              </w:rPr>
              <w:t xml:space="preserve">PVN </w:t>
            </w:r>
            <w:r w:rsidR="004A09A4" w:rsidRPr="002F0075">
              <w:rPr>
                <w:b w:val="0"/>
              </w:rPr>
              <w:t xml:space="preserve">režīmu </w:t>
            </w:r>
            <w:r w:rsidR="00FF4CCC" w:rsidRPr="002F0075">
              <w:rPr>
                <w:b w:val="0"/>
              </w:rPr>
              <w:t>PVN</w:t>
            </w:r>
            <w:r w:rsidR="004A09A4" w:rsidRPr="002F0075">
              <w:rPr>
                <w:b w:val="0"/>
              </w:rPr>
              <w:t xml:space="preserve"> maksātājiem, k</w:t>
            </w:r>
            <w:r w:rsidR="00E703F7" w:rsidRPr="002F0075">
              <w:rPr>
                <w:b w:val="0"/>
              </w:rPr>
              <w:t>uri</w:t>
            </w:r>
            <w:r w:rsidR="004A09A4" w:rsidRPr="002F0075">
              <w:rPr>
                <w:b w:val="0"/>
              </w:rPr>
              <w:t xml:space="preserve"> neveic uzņēmējdarbību </w:t>
            </w:r>
            <w:r w:rsidR="00FF4CCC" w:rsidRPr="002F0075">
              <w:rPr>
                <w:b w:val="0"/>
              </w:rPr>
              <w:t>ES</w:t>
            </w:r>
            <w:r w:rsidR="007E625B" w:rsidRPr="002F0075">
              <w:rPr>
                <w:b w:val="0"/>
              </w:rPr>
              <w:t xml:space="preserve"> (</w:t>
            </w:r>
            <w:r w:rsidR="008C617D" w:rsidRPr="002F0075">
              <w:rPr>
                <w:b w:val="0"/>
              </w:rPr>
              <w:t>“</w:t>
            </w:r>
            <w:proofErr w:type="spellStart"/>
            <w:r w:rsidR="004A09A4" w:rsidRPr="002F0075">
              <w:rPr>
                <w:b w:val="0"/>
              </w:rPr>
              <w:t>ārpussavienības</w:t>
            </w:r>
            <w:proofErr w:type="spellEnd"/>
            <w:r w:rsidR="004A09A4" w:rsidRPr="002F0075">
              <w:rPr>
                <w:b w:val="0"/>
              </w:rPr>
              <w:t xml:space="preserve"> režīms</w:t>
            </w:r>
            <w:r w:rsidR="008C617D" w:rsidRPr="002F0075">
              <w:rPr>
                <w:b w:val="0"/>
              </w:rPr>
              <w:t>”</w:t>
            </w:r>
            <w:r w:rsidR="004A09A4" w:rsidRPr="002F0075">
              <w:rPr>
                <w:b w:val="0"/>
              </w:rPr>
              <w:t>), ne īpaš</w:t>
            </w:r>
            <w:r w:rsidR="00FF4CCC" w:rsidRPr="002F0075">
              <w:rPr>
                <w:b w:val="0"/>
              </w:rPr>
              <w:t>u PVN</w:t>
            </w:r>
            <w:r w:rsidR="004A09A4" w:rsidRPr="002F0075">
              <w:rPr>
                <w:b w:val="0"/>
              </w:rPr>
              <w:t xml:space="preserve"> režīmu </w:t>
            </w:r>
            <w:r w:rsidR="00FF4CCC" w:rsidRPr="002F0075">
              <w:rPr>
                <w:b w:val="0"/>
              </w:rPr>
              <w:t>PVN</w:t>
            </w:r>
            <w:r w:rsidR="004A09A4" w:rsidRPr="002F0075">
              <w:rPr>
                <w:b w:val="0"/>
              </w:rPr>
              <w:t xml:space="preserve"> maksātājiem, k</w:t>
            </w:r>
            <w:r w:rsidR="00E703F7" w:rsidRPr="002F0075">
              <w:rPr>
                <w:b w:val="0"/>
              </w:rPr>
              <w:t>uri</w:t>
            </w:r>
            <w:r w:rsidR="004A09A4" w:rsidRPr="002F0075">
              <w:rPr>
                <w:b w:val="0"/>
              </w:rPr>
              <w:t xml:space="preserve"> veic uzņēmējdarbību </w:t>
            </w:r>
            <w:r w:rsidR="00FF4CCC" w:rsidRPr="002F0075">
              <w:rPr>
                <w:b w:val="0"/>
              </w:rPr>
              <w:t>ES</w:t>
            </w:r>
            <w:r w:rsidR="004A09A4" w:rsidRPr="002F0075">
              <w:rPr>
                <w:b w:val="0"/>
              </w:rPr>
              <w:t xml:space="preserve"> (</w:t>
            </w:r>
            <w:r w:rsidR="008C617D" w:rsidRPr="002F0075">
              <w:rPr>
                <w:b w:val="0"/>
              </w:rPr>
              <w:t>“</w:t>
            </w:r>
            <w:r w:rsidR="004A09A4" w:rsidRPr="002F0075">
              <w:rPr>
                <w:b w:val="0"/>
              </w:rPr>
              <w:t>Savienības režīms</w:t>
            </w:r>
            <w:r w:rsidR="008C617D" w:rsidRPr="002F0075">
              <w:rPr>
                <w:b w:val="0"/>
              </w:rPr>
              <w:t>”</w:t>
            </w:r>
            <w:r w:rsidR="004A09A4" w:rsidRPr="002F0075">
              <w:rPr>
                <w:b w:val="0"/>
              </w:rPr>
              <w:t xml:space="preserve">). Tādēļ tie pašlaik nevar izmantot </w:t>
            </w:r>
            <w:r w:rsidR="004A09A4" w:rsidRPr="002F0075">
              <w:rPr>
                <w:b w:val="0"/>
                <w:i/>
              </w:rPr>
              <w:t>MOSS</w:t>
            </w:r>
            <w:r w:rsidR="00611F12" w:rsidRPr="002F0075">
              <w:rPr>
                <w:b w:val="0"/>
              </w:rPr>
              <w:t>,</w:t>
            </w:r>
            <w:r w:rsidR="004A09A4" w:rsidRPr="002F0075">
              <w:rPr>
                <w:b w:val="0"/>
              </w:rPr>
              <w:t xml:space="preserve"> un tiem jāreģistrējas kā PV</w:t>
            </w:r>
            <w:r w:rsidR="004A210E" w:rsidRPr="002F0075">
              <w:rPr>
                <w:b w:val="0"/>
              </w:rPr>
              <w:t>N maksātājiem katrā dalībvalstī</w:t>
            </w:r>
            <w:r w:rsidR="004A09A4" w:rsidRPr="002F0075">
              <w:rPr>
                <w:b w:val="0"/>
              </w:rPr>
              <w:t xml:space="preserve">. Lai </w:t>
            </w:r>
            <w:r w:rsidR="00FB309E" w:rsidRPr="002F0075">
              <w:rPr>
                <w:b w:val="0"/>
              </w:rPr>
              <w:t>uzņēmumiem, kuri neveic uzņēmējdarbību ES, bet ir reģistrējušies kā PVN maksātāji dalībvalstī, vienādotu iespējas</w:t>
            </w:r>
            <w:r w:rsidR="00E703F7" w:rsidRPr="002F0075">
              <w:rPr>
                <w:b w:val="0"/>
              </w:rPr>
              <w:t xml:space="preserve"> un </w:t>
            </w:r>
            <w:r w:rsidR="004A09A4" w:rsidRPr="002F0075">
              <w:rPr>
                <w:b w:val="0"/>
              </w:rPr>
              <w:t xml:space="preserve">ļautu izmantot </w:t>
            </w:r>
            <w:proofErr w:type="spellStart"/>
            <w:r w:rsidR="004A09A4" w:rsidRPr="002F0075">
              <w:rPr>
                <w:b w:val="0"/>
              </w:rPr>
              <w:t>ārpussavienības</w:t>
            </w:r>
            <w:proofErr w:type="spellEnd"/>
            <w:r w:rsidR="004A09A4" w:rsidRPr="002F0075">
              <w:rPr>
                <w:b w:val="0"/>
              </w:rPr>
              <w:t xml:space="preserve"> režīmu, </w:t>
            </w:r>
            <w:r w:rsidR="00AB2EC4" w:rsidRPr="002F0075">
              <w:rPr>
                <w:b w:val="0"/>
              </w:rPr>
              <w:t>atbilstoši Direktīva</w:t>
            </w:r>
            <w:r w:rsidR="00935E90">
              <w:rPr>
                <w:b w:val="0"/>
              </w:rPr>
              <w:t>i</w:t>
            </w:r>
            <w:r w:rsidR="00AB2EC4" w:rsidRPr="002F0075">
              <w:rPr>
                <w:b w:val="0"/>
              </w:rPr>
              <w:t xml:space="preserve"> 2017/2455 no 2019.gada 1.janvāra stājas spēkā grozījumi Direktīvas </w:t>
            </w:r>
            <w:hyperlink r:id="rId9" w:tgtFrame="_blank" w:history="1">
              <w:r w:rsidR="00AB2EC4" w:rsidRPr="002F0075">
                <w:rPr>
                  <w:b w:val="0"/>
                </w:rPr>
                <w:t>2006/112/EK</w:t>
              </w:r>
            </w:hyperlink>
            <w:r w:rsidR="00AB2EC4" w:rsidRPr="002F0075">
              <w:rPr>
                <w:b w:val="0"/>
              </w:rPr>
              <w:t xml:space="preserve"> 358.a pantā. Tādējādi nepieciešams veikt </w:t>
            </w:r>
            <w:r w:rsidR="00611F12" w:rsidRPr="002F0075">
              <w:rPr>
                <w:b w:val="0"/>
              </w:rPr>
              <w:t>grozījum</w:t>
            </w:r>
            <w:r w:rsidR="00AB2EC4" w:rsidRPr="002F0075">
              <w:rPr>
                <w:b w:val="0"/>
              </w:rPr>
              <w:t>us</w:t>
            </w:r>
            <w:r w:rsidR="00611F12" w:rsidRPr="002F0075">
              <w:rPr>
                <w:b w:val="0"/>
              </w:rPr>
              <w:t xml:space="preserve"> Pievienotās vērtības nodokļa</w:t>
            </w:r>
            <w:r w:rsidR="00F16F72" w:rsidRPr="002F0075">
              <w:rPr>
                <w:b w:val="0"/>
              </w:rPr>
              <w:t xml:space="preserve"> likuma</w:t>
            </w:r>
            <w:r w:rsidR="00611F12" w:rsidRPr="002F0075">
              <w:rPr>
                <w:b w:val="0"/>
              </w:rPr>
              <w:t xml:space="preserve"> 140.</w:t>
            </w:r>
            <w:r w:rsidR="00611F12" w:rsidRPr="002F0075">
              <w:rPr>
                <w:b w:val="0"/>
                <w:vertAlign w:val="superscript"/>
              </w:rPr>
              <w:t>1</w:t>
            </w:r>
            <w:r w:rsidR="00611F12" w:rsidRPr="002F0075">
              <w:rPr>
                <w:b w:val="0"/>
              </w:rPr>
              <w:t> panta pirmās daļas 4.punktā</w:t>
            </w:r>
            <w:r w:rsidR="00AB2EC4" w:rsidRPr="00896D55">
              <w:rPr>
                <w:b w:val="0"/>
              </w:rPr>
              <w:t>,</w:t>
            </w:r>
            <w:r w:rsidR="00E703F7" w:rsidRPr="00896D55">
              <w:rPr>
                <w:b w:val="0"/>
              </w:rPr>
              <w:t xml:space="preserve"> </w:t>
            </w:r>
            <w:r w:rsidR="00935E90" w:rsidRPr="00896D55">
              <w:rPr>
                <w:b w:val="0"/>
              </w:rPr>
              <w:t xml:space="preserve">definīcijā </w:t>
            </w:r>
            <w:r w:rsidR="00935E90">
              <w:rPr>
                <w:b w:val="0"/>
              </w:rPr>
              <w:t>“</w:t>
            </w:r>
            <w:r w:rsidR="00FB309E" w:rsidRPr="00896D55">
              <w:rPr>
                <w:b w:val="0"/>
              </w:rPr>
              <w:t xml:space="preserve">PVN </w:t>
            </w:r>
            <w:r w:rsidR="00935E90" w:rsidRPr="00896D55">
              <w:rPr>
                <w:b w:val="0"/>
              </w:rPr>
              <w:t>maksātāj</w:t>
            </w:r>
            <w:r w:rsidR="00935E90">
              <w:rPr>
                <w:b w:val="0"/>
              </w:rPr>
              <w:t>s</w:t>
            </w:r>
            <w:r w:rsidR="005A2D40">
              <w:rPr>
                <w:b w:val="0"/>
              </w:rPr>
              <w:t>,</w:t>
            </w:r>
            <w:r w:rsidR="00935E90" w:rsidRPr="00896D55">
              <w:rPr>
                <w:b w:val="0"/>
              </w:rPr>
              <w:t xml:space="preserve"> </w:t>
            </w:r>
            <w:r w:rsidR="00935E90">
              <w:rPr>
                <w:b w:val="0"/>
              </w:rPr>
              <w:t>kas neveic saimniecisko dar</w:t>
            </w:r>
            <w:r w:rsidR="00514F69">
              <w:rPr>
                <w:b w:val="0"/>
              </w:rPr>
              <w:t>b</w:t>
            </w:r>
            <w:r w:rsidR="00935E90">
              <w:rPr>
                <w:b w:val="0"/>
              </w:rPr>
              <w:t xml:space="preserve">ību Eiropas Savienībā” </w:t>
            </w:r>
            <w:r w:rsidR="00E703F7" w:rsidRPr="00896D55">
              <w:rPr>
                <w:b w:val="0"/>
              </w:rPr>
              <w:t>svītro</w:t>
            </w:r>
            <w:r w:rsidR="00AB2EC4" w:rsidRPr="00896D55">
              <w:rPr>
                <w:b w:val="0"/>
              </w:rPr>
              <w:t>jo</w:t>
            </w:r>
            <w:r w:rsidR="00E703F7" w:rsidRPr="00896D55">
              <w:rPr>
                <w:b w:val="0"/>
              </w:rPr>
              <w:t>t</w:t>
            </w:r>
            <w:r w:rsidR="004A09A4" w:rsidRPr="00896D55">
              <w:rPr>
                <w:b w:val="0"/>
              </w:rPr>
              <w:t xml:space="preserve"> vārd</w:t>
            </w:r>
            <w:r w:rsidR="00E703F7" w:rsidRPr="00896D55">
              <w:rPr>
                <w:b w:val="0"/>
              </w:rPr>
              <w:t>us</w:t>
            </w:r>
            <w:r w:rsidR="004A09A4" w:rsidRPr="00896D55">
              <w:rPr>
                <w:b w:val="0"/>
              </w:rPr>
              <w:t xml:space="preserve"> “</w:t>
            </w:r>
            <w:r w:rsidR="00E703F7" w:rsidRPr="00896D55">
              <w:rPr>
                <w:b w:val="0"/>
              </w:rPr>
              <w:t>kuram nav cita pienākuma būt reģistrētam Eiropas Savienībā nodokļa maksā</w:t>
            </w:r>
            <w:r w:rsidR="00E703F7" w:rsidRPr="00955A58">
              <w:rPr>
                <w:b w:val="0"/>
              </w:rPr>
              <w:t>šanas vajadzībām</w:t>
            </w:r>
            <w:r w:rsidR="00611F12" w:rsidRPr="00955A58">
              <w:rPr>
                <w:b w:val="0"/>
              </w:rPr>
              <w:t>”</w:t>
            </w:r>
            <w:r w:rsidR="00FB309E" w:rsidRPr="002F0075">
              <w:rPr>
                <w:rFonts w:eastAsiaTheme="minorHAnsi"/>
                <w:b w:val="0"/>
                <w:lang w:eastAsia="en-US"/>
              </w:rPr>
              <w:t>.</w:t>
            </w:r>
          </w:p>
          <w:p w14:paraId="471F6633" w14:textId="6335C196" w:rsidR="00056020" w:rsidRPr="0009200A" w:rsidRDefault="00D821C4" w:rsidP="0009200A">
            <w:pPr>
              <w:pStyle w:val="BodyText2"/>
              <w:spacing w:before="120"/>
              <w:ind w:right="124" w:firstLine="399"/>
              <w:rPr>
                <w:b w:val="0"/>
              </w:rPr>
            </w:pPr>
            <w:r w:rsidRPr="0009200A">
              <w:rPr>
                <w:rFonts w:eastAsiaTheme="minorHAnsi"/>
                <w:b w:val="0"/>
                <w:lang w:eastAsia="en-US"/>
              </w:rPr>
              <w:t>4.</w:t>
            </w:r>
            <w:r w:rsidR="00F1551D" w:rsidRPr="0009200A">
              <w:rPr>
                <w:rFonts w:eastAsiaTheme="minorHAnsi"/>
                <w:b w:val="0"/>
                <w:lang w:eastAsia="en-US"/>
              </w:rPr>
              <w:t> </w:t>
            </w:r>
            <w:r w:rsidRPr="0009200A">
              <w:rPr>
                <w:rFonts w:eastAsiaTheme="minorHAnsi"/>
                <w:b w:val="0"/>
                <w:lang w:eastAsia="en-US"/>
              </w:rPr>
              <w:t xml:space="preserve">Ar </w:t>
            </w:r>
            <w:r w:rsidRPr="0009200A">
              <w:rPr>
                <w:b w:val="0"/>
              </w:rPr>
              <w:t>Padomes</w:t>
            </w:r>
            <w:r w:rsidR="0009200A" w:rsidRPr="0009200A">
              <w:rPr>
                <w:b w:val="0"/>
              </w:rPr>
              <w:t xml:space="preserve"> 2018.gada 2.oktobra</w:t>
            </w:r>
            <w:r w:rsidRPr="0009200A">
              <w:rPr>
                <w:b w:val="0"/>
              </w:rPr>
              <w:t xml:space="preserve"> īstenošanas lēmumu </w:t>
            </w:r>
            <w:r w:rsidR="0009200A" w:rsidRPr="0009200A">
              <w:rPr>
                <w:b w:val="0"/>
              </w:rPr>
              <w:t xml:space="preserve">2018/1492 </w:t>
            </w:r>
            <w:r w:rsidRPr="0009200A">
              <w:rPr>
                <w:b w:val="0"/>
              </w:rPr>
              <w:t xml:space="preserve">Latvijai ir piešķirta atļauja piemērot apgriezto jeb reverso PVN maksāšanas kārtību melno un krāsaino metālu </w:t>
            </w:r>
            <w:r w:rsidRPr="0009200A">
              <w:rPr>
                <w:b w:val="0"/>
              </w:rPr>
              <w:lastRenderedPageBreak/>
              <w:t>pusfabrikātu piegādei, atkāpjoties no Direktīvas 2006/112/EK 193.panta</w:t>
            </w:r>
            <w:r w:rsidR="00C57176" w:rsidRPr="0009200A">
              <w:rPr>
                <w:b w:val="0"/>
              </w:rPr>
              <w:t xml:space="preserve">, </w:t>
            </w:r>
            <w:r w:rsidR="00D20A65" w:rsidRPr="0009200A">
              <w:rPr>
                <w:b w:val="0"/>
              </w:rPr>
              <w:t xml:space="preserve">atbilstoši Direktīvas 2006/112/EK 199.a panta 1.punkta “j” apakšpunkta tvērumam </w:t>
            </w:r>
            <w:r w:rsidR="00C57176" w:rsidRPr="0009200A">
              <w:rPr>
                <w:b w:val="0"/>
              </w:rPr>
              <w:t>līdz 2018.gada 31.decembrim</w:t>
            </w:r>
            <w:r w:rsidRPr="0009200A">
              <w:rPr>
                <w:b w:val="0"/>
              </w:rPr>
              <w:t xml:space="preserve">. </w:t>
            </w:r>
            <w:r w:rsidR="00D20A65" w:rsidRPr="0009200A">
              <w:rPr>
                <w:b w:val="0"/>
              </w:rPr>
              <w:t>EK</w:t>
            </w:r>
            <w:r w:rsidR="00020308" w:rsidRPr="0009200A">
              <w:rPr>
                <w:b w:val="0"/>
              </w:rPr>
              <w:t xml:space="preserve"> 2018.gada 25.maijā ir nākusi kl</w:t>
            </w:r>
            <w:r w:rsidR="0070373A" w:rsidRPr="0009200A">
              <w:rPr>
                <w:b w:val="0"/>
              </w:rPr>
              <w:t>a</w:t>
            </w:r>
            <w:r w:rsidR="00020308" w:rsidRPr="0009200A">
              <w:rPr>
                <w:b w:val="0"/>
              </w:rPr>
              <w:t xml:space="preserve">jā ar priekšlikumu Padomes Direktīvai, ar ko Direktīvu 2006/112/EK par kopējo pievienotās vērtības nodokļa sistēmu groza attiecībā uz fakultatīvas apgrieztās maksāšanas sistēmas piemērošanas periodu noteiktām preču piegādēm un pakalpojumu sniegšanai, kam ir paaugstināts krāpšanas risks, un attiecībā uz ātrās reaģēšanas mehānisma cīņai pret krāpšanu PVN jomā piemērošanas periodu, paredzot, ka Direktīvas 2006/112/EK 199.a panta darbības termiņš tiek pagarināts līdz 2022.gada 30.jūnijam. </w:t>
            </w:r>
            <w:r w:rsidR="00D20A65" w:rsidRPr="0009200A">
              <w:rPr>
                <w:b w:val="0"/>
              </w:rPr>
              <w:t xml:space="preserve">Plānots minēto EK priekšlikumu virzīt apstiprināšanai 2018.gada 6.novembra </w:t>
            </w:r>
            <w:r w:rsidR="00F94C84" w:rsidRPr="0009200A">
              <w:rPr>
                <w:b w:val="0"/>
              </w:rPr>
              <w:t>Ekonomikas un finanšu padomē (</w:t>
            </w:r>
            <w:r w:rsidR="00D20A65" w:rsidRPr="0009200A">
              <w:rPr>
                <w:b w:val="0"/>
              </w:rPr>
              <w:t>ECOFIN</w:t>
            </w:r>
            <w:r w:rsidR="00F94C84" w:rsidRPr="0009200A">
              <w:rPr>
                <w:b w:val="0"/>
              </w:rPr>
              <w:t>)</w:t>
            </w:r>
            <w:r w:rsidR="00D20A65" w:rsidRPr="0009200A">
              <w:rPr>
                <w:b w:val="0"/>
              </w:rPr>
              <w:t xml:space="preserve"> sanāksmē.</w:t>
            </w:r>
            <w:r w:rsidR="00D20A65" w:rsidRPr="0009200A">
              <w:rPr>
                <w:rFonts w:ascii="Arial" w:eastAsiaTheme="minorHAnsi" w:hAnsi="Arial" w:cs="Arial"/>
                <w:b w:val="0"/>
                <w:lang w:eastAsia="en-US"/>
              </w:rPr>
              <w:t xml:space="preserve"> </w:t>
            </w:r>
            <w:r w:rsidR="00F16F72" w:rsidRPr="0009200A">
              <w:rPr>
                <w:b w:val="0"/>
              </w:rPr>
              <w:t>Šobrīd Pievienotās vērtības nodokļa likuma 143.</w:t>
            </w:r>
            <w:r w:rsidR="00F16F72" w:rsidRPr="0009200A">
              <w:rPr>
                <w:b w:val="0"/>
                <w:vertAlign w:val="superscript"/>
              </w:rPr>
              <w:t>4</w:t>
            </w:r>
            <w:r w:rsidR="00F16F72" w:rsidRPr="0009200A">
              <w:rPr>
                <w:b w:val="0"/>
              </w:rPr>
              <w:t> pants paredz, ka apgrieztā jeb reversā PVN maksāšanas kārtība ir piemērojama metālizstrādājumu piegādei un ar to saistītiem pakalpojumiem. Lai saskaņotu Pievienotās vērtības nodokļa likuma 143.</w:t>
            </w:r>
            <w:r w:rsidR="00F16F72" w:rsidRPr="0009200A">
              <w:rPr>
                <w:b w:val="0"/>
                <w:vertAlign w:val="superscript"/>
              </w:rPr>
              <w:t>4</w:t>
            </w:r>
            <w:r w:rsidR="00F16F72" w:rsidRPr="0009200A">
              <w:rPr>
                <w:b w:val="0"/>
              </w:rPr>
              <w:t xml:space="preserve"> pantā </w:t>
            </w:r>
            <w:r w:rsidR="002E3D19" w:rsidRPr="0009200A">
              <w:rPr>
                <w:b w:val="0"/>
              </w:rPr>
              <w:t>minēto normas tvērumu</w:t>
            </w:r>
            <w:r w:rsidR="007117BD" w:rsidRPr="0009200A">
              <w:rPr>
                <w:b w:val="0"/>
              </w:rPr>
              <w:t xml:space="preserve"> </w:t>
            </w:r>
            <w:r w:rsidR="00F16F72" w:rsidRPr="0009200A">
              <w:rPr>
                <w:b w:val="0"/>
              </w:rPr>
              <w:t xml:space="preserve">ar </w:t>
            </w:r>
            <w:r w:rsidR="00D20A65" w:rsidRPr="0009200A">
              <w:rPr>
                <w:b w:val="0"/>
              </w:rPr>
              <w:t>Direktīvas 2006/112/EK 199.a panta 1.punkta “j” apakšpunktā</w:t>
            </w:r>
            <w:r w:rsidR="008F3B83" w:rsidRPr="0009200A">
              <w:rPr>
                <w:b w:val="0"/>
              </w:rPr>
              <w:t xml:space="preserve"> </w:t>
            </w:r>
            <w:r w:rsidR="00D20A65" w:rsidRPr="0009200A">
              <w:rPr>
                <w:b w:val="0"/>
              </w:rPr>
              <w:t xml:space="preserve">minēto normas </w:t>
            </w:r>
            <w:r w:rsidR="00B9305E" w:rsidRPr="0009200A">
              <w:rPr>
                <w:b w:val="0"/>
              </w:rPr>
              <w:t>tvērumu</w:t>
            </w:r>
            <w:r w:rsidR="00F16F72" w:rsidRPr="0009200A">
              <w:rPr>
                <w:b w:val="0"/>
              </w:rPr>
              <w:t>, ir nepieciešams veikt grozījumus Pievienotās vērtības nodokļa likuma 143.</w:t>
            </w:r>
            <w:r w:rsidR="00F16F72" w:rsidRPr="0009200A">
              <w:rPr>
                <w:b w:val="0"/>
                <w:vertAlign w:val="superscript"/>
              </w:rPr>
              <w:t>4</w:t>
            </w:r>
            <w:r w:rsidR="00F16F72" w:rsidRPr="0009200A">
              <w:rPr>
                <w:b w:val="0"/>
              </w:rPr>
              <w:t xml:space="preserve"> pantā, </w:t>
            </w:r>
            <w:r w:rsidR="007117BD" w:rsidRPr="0009200A">
              <w:rPr>
                <w:b w:val="0"/>
              </w:rPr>
              <w:t xml:space="preserve">nosakot tās </w:t>
            </w:r>
            <w:r w:rsidR="00F16F72" w:rsidRPr="0009200A">
              <w:rPr>
                <w:b w:val="0"/>
              </w:rPr>
              <w:t xml:space="preserve">preču </w:t>
            </w:r>
            <w:r w:rsidR="007117BD" w:rsidRPr="0009200A">
              <w:rPr>
                <w:b w:val="0"/>
              </w:rPr>
              <w:t>kategorijas</w:t>
            </w:r>
            <w:r w:rsidR="008F3B83" w:rsidRPr="0009200A">
              <w:rPr>
                <w:b w:val="0"/>
              </w:rPr>
              <w:t>, k</w:t>
            </w:r>
            <w:r w:rsidR="007117BD" w:rsidRPr="0009200A">
              <w:rPr>
                <w:b w:val="0"/>
              </w:rPr>
              <w:t>urā</w:t>
            </w:r>
            <w:r w:rsidR="008F3B83" w:rsidRPr="0009200A">
              <w:rPr>
                <w:b w:val="0"/>
              </w:rPr>
              <w:t>m</w:t>
            </w:r>
            <w:r w:rsidR="00B9305E" w:rsidRPr="0009200A">
              <w:rPr>
                <w:b w:val="0"/>
              </w:rPr>
              <w:t xml:space="preserve"> no 2019.gada 1.janvāra</w:t>
            </w:r>
            <w:r w:rsidR="008F3B83" w:rsidRPr="0009200A">
              <w:rPr>
                <w:b w:val="0"/>
              </w:rPr>
              <w:t xml:space="preserve"> ir piemērojama apgrieztā jeb reversā PVN maksāšanas kārtība,</w:t>
            </w:r>
            <w:r w:rsidR="00F16F72" w:rsidRPr="0009200A">
              <w:rPr>
                <w:b w:val="0"/>
              </w:rPr>
              <w:t xml:space="preserve"> </w:t>
            </w:r>
            <w:r w:rsidR="00F1229C" w:rsidRPr="0009200A">
              <w:rPr>
                <w:b w:val="0"/>
              </w:rPr>
              <w:t xml:space="preserve">un </w:t>
            </w:r>
            <w:r w:rsidR="00F16F72" w:rsidRPr="0009200A">
              <w:rPr>
                <w:b w:val="0"/>
              </w:rPr>
              <w:t>izslēdzot pakalpojumus, kuri</w:t>
            </w:r>
            <w:r w:rsidR="00D20A65" w:rsidRPr="0009200A">
              <w:rPr>
                <w:b w:val="0"/>
              </w:rPr>
              <w:t xml:space="preserve"> neietilpst Direktīvas 2006/112/EK 199.a panta 1.punkta “j” apakšpunkta tvērumā</w:t>
            </w:r>
            <w:r w:rsidR="00F16F72" w:rsidRPr="0009200A">
              <w:rPr>
                <w:b w:val="0"/>
              </w:rPr>
              <w:t>.</w:t>
            </w:r>
            <w:r w:rsidR="00056020" w:rsidRPr="0009200A">
              <w:rPr>
                <w:b w:val="0"/>
              </w:rPr>
              <w:t xml:space="preserve"> Apgrieztā jeb reversā PVN maksāšanas kārtība Latvijā </w:t>
            </w:r>
            <w:r w:rsidR="007117BD" w:rsidRPr="0009200A">
              <w:rPr>
                <w:b w:val="0"/>
              </w:rPr>
              <w:t xml:space="preserve">ar 2019.gada 1.janvāri </w:t>
            </w:r>
            <w:r w:rsidR="00E32D7B" w:rsidRPr="0009200A">
              <w:rPr>
                <w:b w:val="0"/>
              </w:rPr>
              <w:t xml:space="preserve">ir </w:t>
            </w:r>
            <w:r w:rsidR="00056020" w:rsidRPr="0009200A">
              <w:rPr>
                <w:b w:val="0"/>
              </w:rPr>
              <w:t>attiecināma uz šādu melno un krāsaino metālu piegādēm atbilstoši Kombinētās nomenklatūras kodiem:</w:t>
            </w:r>
          </w:p>
          <w:tbl>
            <w:tblPr>
              <w:tblW w:w="6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492"/>
            </w:tblGrid>
            <w:tr w:rsidR="00056020" w:rsidRPr="002F0075" w14:paraId="0A326489" w14:textId="77777777" w:rsidTr="00056020">
              <w:trPr>
                <w:trHeight w:val="506"/>
              </w:trPr>
              <w:tc>
                <w:tcPr>
                  <w:tcW w:w="1665" w:type="dxa"/>
                  <w:shd w:val="clear" w:color="auto" w:fill="auto"/>
                </w:tcPr>
                <w:p w14:paraId="1AA07EBB" w14:textId="77777777" w:rsidR="00056020" w:rsidRPr="007724D7" w:rsidRDefault="00056020" w:rsidP="00056020">
                  <w:pPr>
                    <w:ind w:right="161"/>
                    <w:jc w:val="center"/>
                  </w:pPr>
                  <w:r w:rsidRPr="007724D7">
                    <w:t>Kombinētās nomenklatūras kods</w:t>
                  </w:r>
                </w:p>
              </w:tc>
              <w:tc>
                <w:tcPr>
                  <w:tcW w:w="4617" w:type="dxa"/>
                  <w:shd w:val="clear" w:color="auto" w:fill="auto"/>
                </w:tcPr>
                <w:p w14:paraId="1A2A9B5C" w14:textId="77777777" w:rsidR="00056020" w:rsidRPr="007724D7" w:rsidRDefault="00056020" w:rsidP="00056020">
                  <w:pPr>
                    <w:ind w:right="658"/>
                  </w:pPr>
                </w:p>
                <w:p w14:paraId="6F96E093" w14:textId="77777777" w:rsidR="00056020" w:rsidRPr="007724D7" w:rsidRDefault="00056020" w:rsidP="00056020">
                  <w:pPr>
                    <w:ind w:right="161"/>
                    <w:jc w:val="center"/>
                  </w:pPr>
                  <w:r w:rsidRPr="007724D7">
                    <w:t>Produkts</w:t>
                  </w:r>
                </w:p>
              </w:tc>
            </w:tr>
            <w:tr w:rsidR="00056020" w:rsidRPr="002F0075" w14:paraId="682F5518" w14:textId="77777777" w:rsidTr="00056020">
              <w:tc>
                <w:tcPr>
                  <w:tcW w:w="1665" w:type="dxa"/>
                  <w:shd w:val="clear" w:color="auto" w:fill="auto"/>
                </w:tcPr>
                <w:p w14:paraId="4A479C6F" w14:textId="77777777" w:rsidR="00056020" w:rsidRPr="007724D7" w:rsidRDefault="00056020" w:rsidP="00056020">
                  <w:pPr>
                    <w:ind w:right="161"/>
                    <w:jc w:val="center"/>
                  </w:pPr>
                  <w:r w:rsidRPr="007724D7">
                    <w:t>7207</w:t>
                  </w:r>
                </w:p>
              </w:tc>
              <w:tc>
                <w:tcPr>
                  <w:tcW w:w="4617" w:type="dxa"/>
                  <w:shd w:val="clear" w:color="auto" w:fill="auto"/>
                </w:tcPr>
                <w:p w14:paraId="38491ECC" w14:textId="77777777" w:rsidR="00056020" w:rsidRPr="007724D7" w:rsidRDefault="00056020" w:rsidP="00056020">
                  <w:pPr>
                    <w:ind w:right="161"/>
                    <w:jc w:val="both"/>
                  </w:pPr>
                  <w:r w:rsidRPr="007724D7">
                    <w:t>Dzelzs vai neleģētā tērauda pusfabrikāti</w:t>
                  </w:r>
                </w:p>
              </w:tc>
            </w:tr>
            <w:tr w:rsidR="00056020" w:rsidRPr="002F0075" w14:paraId="50EDD5F0" w14:textId="77777777" w:rsidTr="00056020">
              <w:tc>
                <w:tcPr>
                  <w:tcW w:w="1665" w:type="dxa"/>
                  <w:shd w:val="clear" w:color="auto" w:fill="auto"/>
                </w:tcPr>
                <w:p w14:paraId="7AE06384" w14:textId="77777777" w:rsidR="00056020" w:rsidRPr="007724D7" w:rsidRDefault="00056020" w:rsidP="00056020">
                  <w:pPr>
                    <w:ind w:right="161"/>
                    <w:jc w:val="center"/>
                  </w:pPr>
                  <w:r w:rsidRPr="007724D7">
                    <w:t>7208</w:t>
                  </w:r>
                </w:p>
              </w:tc>
              <w:tc>
                <w:tcPr>
                  <w:tcW w:w="4617" w:type="dxa"/>
                  <w:shd w:val="clear" w:color="auto" w:fill="auto"/>
                </w:tcPr>
                <w:p w14:paraId="0D56AB14" w14:textId="77777777" w:rsidR="00056020" w:rsidRPr="007724D7" w:rsidRDefault="00056020" w:rsidP="00056020">
                  <w:pPr>
                    <w:ind w:right="161"/>
                    <w:jc w:val="both"/>
                  </w:pPr>
                  <w:r w:rsidRPr="007724D7">
                    <w:t xml:space="preserve">Plakani dzelzs vai neleģētā tērauda velmējumi ar platumu 600 mm vai vairāk, karsti velmēti, </w:t>
                  </w:r>
                  <w:proofErr w:type="spellStart"/>
                  <w:r w:rsidRPr="007724D7">
                    <w:t>neplaķēti</w:t>
                  </w:r>
                  <w:proofErr w:type="spellEnd"/>
                  <w:r w:rsidRPr="007724D7">
                    <w:t>, bez elektrolītiska vai cita pārklājuma</w:t>
                  </w:r>
                </w:p>
              </w:tc>
            </w:tr>
            <w:tr w:rsidR="00056020" w:rsidRPr="002F0075" w14:paraId="36FA4FAB" w14:textId="77777777" w:rsidTr="00056020">
              <w:trPr>
                <w:trHeight w:val="506"/>
              </w:trPr>
              <w:tc>
                <w:tcPr>
                  <w:tcW w:w="1665" w:type="dxa"/>
                  <w:shd w:val="clear" w:color="auto" w:fill="auto"/>
                </w:tcPr>
                <w:p w14:paraId="4F353074" w14:textId="77777777" w:rsidR="00056020" w:rsidRPr="007724D7" w:rsidRDefault="00056020" w:rsidP="00056020">
                  <w:pPr>
                    <w:ind w:right="161"/>
                    <w:jc w:val="center"/>
                  </w:pPr>
                  <w:r w:rsidRPr="007724D7">
                    <w:t>7209</w:t>
                  </w:r>
                </w:p>
              </w:tc>
              <w:tc>
                <w:tcPr>
                  <w:tcW w:w="4617" w:type="dxa"/>
                  <w:shd w:val="clear" w:color="auto" w:fill="auto"/>
                </w:tcPr>
                <w:p w14:paraId="4690AAEE" w14:textId="77777777" w:rsidR="00056020" w:rsidRPr="007724D7" w:rsidRDefault="00056020" w:rsidP="00056020">
                  <w:pPr>
                    <w:ind w:right="161"/>
                  </w:pPr>
                  <w:r w:rsidRPr="007724D7">
                    <w:t xml:space="preserve">Plakani dzelzs vai neleģētā tērauda velmējumi ar platumu 600 mm vai vairāk, auksti velmēti (presēti aukstā stāvoklī), </w:t>
                  </w:r>
                  <w:proofErr w:type="spellStart"/>
                  <w:r w:rsidRPr="007724D7">
                    <w:t>neplaķēti</w:t>
                  </w:r>
                  <w:proofErr w:type="spellEnd"/>
                  <w:r w:rsidRPr="007724D7">
                    <w:t>, bez galvaniska vai cita pārklājuma</w:t>
                  </w:r>
                </w:p>
              </w:tc>
            </w:tr>
            <w:tr w:rsidR="00056020" w:rsidRPr="002F0075" w14:paraId="19B6EC74" w14:textId="77777777" w:rsidTr="00056020">
              <w:tc>
                <w:tcPr>
                  <w:tcW w:w="1665" w:type="dxa"/>
                  <w:shd w:val="clear" w:color="auto" w:fill="auto"/>
                </w:tcPr>
                <w:p w14:paraId="3BCF197B" w14:textId="77777777" w:rsidR="00056020" w:rsidRPr="007724D7" w:rsidRDefault="00056020" w:rsidP="00056020">
                  <w:pPr>
                    <w:ind w:right="161"/>
                    <w:jc w:val="center"/>
                  </w:pPr>
                  <w:r w:rsidRPr="007724D7">
                    <w:t>7210</w:t>
                  </w:r>
                </w:p>
              </w:tc>
              <w:tc>
                <w:tcPr>
                  <w:tcW w:w="4617" w:type="dxa"/>
                  <w:shd w:val="clear" w:color="auto" w:fill="auto"/>
                </w:tcPr>
                <w:p w14:paraId="13114CAB" w14:textId="77777777" w:rsidR="00056020" w:rsidRPr="007724D7" w:rsidRDefault="00056020" w:rsidP="00056020">
                  <w:pPr>
                    <w:ind w:right="161"/>
                    <w:jc w:val="both"/>
                  </w:pPr>
                  <w:r w:rsidRPr="007724D7">
                    <w:t xml:space="preserve">Plakani dzelzs un neleģētā tērauda velmējumi ar platumu 600 mm vai vairāk, </w:t>
                  </w:r>
                  <w:proofErr w:type="spellStart"/>
                  <w:r w:rsidRPr="007724D7">
                    <w:t>plaķēti</w:t>
                  </w:r>
                  <w:proofErr w:type="spellEnd"/>
                  <w:r w:rsidRPr="007724D7">
                    <w:t>, ar elektrolītisku vai citu pārklājumu</w:t>
                  </w:r>
                </w:p>
              </w:tc>
            </w:tr>
            <w:tr w:rsidR="00056020" w:rsidRPr="002F0075" w14:paraId="5E854912" w14:textId="77777777" w:rsidTr="00056020">
              <w:tc>
                <w:tcPr>
                  <w:tcW w:w="1665" w:type="dxa"/>
                  <w:shd w:val="clear" w:color="auto" w:fill="auto"/>
                </w:tcPr>
                <w:p w14:paraId="1999D7B0" w14:textId="77777777" w:rsidR="00056020" w:rsidRPr="007724D7" w:rsidRDefault="00056020" w:rsidP="00056020">
                  <w:pPr>
                    <w:ind w:right="161"/>
                    <w:jc w:val="center"/>
                  </w:pPr>
                  <w:r w:rsidRPr="007724D7">
                    <w:t>7211</w:t>
                  </w:r>
                </w:p>
              </w:tc>
              <w:tc>
                <w:tcPr>
                  <w:tcW w:w="4617" w:type="dxa"/>
                  <w:shd w:val="clear" w:color="auto" w:fill="auto"/>
                </w:tcPr>
                <w:p w14:paraId="3DF44198" w14:textId="77777777" w:rsidR="00056020" w:rsidRPr="007724D7" w:rsidRDefault="00056020" w:rsidP="00056020">
                  <w:pPr>
                    <w:ind w:right="161"/>
                    <w:jc w:val="both"/>
                  </w:pPr>
                  <w:r w:rsidRPr="007724D7">
                    <w:t xml:space="preserve">Plakani dzelzs un neleģētā tērauda velmējumi, ar platumu mazāk nekā 600 mm, </w:t>
                  </w:r>
                  <w:proofErr w:type="spellStart"/>
                  <w:r w:rsidRPr="007724D7">
                    <w:t>neplaķēti</w:t>
                  </w:r>
                  <w:proofErr w:type="spellEnd"/>
                  <w:r w:rsidRPr="007724D7">
                    <w:t>, bez elektrolītiska vai cita pārklājuma</w:t>
                  </w:r>
                </w:p>
              </w:tc>
            </w:tr>
            <w:tr w:rsidR="00056020" w:rsidRPr="002F0075" w14:paraId="067237B4" w14:textId="77777777" w:rsidTr="00056020">
              <w:tc>
                <w:tcPr>
                  <w:tcW w:w="1665" w:type="dxa"/>
                  <w:shd w:val="clear" w:color="auto" w:fill="auto"/>
                </w:tcPr>
                <w:p w14:paraId="3A51241C" w14:textId="77777777" w:rsidR="00056020" w:rsidRPr="007724D7" w:rsidRDefault="00056020" w:rsidP="00056020">
                  <w:pPr>
                    <w:ind w:right="161"/>
                    <w:jc w:val="center"/>
                  </w:pPr>
                  <w:r w:rsidRPr="007724D7">
                    <w:t>7212</w:t>
                  </w:r>
                </w:p>
              </w:tc>
              <w:tc>
                <w:tcPr>
                  <w:tcW w:w="4617" w:type="dxa"/>
                  <w:shd w:val="clear" w:color="auto" w:fill="auto"/>
                </w:tcPr>
                <w:p w14:paraId="55E32794" w14:textId="77777777" w:rsidR="00056020" w:rsidRPr="007724D7" w:rsidRDefault="00056020" w:rsidP="00056020">
                  <w:pPr>
                    <w:ind w:right="161"/>
                    <w:jc w:val="both"/>
                  </w:pPr>
                  <w:r w:rsidRPr="007724D7">
                    <w:t xml:space="preserve">Plakani dzelzs un neleģētā tērauda velmējumi, ar platumu mazāk nekā 600 mm, </w:t>
                  </w:r>
                  <w:proofErr w:type="spellStart"/>
                  <w:r w:rsidRPr="007724D7">
                    <w:t>plaķēti</w:t>
                  </w:r>
                  <w:proofErr w:type="spellEnd"/>
                  <w:r w:rsidRPr="007724D7">
                    <w:t>, ar elektrolītisku vai citu pārklājumu</w:t>
                  </w:r>
                </w:p>
              </w:tc>
            </w:tr>
            <w:tr w:rsidR="00056020" w:rsidRPr="002F0075" w14:paraId="07F79E6B" w14:textId="77777777" w:rsidTr="00056020">
              <w:tc>
                <w:tcPr>
                  <w:tcW w:w="1665" w:type="dxa"/>
                  <w:shd w:val="clear" w:color="auto" w:fill="auto"/>
                </w:tcPr>
                <w:p w14:paraId="66CFAD2F" w14:textId="77777777" w:rsidR="00056020" w:rsidRPr="007724D7" w:rsidRDefault="00056020" w:rsidP="00056020">
                  <w:pPr>
                    <w:ind w:right="161"/>
                    <w:jc w:val="center"/>
                  </w:pPr>
                  <w:r w:rsidRPr="007724D7">
                    <w:lastRenderedPageBreak/>
                    <w:t>7213</w:t>
                  </w:r>
                </w:p>
              </w:tc>
              <w:tc>
                <w:tcPr>
                  <w:tcW w:w="4617" w:type="dxa"/>
                  <w:shd w:val="clear" w:color="auto" w:fill="auto"/>
                </w:tcPr>
                <w:p w14:paraId="4833D823" w14:textId="77777777" w:rsidR="00056020" w:rsidRPr="007724D7" w:rsidRDefault="00056020" w:rsidP="00056020">
                  <w:pPr>
                    <w:ind w:right="161"/>
                    <w:jc w:val="both"/>
                  </w:pPr>
                  <w:r w:rsidRPr="007724D7">
                    <w:t>Stieņi, karsti velmēti, brīvi tītos saišķos, no dzelzs vai neleģētā tērauda</w:t>
                  </w:r>
                </w:p>
              </w:tc>
            </w:tr>
            <w:tr w:rsidR="00056020" w:rsidRPr="002F0075" w14:paraId="1621F3E3" w14:textId="77777777" w:rsidTr="00056020">
              <w:tc>
                <w:tcPr>
                  <w:tcW w:w="1665" w:type="dxa"/>
                  <w:shd w:val="clear" w:color="auto" w:fill="auto"/>
                </w:tcPr>
                <w:p w14:paraId="41853155" w14:textId="77777777" w:rsidR="00056020" w:rsidRPr="007724D7" w:rsidRDefault="00056020" w:rsidP="00056020">
                  <w:pPr>
                    <w:ind w:right="161"/>
                    <w:jc w:val="center"/>
                  </w:pPr>
                  <w:r w:rsidRPr="007724D7">
                    <w:t>7214</w:t>
                  </w:r>
                </w:p>
              </w:tc>
              <w:tc>
                <w:tcPr>
                  <w:tcW w:w="4617" w:type="dxa"/>
                  <w:shd w:val="clear" w:color="auto" w:fill="auto"/>
                </w:tcPr>
                <w:p w14:paraId="2DC26824" w14:textId="77777777" w:rsidR="00056020" w:rsidRPr="007724D7" w:rsidRDefault="00056020" w:rsidP="00056020">
                  <w:pPr>
                    <w:ind w:right="161"/>
                    <w:jc w:val="both"/>
                  </w:pPr>
                  <w:r w:rsidRPr="007724D7">
                    <w:t>Citādi dzelzs un neleģētā tērauda stieņi, bez turpmākas apstrādes pēc kalšanas, karstās velmēšanas, karstās stiepšanas vai karstās presēšanas, taču ieskaitot pēc velmēšanas liektus stieņus</w:t>
                  </w:r>
                </w:p>
              </w:tc>
            </w:tr>
            <w:tr w:rsidR="00056020" w:rsidRPr="002F0075" w14:paraId="4C3862B0" w14:textId="77777777" w:rsidTr="00056020">
              <w:tc>
                <w:tcPr>
                  <w:tcW w:w="1665" w:type="dxa"/>
                  <w:shd w:val="clear" w:color="auto" w:fill="auto"/>
                </w:tcPr>
                <w:p w14:paraId="2F9617E5" w14:textId="77777777" w:rsidR="00056020" w:rsidRPr="007724D7" w:rsidRDefault="00056020" w:rsidP="00056020">
                  <w:pPr>
                    <w:ind w:right="161"/>
                    <w:jc w:val="center"/>
                  </w:pPr>
                  <w:r w:rsidRPr="007724D7">
                    <w:t>7215</w:t>
                  </w:r>
                </w:p>
              </w:tc>
              <w:tc>
                <w:tcPr>
                  <w:tcW w:w="4617" w:type="dxa"/>
                  <w:shd w:val="clear" w:color="auto" w:fill="auto"/>
                </w:tcPr>
                <w:p w14:paraId="2C1F6A29" w14:textId="77777777" w:rsidR="00056020" w:rsidRPr="007724D7" w:rsidRDefault="00056020" w:rsidP="00056020">
                  <w:pPr>
                    <w:ind w:right="161"/>
                    <w:jc w:val="both"/>
                  </w:pPr>
                  <w:r w:rsidRPr="007724D7">
                    <w:t>Citādi dzelzs un neleģētā tērauda stieņi</w:t>
                  </w:r>
                </w:p>
              </w:tc>
            </w:tr>
            <w:tr w:rsidR="00056020" w:rsidRPr="002F0075" w14:paraId="3844FDF7" w14:textId="77777777" w:rsidTr="00056020">
              <w:tc>
                <w:tcPr>
                  <w:tcW w:w="1665" w:type="dxa"/>
                  <w:shd w:val="clear" w:color="auto" w:fill="auto"/>
                </w:tcPr>
                <w:p w14:paraId="2A2ED1D4" w14:textId="77777777" w:rsidR="00056020" w:rsidRPr="007724D7" w:rsidRDefault="00056020" w:rsidP="00056020">
                  <w:pPr>
                    <w:ind w:right="161"/>
                    <w:jc w:val="center"/>
                  </w:pPr>
                  <w:r w:rsidRPr="007724D7">
                    <w:t>7216</w:t>
                  </w:r>
                </w:p>
              </w:tc>
              <w:tc>
                <w:tcPr>
                  <w:tcW w:w="4617" w:type="dxa"/>
                  <w:shd w:val="clear" w:color="auto" w:fill="auto"/>
                </w:tcPr>
                <w:p w14:paraId="61348E53" w14:textId="77777777" w:rsidR="00056020" w:rsidRPr="007724D7" w:rsidRDefault="00056020" w:rsidP="00056020">
                  <w:pPr>
                    <w:ind w:right="161"/>
                    <w:jc w:val="both"/>
                  </w:pPr>
                  <w:r w:rsidRPr="007724D7">
                    <w:t xml:space="preserve">Dzelzs un neleģētā tērauda leņķi, </w:t>
                  </w:r>
                  <w:proofErr w:type="spellStart"/>
                  <w:r w:rsidRPr="007724D7">
                    <w:t>fasonprofili</w:t>
                  </w:r>
                  <w:proofErr w:type="spellEnd"/>
                  <w:r w:rsidRPr="007724D7">
                    <w:t xml:space="preserve"> un speciālie profili</w:t>
                  </w:r>
                </w:p>
              </w:tc>
            </w:tr>
            <w:tr w:rsidR="00056020" w:rsidRPr="002F0075" w14:paraId="37F065C8" w14:textId="77777777" w:rsidTr="00056020">
              <w:tc>
                <w:tcPr>
                  <w:tcW w:w="1665" w:type="dxa"/>
                  <w:shd w:val="clear" w:color="auto" w:fill="auto"/>
                </w:tcPr>
                <w:p w14:paraId="70BEE2A9" w14:textId="77777777" w:rsidR="00056020" w:rsidRPr="007724D7" w:rsidRDefault="00056020" w:rsidP="00056020">
                  <w:pPr>
                    <w:ind w:right="161"/>
                    <w:jc w:val="center"/>
                  </w:pPr>
                  <w:r w:rsidRPr="007724D7">
                    <w:t>7218</w:t>
                  </w:r>
                </w:p>
              </w:tc>
              <w:tc>
                <w:tcPr>
                  <w:tcW w:w="4617" w:type="dxa"/>
                  <w:shd w:val="clear" w:color="auto" w:fill="auto"/>
                </w:tcPr>
                <w:p w14:paraId="660A65CD" w14:textId="77777777" w:rsidR="00056020" w:rsidRPr="007724D7" w:rsidRDefault="00056020" w:rsidP="00056020">
                  <w:pPr>
                    <w:ind w:right="161"/>
                    <w:jc w:val="both"/>
                  </w:pPr>
                  <w:r w:rsidRPr="007724D7">
                    <w:t xml:space="preserve">Nerūsējošais tērauds lietņos vai citās </w:t>
                  </w:r>
                  <w:proofErr w:type="spellStart"/>
                  <w:r w:rsidRPr="007724D7">
                    <w:t>pirmformās</w:t>
                  </w:r>
                  <w:proofErr w:type="spellEnd"/>
                  <w:r w:rsidRPr="007724D7">
                    <w:t>; nerūsējošā tērauda pusfabrikāti</w:t>
                  </w:r>
                </w:p>
              </w:tc>
            </w:tr>
            <w:tr w:rsidR="00056020" w:rsidRPr="002F0075" w14:paraId="4A85296F" w14:textId="77777777" w:rsidTr="00056020">
              <w:tc>
                <w:tcPr>
                  <w:tcW w:w="1665" w:type="dxa"/>
                  <w:shd w:val="clear" w:color="auto" w:fill="auto"/>
                </w:tcPr>
                <w:p w14:paraId="1C7D6A3F" w14:textId="77777777" w:rsidR="00056020" w:rsidRPr="007724D7" w:rsidRDefault="00056020" w:rsidP="00056020">
                  <w:pPr>
                    <w:ind w:right="161"/>
                    <w:jc w:val="center"/>
                  </w:pPr>
                  <w:r w:rsidRPr="007724D7">
                    <w:t>7219</w:t>
                  </w:r>
                </w:p>
              </w:tc>
              <w:tc>
                <w:tcPr>
                  <w:tcW w:w="4617" w:type="dxa"/>
                  <w:shd w:val="clear" w:color="auto" w:fill="auto"/>
                </w:tcPr>
                <w:p w14:paraId="1261BC65" w14:textId="77777777" w:rsidR="00056020" w:rsidRPr="007724D7" w:rsidRDefault="00056020" w:rsidP="00056020">
                  <w:pPr>
                    <w:ind w:right="161"/>
                    <w:jc w:val="both"/>
                  </w:pPr>
                  <w:r w:rsidRPr="007724D7">
                    <w:t>Plakani nerūsējošā tērauda velmējumi, ar platumu 600 mm vai vairāk</w:t>
                  </w:r>
                </w:p>
              </w:tc>
            </w:tr>
            <w:tr w:rsidR="00056020" w:rsidRPr="002F0075" w14:paraId="3AD3E242" w14:textId="77777777" w:rsidTr="00056020">
              <w:tc>
                <w:tcPr>
                  <w:tcW w:w="1665" w:type="dxa"/>
                  <w:shd w:val="clear" w:color="auto" w:fill="auto"/>
                </w:tcPr>
                <w:p w14:paraId="719370BF" w14:textId="77777777" w:rsidR="00056020" w:rsidRPr="007724D7" w:rsidRDefault="00056020" w:rsidP="00056020">
                  <w:pPr>
                    <w:ind w:right="161"/>
                    <w:jc w:val="center"/>
                  </w:pPr>
                  <w:r w:rsidRPr="007724D7">
                    <w:t>7220</w:t>
                  </w:r>
                </w:p>
              </w:tc>
              <w:tc>
                <w:tcPr>
                  <w:tcW w:w="4617" w:type="dxa"/>
                  <w:shd w:val="clear" w:color="auto" w:fill="auto"/>
                </w:tcPr>
                <w:p w14:paraId="40593F08" w14:textId="77777777" w:rsidR="00056020" w:rsidRPr="007724D7" w:rsidRDefault="00056020" w:rsidP="00056020">
                  <w:pPr>
                    <w:ind w:right="161"/>
                    <w:jc w:val="both"/>
                  </w:pPr>
                  <w:r w:rsidRPr="007724D7">
                    <w:t>Plakani nerūsējošā tērauda velmējumi, ar platumu mazāk nekā 600 mm</w:t>
                  </w:r>
                </w:p>
              </w:tc>
            </w:tr>
            <w:tr w:rsidR="00056020" w:rsidRPr="002F0075" w14:paraId="5840D64D" w14:textId="77777777" w:rsidTr="00056020">
              <w:tc>
                <w:tcPr>
                  <w:tcW w:w="1665" w:type="dxa"/>
                  <w:shd w:val="clear" w:color="auto" w:fill="auto"/>
                </w:tcPr>
                <w:p w14:paraId="031C5416" w14:textId="77777777" w:rsidR="00056020" w:rsidRPr="007724D7" w:rsidRDefault="00056020" w:rsidP="00056020">
                  <w:pPr>
                    <w:ind w:right="161"/>
                    <w:jc w:val="center"/>
                  </w:pPr>
                  <w:r w:rsidRPr="007724D7">
                    <w:t>7222</w:t>
                  </w:r>
                </w:p>
              </w:tc>
              <w:tc>
                <w:tcPr>
                  <w:tcW w:w="4617" w:type="dxa"/>
                  <w:shd w:val="clear" w:color="auto" w:fill="auto"/>
                </w:tcPr>
                <w:p w14:paraId="70D28B8F" w14:textId="77777777" w:rsidR="00056020" w:rsidRPr="007724D7" w:rsidRDefault="00056020" w:rsidP="00056020">
                  <w:pPr>
                    <w:ind w:right="161"/>
                    <w:jc w:val="both"/>
                  </w:pPr>
                  <w:r w:rsidRPr="007724D7">
                    <w:t xml:space="preserve">Citi nerūsējošā tērauda stieņi; leņķi, </w:t>
                  </w:r>
                  <w:proofErr w:type="spellStart"/>
                  <w:r w:rsidRPr="007724D7">
                    <w:t>fasonprofili</w:t>
                  </w:r>
                  <w:proofErr w:type="spellEnd"/>
                  <w:r w:rsidRPr="007724D7">
                    <w:t xml:space="preserve"> un speciālie profili no nerūsējošā tērauda</w:t>
                  </w:r>
                </w:p>
              </w:tc>
            </w:tr>
            <w:tr w:rsidR="00056020" w:rsidRPr="002F0075" w14:paraId="4B6C7121" w14:textId="77777777" w:rsidTr="00056020">
              <w:tc>
                <w:tcPr>
                  <w:tcW w:w="1665" w:type="dxa"/>
                  <w:shd w:val="clear" w:color="auto" w:fill="auto"/>
                </w:tcPr>
                <w:p w14:paraId="3F508372" w14:textId="77777777" w:rsidR="00056020" w:rsidRPr="007724D7" w:rsidRDefault="00056020" w:rsidP="00056020">
                  <w:pPr>
                    <w:ind w:right="161"/>
                    <w:jc w:val="center"/>
                  </w:pPr>
                  <w:r w:rsidRPr="007724D7">
                    <w:t>7224</w:t>
                  </w:r>
                </w:p>
              </w:tc>
              <w:tc>
                <w:tcPr>
                  <w:tcW w:w="4617" w:type="dxa"/>
                  <w:shd w:val="clear" w:color="auto" w:fill="auto"/>
                </w:tcPr>
                <w:p w14:paraId="0ECF8D4D" w14:textId="77777777" w:rsidR="00056020" w:rsidRPr="007724D7" w:rsidRDefault="00056020" w:rsidP="00056020">
                  <w:pPr>
                    <w:ind w:right="161"/>
                    <w:jc w:val="both"/>
                  </w:pPr>
                  <w:r w:rsidRPr="007724D7">
                    <w:t xml:space="preserve">Citāds leģētais tērauds lietņos vai citās </w:t>
                  </w:r>
                  <w:proofErr w:type="spellStart"/>
                  <w:r w:rsidRPr="007724D7">
                    <w:t>pirmformās</w:t>
                  </w:r>
                  <w:proofErr w:type="spellEnd"/>
                  <w:r w:rsidRPr="007724D7">
                    <w:t>; citāda nerūsējošā tērauda pusfabrikāti</w:t>
                  </w:r>
                </w:p>
              </w:tc>
            </w:tr>
            <w:tr w:rsidR="00056020" w:rsidRPr="002F0075" w14:paraId="26742574" w14:textId="77777777" w:rsidTr="00056020">
              <w:tc>
                <w:tcPr>
                  <w:tcW w:w="1665" w:type="dxa"/>
                  <w:shd w:val="clear" w:color="auto" w:fill="auto"/>
                </w:tcPr>
                <w:p w14:paraId="1A3CD4A2" w14:textId="77777777" w:rsidR="00056020" w:rsidRPr="007724D7" w:rsidRDefault="00056020" w:rsidP="00056020">
                  <w:pPr>
                    <w:ind w:right="161"/>
                    <w:jc w:val="center"/>
                  </w:pPr>
                  <w:r w:rsidRPr="007724D7">
                    <w:t>7225</w:t>
                  </w:r>
                </w:p>
              </w:tc>
              <w:tc>
                <w:tcPr>
                  <w:tcW w:w="4617" w:type="dxa"/>
                  <w:shd w:val="clear" w:color="auto" w:fill="auto"/>
                </w:tcPr>
                <w:p w14:paraId="2AB615EE" w14:textId="77777777" w:rsidR="00056020" w:rsidRPr="007724D7" w:rsidRDefault="00056020" w:rsidP="00056020">
                  <w:pPr>
                    <w:ind w:right="161"/>
                    <w:jc w:val="both"/>
                  </w:pPr>
                  <w:r w:rsidRPr="007724D7">
                    <w:t>Plakani citādu leģēto tēraudu velmējumi ar platumu 600 mm vai vairāk</w:t>
                  </w:r>
                </w:p>
              </w:tc>
            </w:tr>
            <w:tr w:rsidR="00056020" w:rsidRPr="002F0075" w14:paraId="34A5BE83" w14:textId="77777777" w:rsidTr="00056020">
              <w:tc>
                <w:tcPr>
                  <w:tcW w:w="1665" w:type="dxa"/>
                  <w:shd w:val="clear" w:color="auto" w:fill="auto"/>
                </w:tcPr>
                <w:p w14:paraId="50CD8C63" w14:textId="77777777" w:rsidR="00056020" w:rsidRPr="007724D7" w:rsidRDefault="00056020" w:rsidP="00056020">
                  <w:pPr>
                    <w:ind w:right="161"/>
                    <w:jc w:val="center"/>
                  </w:pPr>
                  <w:r w:rsidRPr="007724D7">
                    <w:t>7226</w:t>
                  </w:r>
                </w:p>
              </w:tc>
              <w:tc>
                <w:tcPr>
                  <w:tcW w:w="4617" w:type="dxa"/>
                  <w:shd w:val="clear" w:color="auto" w:fill="auto"/>
                </w:tcPr>
                <w:p w14:paraId="788F831C" w14:textId="77777777" w:rsidR="00056020" w:rsidRPr="007724D7" w:rsidRDefault="00056020" w:rsidP="00056020">
                  <w:pPr>
                    <w:ind w:right="161"/>
                    <w:jc w:val="both"/>
                  </w:pPr>
                  <w:r w:rsidRPr="007724D7">
                    <w:t>Plakani citu leģēto tēraudu velmējumi, ar platumu mazāk nekā 600 mm</w:t>
                  </w:r>
                </w:p>
              </w:tc>
            </w:tr>
            <w:tr w:rsidR="00056020" w:rsidRPr="002F0075" w14:paraId="7C8D621C" w14:textId="77777777" w:rsidTr="00056020">
              <w:tc>
                <w:tcPr>
                  <w:tcW w:w="1665" w:type="dxa"/>
                  <w:shd w:val="clear" w:color="auto" w:fill="auto"/>
                </w:tcPr>
                <w:p w14:paraId="7131F9F9" w14:textId="77777777" w:rsidR="00056020" w:rsidRPr="007724D7" w:rsidRDefault="00056020" w:rsidP="00056020">
                  <w:pPr>
                    <w:ind w:right="161"/>
                    <w:jc w:val="center"/>
                  </w:pPr>
                  <w:r w:rsidRPr="007724D7">
                    <w:t>7228</w:t>
                  </w:r>
                </w:p>
              </w:tc>
              <w:tc>
                <w:tcPr>
                  <w:tcW w:w="4617" w:type="dxa"/>
                  <w:shd w:val="clear" w:color="auto" w:fill="auto"/>
                </w:tcPr>
                <w:p w14:paraId="254FAC30" w14:textId="77777777" w:rsidR="00056020" w:rsidRPr="007724D7" w:rsidRDefault="00056020" w:rsidP="00056020">
                  <w:pPr>
                    <w:ind w:right="161"/>
                    <w:jc w:val="both"/>
                  </w:pPr>
                  <w:r w:rsidRPr="007724D7">
                    <w:t xml:space="preserve">Citu leģēto tēraudu stieņi; citu leģēto tēraudu leņķi, </w:t>
                  </w:r>
                  <w:proofErr w:type="spellStart"/>
                  <w:r w:rsidRPr="007724D7">
                    <w:t>fasonprofili</w:t>
                  </w:r>
                  <w:proofErr w:type="spellEnd"/>
                  <w:r w:rsidRPr="007724D7">
                    <w:t xml:space="preserve"> un speciālie profili; dobi leģētā un neleģētā tērauda stieņi</w:t>
                  </w:r>
                </w:p>
              </w:tc>
            </w:tr>
            <w:tr w:rsidR="00056020" w:rsidRPr="002F0075" w14:paraId="343F106E" w14:textId="77777777" w:rsidTr="00056020">
              <w:tc>
                <w:tcPr>
                  <w:tcW w:w="1665" w:type="dxa"/>
                  <w:shd w:val="clear" w:color="auto" w:fill="auto"/>
                </w:tcPr>
                <w:p w14:paraId="1A7D8482" w14:textId="0DF51926" w:rsidR="00056020" w:rsidRPr="007724D7" w:rsidRDefault="00056020" w:rsidP="00056020">
                  <w:pPr>
                    <w:ind w:right="161"/>
                    <w:jc w:val="center"/>
                  </w:pPr>
                  <w:r w:rsidRPr="007724D7">
                    <w:t>7407</w:t>
                  </w:r>
                </w:p>
              </w:tc>
              <w:tc>
                <w:tcPr>
                  <w:tcW w:w="4617" w:type="dxa"/>
                  <w:shd w:val="clear" w:color="auto" w:fill="auto"/>
                </w:tcPr>
                <w:p w14:paraId="5C514132" w14:textId="3C6E3064" w:rsidR="00056020" w:rsidRPr="007724D7" w:rsidRDefault="00056020" w:rsidP="00056020">
                  <w:pPr>
                    <w:ind w:right="161"/>
                    <w:jc w:val="both"/>
                  </w:pPr>
                  <w:r w:rsidRPr="007724D7">
                    <w:t>Vara stieņi un profili</w:t>
                  </w:r>
                </w:p>
              </w:tc>
            </w:tr>
            <w:tr w:rsidR="00056020" w:rsidRPr="002F0075" w14:paraId="7D85CE13" w14:textId="77777777" w:rsidTr="00056020">
              <w:tc>
                <w:tcPr>
                  <w:tcW w:w="1665" w:type="dxa"/>
                  <w:shd w:val="clear" w:color="auto" w:fill="auto"/>
                </w:tcPr>
                <w:p w14:paraId="4EE48470" w14:textId="77777777" w:rsidR="00056020" w:rsidRPr="007724D7" w:rsidRDefault="00056020" w:rsidP="00056020">
                  <w:pPr>
                    <w:ind w:right="161"/>
                    <w:jc w:val="center"/>
                  </w:pPr>
                  <w:r w:rsidRPr="007724D7">
                    <w:t>7604</w:t>
                  </w:r>
                </w:p>
              </w:tc>
              <w:tc>
                <w:tcPr>
                  <w:tcW w:w="4617" w:type="dxa"/>
                  <w:shd w:val="clear" w:color="auto" w:fill="auto"/>
                </w:tcPr>
                <w:p w14:paraId="2FB99494" w14:textId="77777777" w:rsidR="00056020" w:rsidRPr="007724D7" w:rsidRDefault="00056020" w:rsidP="00056020">
                  <w:pPr>
                    <w:ind w:right="161"/>
                    <w:jc w:val="both"/>
                  </w:pPr>
                  <w:r w:rsidRPr="007724D7">
                    <w:t>Alumīnija stieņi un profili</w:t>
                  </w:r>
                </w:p>
              </w:tc>
            </w:tr>
          </w:tbl>
          <w:p w14:paraId="23D8FBD0" w14:textId="13258E60" w:rsidR="008F3B83" w:rsidRPr="002F0075" w:rsidRDefault="008F3B83" w:rsidP="00F00085">
            <w:pPr>
              <w:pStyle w:val="BodyText2"/>
              <w:ind w:right="125" w:firstLine="397"/>
              <w:rPr>
                <w:b w:val="0"/>
              </w:rPr>
            </w:pPr>
            <w:r w:rsidRPr="002F0075">
              <w:rPr>
                <w:b w:val="0"/>
              </w:rPr>
              <w:t>5.</w:t>
            </w:r>
            <w:r w:rsidR="00F1551D" w:rsidRPr="002F0075">
              <w:rPr>
                <w:b w:val="0"/>
              </w:rPr>
              <w:t> </w:t>
            </w:r>
            <w:r w:rsidR="000C01F9">
              <w:rPr>
                <w:b w:val="0"/>
              </w:rPr>
              <w:t>EST</w:t>
            </w:r>
            <w:r w:rsidRPr="002F0075">
              <w:rPr>
                <w:b w:val="0"/>
              </w:rPr>
              <w:t xml:space="preserve"> </w:t>
            </w:r>
            <w:r w:rsidR="00BC2B07" w:rsidRPr="002F0075">
              <w:rPr>
                <w:b w:val="0"/>
              </w:rPr>
              <w:t>lietā C-326/15 DNB</w:t>
            </w:r>
            <w:r w:rsidR="006D2490">
              <w:rPr>
                <w:b w:val="0"/>
              </w:rPr>
              <w:t> </w:t>
            </w:r>
            <w:r w:rsidR="00BC2B07" w:rsidRPr="002F0075">
              <w:rPr>
                <w:b w:val="0"/>
              </w:rPr>
              <w:t xml:space="preserve">Banka un </w:t>
            </w:r>
            <w:r w:rsidR="007117BD" w:rsidRPr="002F0075">
              <w:rPr>
                <w:b w:val="0"/>
              </w:rPr>
              <w:t xml:space="preserve">lietā </w:t>
            </w:r>
            <w:r w:rsidR="00BC2B07" w:rsidRPr="002F0075">
              <w:rPr>
                <w:b w:val="0"/>
              </w:rPr>
              <w:t xml:space="preserve">C-605/15 Aviva </w:t>
            </w:r>
            <w:r w:rsidR="007117BD" w:rsidRPr="002F0075">
              <w:rPr>
                <w:b w:val="0"/>
              </w:rPr>
              <w:t xml:space="preserve">Direktīvas 2006/112/EK 132.panta 1.punkta “f” apakšpunktā noteiktā </w:t>
            </w:r>
            <w:r w:rsidR="00BC2B07" w:rsidRPr="002F0075">
              <w:rPr>
                <w:b w:val="0"/>
              </w:rPr>
              <w:t xml:space="preserve">PVN atbrīvojuma piemērošanu izmaksu pārdales grupas ietvaros veiktajiem darījumiem interpretēja šauri, to neattiecinot uz finanšu un apdrošināšanas jomu. </w:t>
            </w:r>
            <w:r w:rsidR="000200F4">
              <w:rPr>
                <w:b w:val="0"/>
              </w:rPr>
              <w:t xml:space="preserve">Papildus </w:t>
            </w:r>
            <w:proofErr w:type="spellStart"/>
            <w:r w:rsidR="000200F4">
              <w:rPr>
                <w:b w:val="0"/>
              </w:rPr>
              <w:t>ģ</w:t>
            </w:r>
            <w:r w:rsidR="006D2490">
              <w:rPr>
                <w:b w:val="0"/>
              </w:rPr>
              <w:t>enerāladvokāte</w:t>
            </w:r>
            <w:r w:rsidR="00A16D4B">
              <w:rPr>
                <w:b w:val="0"/>
              </w:rPr>
              <w:t>s</w:t>
            </w:r>
            <w:proofErr w:type="spellEnd"/>
            <w:r w:rsidR="006D2490">
              <w:rPr>
                <w:b w:val="0"/>
              </w:rPr>
              <w:t xml:space="preserve"> </w:t>
            </w:r>
            <w:proofErr w:type="spellStart"/>
            <w:r w:rsidR="006D2490">
              <w:rPr>
                <w:b w:val="0"/>
              </w:rPr>
              <w:t>J.Kokote</w:t>
            </w:r>
            <w:r w:rsidR="00A16D4B">
              <w:rPr>
                <w:b w:val="0"/>
              </w:rPr>
              <w:t>s</w:t>
            </w:r>
            <w:proofErr w:type="spellEnd"/>
            <w:r w:rsidR="006D2490">
              <w:rPr>
                <w:b w:val="0"/>
              </w:rPr>
              <w:t xml:space="preserve"> secinājum</w:t>
            </w:r>
            <w:r w:rsidR="00A16D4B">
              <w:rPr>
                <w:b w:val="0"/>
              </w:rPr>
              <w:t>os</w:t>
            </w:r>
            <w:r w:rsidR="000200F4">
              <w:rPr>
                <w:b w:val="0"/>
              </w:rPr>
              <w:t xml:space="preserve">, kas sniegti </w:t>
            </w:r>
            <w:r w:rsidR="006D2490">
              <w:rPr>
                <w:b w:val="0"/>
              </w:rPr>
              <w:t>lietā</w:t>
            </w:r>
            <w:r w:rsidR="000C01F9">
              <w:rPr>
                <w:b w:val="0"/>
              </w:rPr>
              <w:br/>
            </w:r>
            <w:r w:rsidR="006D2490">
              <w:rPr>
                <w:b w:val="0"/>
              </w:rPr>
              <w:t xml:space="preserve"> C-326/15 DNB Banka</w:t>
            </w:r>
            <w:r w:rsidR="000200F4">
              <w:rPr>
                <w:b w:val="0"/>
              </w:rPr>
              <w:t xml:space="preserve"> un lietā C-605/15 Aviva, </w:t>
            </w:r>
            <w:r w:rsidR="00A16D4B">
              <w:rPr>
                <w:b w:val="0"/>
              </w:rPr>
              <w:t>(</w:t>
            </w:r>
            <w:r w:rsidR="000200F4">
              <w:rPr>
                <w:b w:val="0"/>
              </w:rPr>
              <w:t>attiecīgi 47.punktā un 36.punktā</w:t>
            </w:r>
            <w:r w:rsidR="00A16D4B">
              <w:rPr>
                <w:b w:val="0"/>
              </w:rPr>
              <w:t>),</w:t>
            </w:r>
            <w:r w:rsidR="000200F4">
              <w:rPr>
                <w:b w:val="0"/>
              </w:rPr>
              <w:t xml:space="preserve"> analizēj</w:t>
            </w:r>
            <w:r w:rsidR="00A16D4B">
              <w:rPr>
                <w:b w:val="0"/>
              </w:rPr>
              <w:t>ot</w:t>
            </w:r>
            <w:r w:rsidR="000200F4">
              <w:rPr>
                <w:b w:val="0"/>
              </w:rPr>
              <w:t xml:space="preserve"> š</w:t>
            </w:r>
            <w:r w:rsidR="004C6A47">
              <w:rPr>
                <w:b w:val="0"/>
              </w:rPr>
              <w:t>ā</w:t>
            </w:r>
            <w:r w:rsidR="000200F4">
              <w:rPr>
                <w:b w:val="0"/>
              </w:rPr>
              <w:t xml:space="preserve"> atbrīvojuma tvērumu,</w:t>
            </w:r>
            <w:r w:rsidR="006D2490">
              <w:rPr>
                <w:b w:val="0"/>
              </w:rPr>
              <w:t xml:space="preserve"> </w:t>
            </w:r>
            <w:r w:rsidR="00A16D4B">
              <w:rPr>
                <w:b w:val="0"/>
              </w:rPr>
              <w:t>norāda</w:t>
            </w:r>
            <w:r w:rsidR="000200F4">
              <w:rPr>
                <w:b w:val="0"/>
              </w:rPr>
              <w:t xml:space="preserve">, ka no </w:t>
            </w:r>
            <w:r w:rsidR="003F1AC1">
              <w:rPr>
                <w:b w:val="0"/>
              </w:rPr>
              <w:t>D</w:t>
            </w:r>
            <w:r w:rsidR="000200F4">
              <w:rPr>
                <w:b w:val="0"/>
              </w:rPr>
              <w:t xml:space="preserve">irektīvas </w:t>
            </w:r>
            <w:r w:rsidR="003F1AC1">
              <w:rPr>
                <w:b w:val="0"/>
              </w:rPr>
              <w:t>2</w:t>
            </w:r>
            <w:r w:rsidR="00A35A8C">
              <w:rPr>
                <w:b w:val="0"/>
              </w:rPr>
              <w:t>0</w:t>
            </w:r>
            <w:r w:rsidR="003F1AC1">
              <w:rPr>
                <w:b w:val="0"/>
              </w:rPr>
              <w:t xml:space="preserve">06/112/EK </w:t>
            </w:r>
            <w:r w:rsidR="000200F4">
              <w:rPr>
                <w:b w:val="0"/>
              </w:rPr>
              <w:t xml:space="preserve">nav secināms, ka tās 132.panta 1.punkta “f” apakšpunktā paredzētais atbrīvojums būtu piemērojams pārrobežu mērogā. </w:t>
            </w:r>
            <w:r w:rsidR="007724D7" w:rsidRPr="002F0075">
              <w:rPr>
                <w:b w:val="0"/>
              </w:rPr>
              <w:t>Līdz E</w:t>
            </w:r>
            <w:r w:rsidR="000C01F9">
              <w:rPr>
                <w:b w:val="0"/>
              </w:rPr>
              <w:t xml:space="preserve">ST </w:t>
            </w:r>
            <w:r w:rsidR="007724D7" w:rsidRPr="002F0075">
              <w:rPr>
                <w:b w:val="0"/>
              </w:rPr>
              <w:t>spriedum</w:t>
            </w:r>
            <w:r w:rsidR="007724D7">
              <w:rPr>
                <w:b w:val="0"/>
              </w:rPr>
              <w:t>a lietā C-326/15 DNB Banka un sprieduma lietā C-605/15 Aviva</w:t>
            </w:r>
            <w:r w:rsidR="007724D7" w:rsidRPr="002F0075">
              <w:rPr>
                <w:b w:val="0"/>
              </w:rPr>
              <w:t xml:space="preserve"> pasludināšanai tika uzskatīts, ka Direktīvas 2006/112/EK 132.panta 1.punkta “f” apakšpunkts ir pārņemts Pievienotās vērtības nodokļa likuma 52.panta 3.</w:t>
            </w:r>
            <w:r w:rsidR="007724D7" w:rsidRPr="002F0075">
              <w:rPr>
                <w:b w:val="0"/>
                <w:vertAlign w:val="superscript"/>
              </w:rPr>
              <w:t>2</w:t>
            </w:r>
            <w:r w:rsidR="007724D7" w:rsidRPr="002F0075">
              <w:rPr>
                <w:b w:val="0"/>
              </w:rPr>
              <w:t> - 3.</w:t>
            </w:r>
            <w:r w:rsidR="007724D7" w:rsidRPr="002F0075">
              <w:rPr>
                <w:b w:val="0"/>
                <w:vertAlign w:val="superscript"/>
              </w:rPr>
              <w:t>4</w:t>
            </w:r>
            <w:r w:rsidR="007724D7" w:rsidRPr="002F0075">
              <w:rPr>
                <w:b w:val="0"/>
              </w:rPr>
              <w:t xml:space="preserve"> daļā. </w:t>
            </w:r>
            <w:r w:rsidR="007724D7">
              <w:rPr>
                <w:b w:val="0"/>
              </w:rPr>
              <w:t xml:space="preserve">Lai Pievienotās vērtības nodokļa likums atbilstu </w:t>
            </w:r>
            <w:r w:rsidR="003F3EA8">
              <w:rPr>
                <w:b w:val="0"/>
              </w:rPr>
              <w:t>EST</w:t>
            </w:r>
            <w:r w:rsidR="007724D7">
              <w:rPr>
                <w:b w:val="0"/>
              </w:rPr>
              <w:t xml:space="preserve"> spriedumā</w:t>
            </w:r>
            <w:r w:rsidR="007724D7" w:rsidRPr="002F0075">
              <w:rPr>
                <w:b w:val="0"/>
              </w:rPr>
              <w:t xml:space="preserve"> lietā C-326/15 DNB</w:t>
            </w:r>
            <w:r w:rsidR="007724D7">
              <w:rPr>
                <w:b w:val="0"/>
              </w:rPr>
              <w:t> </w:t>
            </w:r>
            <w:r w:rsidR="007724D7" w:rsidRPr="002F0075">
              <w:rPr>
                <w:b w:val="0"/>
              </w:rPr>
              <w:t xml:space="preserve">Banka un </w:t>
            </w:r>
            <w:r w:rsidR="007724D7">
              <w:rPr>
                <w:b w:val="0"/>
              </w:rPr>
              <w:t xml:space="preserve">spriedumā </w:t>
            </w:r>
            <w:r w:rsidR="007724D7" w:rsidRPr="002F0075">
              <w:rPr>
                <w:b w:val="0"/>
              </w:rPr>
              <w:t>lietā C-605/15 Aviva</w:t>
            </w:r>
            <w:r w:rsidR="007724D7">
              <w:rPr>
                <w:b w:val="0"/>
              </w:rPr>
              <w:t xml:space="preserve"> nolemtajam,</w:t>
            </w:r>
            <w:r w:rsidR="00A16D4B">
              <w:rPr>
                <w:b w:val="0"/>
              </w:rPr>
              <w:t xml:space="preserve"> kā arī atbrīvojuma būtībai</w:t>
            </w:r>
            <w:r w:rsidR="006810D9">
              <w:rPr>
                <w:b w:val="0"/>
              </w:rPr>
              <w:t xml:space="preserve"> un tam, ka </w:t>
            </w:r>
            <w:r w:rsidR="002C6BCC">
              <w:rPr>
                <w:b w:val="0"/>
              </w:rPr>
              <w:t xml:space="preserve">PVN </w:t>
            </w:r>
            <w:r w:rsidR="006810D9">
              <w:rPr>
                <w:b w:val="0"/>
              </w:rPr>
              <w:t>atbrīvojumi ir piemērojami šauri</w:t>
            </w:r>
            <w:r w:rsidR="00A16D4B">
              <w:rPr>
                <w:b w:val="0"/>
              </w:rPr>
              <w:t>,</w:t>
            </w:r>
            <w:r w:rsidR="007724D7">
              <w:rPr>
                <w:b w:val="0"/>
              </w:rPr>
              <w:t xml:space="preserve"> </w:t>
            </w:r>
            <w:r w:rsidR="00A16D4B">
              <w:rPr>
                <w:b w:val="0"/>
              </w:rPr>
              <w:t xml:space="preserve">ir jāprecizē </w:t>
            </w:r>
            <w:r w:rsidR="000200F4">
              <w:rPr>
                <w:b w:val="0"/>
              </w:rPr>
              <w:t xml:space="preserve">Pievienotās vērtības nodokļa </w:t>
            </w:r>
            <w:r w:rsidR="00A16D4B">
              <w:rPr>
                <w:b w:val="0"/>
              </w:rPr>
              <w:t>likums</w:t>
            </w:r>
            <w:r w:rsidR="004A7273">
              <w:rPr>
                <w:b w:val="0"/>
              </w:rPr>
              <w:t>, nosakot</w:t>
            </w:r>
            <w:r w:rsidR="003F1AC1">
              <w:rPr>
                <w:b w:val="0"/>
              </w:rPr>
              <w:t>, ka</w:t>
            </w:r>
            <w:r w:rsidR="004A7273">
              <w:rPr>
                <w:b w:val="0"/>
              </w:rPr>
              <w:t xml:space="preserve"> </w:t>
            </w:r>
            <w:r w:rsidR="000200F4">
              <w:rPr>
                <w:b w:val="0"/>
              </w:rPr>
              <w:t>PVN atbrīvojum</w:t>
            </w:r>
            <w:r w:rsidR="003F1AC1">
              <w:rPr>
                <w:b w:val="0"/>
              </w:rPr>
              <w:t>u</w:t>
            </w:r>
            <w:r w:rsidR="000200F4">
              <w:rPr>
                <w:b w:val="0"/>
              </w:rPr>
              <w:t xml:space="preserve"> piemēro </w:t>
            </w:r>
            <w:r w:rsidR="003B4207">
              <w:rPr>
                <w:b w:val="0"/>
              </w:rPr>
              <w:t xml:space="preserve">neatkarīgās </w:t>
            </w:r>
            <w:r w:rsidR="003B4207">
              <w:rPr>
                <w:b w:val="0"/>
              </w:rPr>
              <w:lastRenderedPageBreak/>
              <w:t xml:space="preserve">personu grupas sniegtajiem </w:t>
            </w:r>
            <w:r w:rsidR="003B4207" w:rsidRPr="003B4207">
              <w:rPr>
                <w:b w:val="0"/>
              </w:rPr>
              <w:t>pakalpojumiem</w:t>
            </w:r>
            <w:r w:rsidR="003B4207">
              <w:rPr>
                <w:b w:val="0"/>
              </w:rPr>
              <w:t xml:space="preserve"> šīs </w:t>
            </w:r>
            <w:r w:rsidR="003B4207" w:rsidRPr="003B4207">
              <w:rPr>
                <w:b w:val="0"/>
              </w:rPr>
              <w:t>grupas dalībniekiem</w:t>
            </w:r>
            <w:r w:rsidR="003B4207">
              <w:rPr>
                <w:b w:val="0"/>
              </w:rPr>
              <w:t>, ja t</w:t>
            </w:r>
            <w:r w:rsidR="003F3EA8">
              <w:rPr>
                <w:b w:val="0"/>
              </w:rPr>
              <w:t>ās</w:t>
            </w:r>
            <w:r w:rsidR="003F1AC1" w:rsidRPr="003B4207">
              <w:rPr>
                <w:b w:val="0"/>
              </w:rPr>
              <w:t xml:space="preserve"> ir personas, kas veic </w:t>
            </w:r>
            <w:r w:rsidR="003B4207">
              <w:rPr>
                <w:b w:val="0"/>
              </w:rPr>
              <w:t xml:space="preserve">Pievienotās vērtības nodokļa </w:t>
            </w:r>
            <w:r w:rsidR="003F1AC1" w:rsidRPr="003B4207">
              <w:rPr>
                <w:b w:val="0"/>
              </w:rPr>
              <w:t xml:space="preserve">likuma 52.panta pirmajā daļā (izņemot šā likuma 52.panta pirmās daļas 2.punktā un no 18. līdz 25.punktā) minētos ar </w:t>
            </w:r>
            <w:r w:rsidR="003B4207">
              <w:rPr>
                <w:b w:val="0"/>
              </w:rPr>
              <w:t>PVN</w:t>
            </w:r>
            <w:r w:rsidR="003F1AC1" w:rsidRPr="003B4207">
              <w:rPr>
                <w:b w:val="0"/>
              </w:rPr>
              <w:t xml:space="preserve"> neapliekamos darījumus</w:t>
            </w:r>
            <w:r w:rsidR="007724D7">
              <w:rPr>
                <w:b w:val="0"/>
              </w:rPr>
              <w:t>,</w:t>
            </w:r>
            <w:r w:rsidR="00794981">
              <w:rPr>
                <w:b w:val="0"/>
              </w:rPr>
              <w:t xml:space="preserve"> un šīs grupas dalībnieki var būt tikai reģistrēti iekšzemes PVN maksātāji.</w:t>
            </w:r>
            <w:r w:rsidR="007724D7">
              <w:rPr>
                <w:b w:val="0"/>
              </w:rPr>
              <w:t xml:space="preserve"> </w:t>
            </w:r>
            <w:r w:rsidR="00DA673C">
              <w:rPr>
                <w:b w:val="0"/>
              </w:rPr>
              <w:t>.</w:t>
            </w:r>
            <w:r w:rsidR="006D2490">
              <w:rPr>
                <w:b w:val="0"/>
              </w:rPr>
              <w:t xml:space="preserve"> </w:t>
            </w:r>
            <w:r w:rsidR="00794981">
              <w:rPr>
                <w:b w:val="0"/>
              </w:rPr>
              <w:t xml:space="preserve">Neatkarīgā personu grupa informē VID par grupas izveidi un grupas dalībniekiem, iesniedzot iesniegumu brīvā formā un pievienojot </w:t>
            </w:r>
            <w:r w:rsidR="00794981" w:rsidRPr="00794981">
              <w:rPr>
                <w:b w:val="0"/>
              </w:rPr>
              <w:t>rakstveida vienošanos par pakalpojumu sniegšanu, ko neatkarīgā personu grupa sniedz šīs grupas dalībniekiem</w:t>
            </w:r>
            <w:r w:rsidR="00794981">
              <w:rPr>
                <w:b w:val="0"/>
              </w:rPr>
              <w:t>.</w:t>
            </w:r>
          </w:p>
          <w:p w14:paraId="3E132906" w14:textId="193F97CE" w:rsidR="002F0075" w:rsidRPr="00F00085" w:rsidRDefault="00201A82" w:rsidP="002F0075">
            <w:pPr>
              <w:ind w:firstLine="371"/>
              <w:contextualSpacing/>
              <w:jc w:val="both"/>
              <w:rPr>
                <w:lang w:eastAsia="en-US"/>
              </w:rPr>
            </w:pPr>
            <w:r>
              <w:rPr>
                <w:lang w:eastAsia="en-US"/>
              </w:rPr>
              <w:t>6</w:t>
            </w:r>
            <w:r w:rsidR="002F0075" w:rsidRPr="00F00085">
              <w:rPr>
                <w:lang w:eastAsia="en-US"/>
              </w:rPr>
              <w:t xml:space="preserve">. Pievienotās vērtības nodokļa likumā lietotajai redakcijai par apgrozījuma sliekšņa vērtību reģistrācijai VID PVN maksātāju reģistrā ir jābūt skaidrai un vienotai visā likuma tekstā. </w:t>
            </w:r>
          </w:p>
          <w:p w14:paraId="1A0B82CF" w14:textId="4271C409" w:rsidR="002F0075" w:rsidRDefault="002F0075" w:rsidP="001A0BFE">
            <w:pPr>
              <w:ind w:firstLine="371"/>
              <w:contextualSpacing/>
              <w:jc w:val="both"/>
              <w:rPr>
                <w:lang w:eastAsia="en-US"/>
              </w:rPr>
            </w:pPr>
            <w:r w:rsidRPr="00F00085">
              <w:rPr>
                <w:lang w:eastAsia="en-US"/>
              </w:rPr>
              <w:t xml:space="preserve">Pievienotās vērtības nodokļa likuma </w:t>
            </w:r>
            <w:r w:rsidRPr="00454AC7">
              <w:rPr>
                <w:lang w:eastAsia="en-US"/>
              </w:rPr>
              <w:t xml:space="preserve">77.panta </w:t>
            </w:r>
            <w:r w:rsidRPr="00F00085">
              <w:rPr>
                <w:lang w:eastAsia="en-US"/>
              </w:rPr>
              <w:t xml:space="preserve">redakcija ir skatāma kontekstā ar to, ko nosaka Padomes Īstenošanas lēmums, ar ko Latvijas Republikai atļauts piemērot īpašu pasākumu, atkāpjoties no 287.panta Direktīvā 2006/112/EK par kopējo pievienotās vērtības nodokļa sistēmu. Lēmums nosaka, ka Latvijas Republikai atļauj atbrīvot no PVN nodokļu maksātājus, kuru gada apgrozījums nav lielāks par 40 000 </w:t>
            </w:r>
            <w:proofErr w:type="spellStart"/>
            <w:r w:rsidRPr="00F00085">
              <w:rPr>
                <w:i/>
                <w:lang w:eastAsia="en-US"/>
              </w:rPr>
              <w:t>euro</w:t>
            </w:r>
            <w:proofErr w:type="spellEnd"/>
            <w:r w:rsidRPr="00F00085">
              <w:rPr>
                <w:lang w:eastAsia="en-US"/>
              </w:rPr>
              <w:t xml:space="preserve">. </w:t>
            </w:r>
            <w:r w:rsidR="00212CF6">
              <w:rPr>
                <w:lang w:eastAsia="en-US"/>
              </w:rPr>
              <w:t xml:space="preserve">Vienlaikus </w:t>
            </w:r>
            <w:r w:rsidRPr="00F00085">
              <w:rPr>
                <w:lang w:eastAsia="en-US"/>
              </w:rPr>
              <w:t xml:space="preserve">arī </w:t>
            </w:r>
            <w:proofErr w:type="spellStart"/>
            <w:r w:rsidRPr="00F00085">
              <w:rPr>
                <w:lang w:eastAsia="en-US"/>
              </w:rPr>
              <w:t>Mikrouzņēmumu</w:t>
            </w:r>
            <w:proofErr w:type="spellEnd"/>
            <w:r w:rsidRPr="00F00085">
              <w:rPr>
                <w:lang w:eastAsia="en-US"/>
              </w:rPr>
              <w:t xml:space="preserve"> nodokļa likuma 1.panta 1.punkta “b” apakšpunktā ir noteikts, ka </w:t>
            </w:r>
            <w:proofErr w:type="spellStart"/>
            <w:r w:rsidRPr="00F00085">
              <w:rPr>
                <w:lang w:eastAsia="en-US"/>
              </w:rPr>
              <w:t>mikrouzņēmumam</w:t>
            </w:r>
            <w:proofErr w:type="spellEnd"/>
            <w:r w:rsidRPr="00F00085">
              <w:rPr>
                <w:lang w:eastAsia="en-US"/>
              </w:rPr>
              <w:t xml:space="preserve"> ir jāatbilst kritērijam, ka tā apgrozījums kalendāra gadā nepārsniedz </w:t>
            </w:r>
            <w:r w:rsidR="007B0F97">
              <w:rPr>
                <w:lang w:eastAsia="en-US"/>
              </w:rPr>
              <w:br/>
            </w:r>
            <w:r w:rsidRPr="00F00085">
              <w:rPr>
                <w:lang w:eastAsia="en-US"/>
              </w:rPr>
              <w:t xml:space="preserve">40 000 </w:t>
            </w:r>
            <w:proofErr w:type="spellStart"/>
            <w:r w:rsidRPr="00F00085">
              <w:rPr>
                <w:i/>
                <w:lang w:eastAsia="en-US"/>
              </w:rPr>
              <w:t>euro</w:t>
            </w:r>
            <w:proofErr w:type="spellEnd"/>
            <w:r w:rsidRPr="00F00085">
              <w:rPr>
                <w:lang w:eastAsia="en-US"/>
              </w:rPr>
              <w:t xml:space="preserve">. Ieviešot 40 000 </w:t>
            </w:r>
            <w:proofErr w:type="spellStart"/>
            <w:r w:rsidRPr="00F00085">
              <w:rPr>
                <w:i/>
                <w:lang w:eastAsia="en-US"/>
              </w:rPr>
              <w:t>euro</w:t>
            </w:r>
            <w:proofErr w:type="spellEnd"/>
            <w:r w:rsidRPr="00F00085">
              <w:rPr>
                <w:lang w:eastAsia="en-US"/>
              </w:rPr>
              <w:t xml:space="preserve"> apgrozījuma slieksni PVN jomā, tas tika saskaņots ar </w:t>
            </w:r>
            <w:proofErr w:type="spellStart"/>
            <w:r w:rsidRPr="00F00085">
              <w:rPr>
                <w:lang w:eastAsia="en-US"/>
              </w:rPr>
              <w:t>Mikrouzņēmumu</w:t>
            </w:r>
            <w:proofErr w:type="spellEnd"/>
            <w:r w:rsidRPr="00F00085">
              <w:rPr>
                <w:lang w:eastAsia="en-US"/>
              </w:rPr>
              <w:t xml:space="preserve"> nodokļa lik</w:t>
            </w:r>
            <w:r w:rsidRPr="002F0075">
              <w:rPr>
                <w:lang w:eastAsia="en-US"/>
              </w:rPr>
              <w:t>umā minēto apgrozījuma slieksni un t</w:t>
            </w:r>
            <w:r>
              <w:rPr>
                <w:lang w:eastAsia="en-US"/>
              </w:rPr>
              <w:t xml:space="preserve">ādējādi arī nosacījumam attiecībā uz konkrētas vērtības sasniegšanu ir jāatbilst </w:t>
            </w:r>
            <w:r w:rsidRPr="002F0075">
              <w:rPr>
                <w:lang w:eastAsia="en-US"/>
              </w:rPr>
              <w:t>minētajam lēmumam un</w:t>
            </w:r>
            <w:r w:rsidRPr="00F00085">
              <w:rPr>
                <w:lang w:eastAsia="en-US"/>
              </w:rPr>
              <w:t xml:space="preserve"> Pievienotās vērtības nodokļa likuma 59.panta pirmajai daļai.</w:t>
            </w:r>
            <w:r w:rsidR="00212CF6">
              <w:rPr>
                <w:lang w:eastAsia="en-US"/>
              </w:rPr>
              <w:t xml:space="preserve"> Lai nodrošinātu šādu atbilstību ir nepieciešams Pievienotās vērtības nodokļa likuma 77.pantā vārdu “nesasniedz” aizstāt ar vārdu “nepārsniedz”.</w:t>
            </w:r>
          </w:p>
          <w:p w14:paraId="217A7340" w14:textId="44444899" w:rsidR="007E2B61" w:rsidRPr="00C01C06" w:rsidRDefault="006C39F9" w:rsidP="001A0BFE">
            <w:pPr>
              <w:ind w:firstLine="371"/>
              <w:contextualSpacing/>
              <w:jc w:val="both"/>
              <w:rPr>
                <w:lang w:eastAsia="en-US"/>
              </w:rPr>
            </w:pPr>
            <w:r w:rsidRPr="00F9689B">
              <w:rPr>
                <w:lang w:eastAsia="en-US"/>
              </w:rPr>
              <w:t xml:space="preserve">7. Ar likumprojektu tiek precizētas normas attiecībā uz </w:t>
            </w:r>
            <w:r w:rsidR="00FB6AA7" w:rsidRPr="00F9689B">
              <w:rPr>
                <w:lang w:eastAsia="en-US"/>
              </w:rPr>
              <w:t xml:space="preserve">apgrieztās jeb reversās </w:t>
            </w:r>
            <w:r w:rsidRPr="00F9689B">
              <w:rPr>
                <w:lang w:eastAsia="en-US"/>
              </w:rPr>
              <w:t xml:space="preserve">PVN maksāšanas kārtības normu tvērumu, atbilstoši </w:t>
            </w:r>
            <w:r w:rsidR="00F268B9">
              <w:rPr>
                <w:lang w:eastAsia="en-US"/>
              </w:rPr>
              <w:t>EK</w:t>
            </w:r>
            <w:r w:rsidRPr="00F9689B">
              <w:rPr>
                <w:lang w:eastAsia="en-US"/>
              </w:rPr>
              <w:t xml:space="preserve"> paustajam viedoklim un </w:t>
            </w:r>
            <w:r w:rsidR="003F7A86" w:rsidRPr="00F9689B">
              <w:rPr>
                <w:lang w:eastAsia="en-US"/>
              </w:rPr>
              <w:t>formālajam paziņojumam</w:t>
            </w:r>
            <w:r w:rsidRPr="00F9689B">
              <w:rPr>
                <w:lang w:eastAsia="en-US"/>
              </w:rPr>
              <w:t xml:space="preserve"> pārkāpumu proced</w:t>
            </w:r>
            <w:r w:rsidR="003F7A86" w:rsidRPr="00F9689B">
              <w:rPr>
                <w:lang w:eastAsia="en-US"/>
              </w:rPr>
              <w:t>ūras lietā Nr.</w:t>
            </w:r>
            <w:r w:rsidRPr="00F9689B">
              <w:rPr>
                <w:lang w:eastAsia="en-US"/>
              </w:rPr>
              <w:t xml:space="preserve">2018/2149. Ievērojot to, ka EK nav </w:t>
            </w:r>
            <w:r w:rsidR="00FB6AA7" w:rsidRPr="00F9689B">
              <w:rPr>
                <w:lang w:eastAsia="en-US"/>
              </w:rPr>
              <w:t>piešķīrusi atļauju</w:t>
            </w:r>
            <w:r w:rsidRPr="00F9689B">
              <w:rPr>
                <w:lang w:eastAsia="en-US"/>
              </w:rPr>
              <w:t xml:space="preserve"> Latvijai ieviest apgriezto jeb reverso PVN maksāšanas kārtību būvizstrādājumu</w:t>
            </w:r>
            <w:r w:rsidR="00F268B9">
              <w:rPr>
                <w:lang w:eastAsia="en-US"/>
              </w:rPr>
              <w:t>,</w:t>
            </w:r>
            <w:r w:rsidRPr="00F9689B">
              <w:rPr>
                <w:lang w:eastAsia="en-US"/>
              </w:rPr>
              <w:t xml:space="preserve"> </w:t>
            </w:r>
            <w:r w:rsidR="00A409EE" w:rsidRPr="00F9689B">
              <w:rPr>
                <w:lang w:eastAsia="en-US"/>
              </w:rPr>
              <w:t xml:space="preserve">sadzīves elektronisko iekārtu un sadzīves elektriskās aparatūras </w:t>
            </w:r>
            <w:r w:rsidRPr="00F9689B">
              <w:rPr>
                <w:lang w:eastAsia="en-US"/>
              </w:rPr>
              <w:t>piegādēm, tiek precizē</w:t>
            </w:r>
            <w:r w:rsidR="00FB6AA7" w:rsidRPr="00F9689B">
              <w:rPr>
                <w:lang w:eastAsia="en-US"/>
              </w:rPr>
              <w:t>t</w:t>
            </w:r>
            <w:r w:rsidRPr="00F9689B">
              <w:rPr>
                <w:lang w:eastAsia="en-US"/>
              </w:rPr>
              <w:t xml:space="preserve">s </w:t>
            </w:r>
            <w:r w:rsidR="00FB6AA7" w:rsidRPr="00F9689B">
              <w:rPr>
                <w:lang w:eastAsia="en-US"/>
              </w:rPr>
              <w:t xml:space="preserve">normatīvais </w:t>
            </w:r>
            <w:r w:rsidRPr="00F9689B">
              <w:rPr>
                <w:lang w:eastAsia="en-US"/>
              </w:rPr>
              <w:t xml:space="preserve">regulējums, nosakot, ka 2018.gada 1.janvārī ieviestā apgrieztā jeb reversā PVN maksāšanas kārtība būvizstrādājumu un sadzīves elektronikas nozarē </w:t>
            </w:r>
            <w:r w:rsidR="005C3D36" w:rsidRPr="00F9689B">
              <w:rPr>
                <w:lang w:eastAsia="en-US"/>
              </w:rPr>
              <w:t>ir piemērojama līdz</w:t>
            </w:r>
            <w:r w:rsidRPr="00F9689B">
              <w:rPr>
                <w:lang w:eastAsia="en-US"/>
              </w:rPr>
              <w:t xml:space="preserve"> 20</w:t>
            </w:r>
            <w:r w:rsidR="005C3D36" w:rsidRPr="00F9689B">
              <w:rPr>
                <w:lang w:eastAsia="en-US"/>
              </w:rPr>
              <w:t>19</w:t>
            </w:r>
            <w:r w:rsidRPr="00F9689B">
              <w:rPr>
                <w:lang w:eastAsia="en-US"/>
              </w:rPr>
              <w:t xml:space="preserve">.gada </w:t>
            </w:r>
            <w:r w:rsidR="005C3D36" w:rsidRPr="00F9689B">
              <w:rPr>
                <w:lang w:eastAsia="en-US"/>
              </w:rPr>
              <w:t>3</w:t>
            </w:r>
            <w:r w:rsidRPr="00F9689B">
              <w:rPr>
                <w:lang w:eastAsia="en-US"/>
              </w:rPr>
              <w:t>1.</w:t>
            </w:r>
            <w:r w:rsidR="005C3D36" w:rsidRPr="00F9689B">
              <w:rPr>
                <w:lang w:eastAsia="en-US"/>
              </w:rPr>
              <w:t>decembrim.</w:t>
            </w:r>
            <w:r w:rsidRPr="002B393D">
              <w:rPr>
                <w:lang w:eastAsia="en-US"/>
              </w:rPr>
              <w:t xml:space="preserve"> </w:t>
            </w:r>
            <w:r w:rsidR="00C01C06">
              <w:rPr>
                <w:lang w:eastAsia="en-US"/>
              </w:rPr>
              <w:t xml:space="preserve">Ieviešot minēto regulējumu, </w:t>
            </w:r>
            <w:r w:rsidR="00C01C06" w:rsidRPr="00C01C06">
              <w:rPr>
                <w:lang w:eastAsia="en-US"/>
              </w:rPr>
              <w:t xml:space="preserve">kopējā fiskālā ietekme uz </w:t>
            </w:r>
            <w:r w:rsidR="00C01C06">
              <w:rPr>
                <w:lang w:eastAsia="en-US"/>
              </w:rPr>
              <w:t xml:space="preserve">valsts </w:t>
            </w:r>
            <w:r w:rsidR="00C01C06" w:rsidRPr="00C01C06">
              <w:rPr>
                <w:lang w:eastAsia="en-US"/>
              </w:rPr>
              <w:t xml:space="preserve">budžetu tika prognozēta 64,6 milj. </w:t>
            </w:r>
            <w:proofErr w:type="spellStart"/>
            <w:r w:rsidR="00C01C06" w:rsidRPr="00F9689B">
              <w:rPr>
                <w:i/>
                <w:lang w:eastAsia="en-US"/>
              </w:rPr>
              <w:t>euro</w:t>
            </w:r>
            <w:proofErr w:type="spellEnd"/>
            <w:r w:rsidR="00C01C06" w:rsidRPr="00C01C06">
              <w:rPr>
                <w:lang w:eastAsia="en-US"/>
              </w:rPr>
              <w:t xml:space="preserve"> apmērā (no tiem PVN – 40,2 milj. </w:t>
            </w:r>
            <w:proofErr w:type="spellStart"/>
            <w:r w:rsidR="00C01C06" w:rsidRPr="00F9689B">
              <w:rPr>
                <w:i/>
                <w:lang w:eastAsia="en-US"/>
              </w:rPr>
              <w:t>euro</w:t>
            </w:r>
            <w:proofErr w:type="spellEnd"/>
            <w:r w:rsidR="00C01C06" w:rsidRPr="00C01C06">
              <w:rPr>
                <w:lang w:eastAsia="en-US"/>
              </w:rPr>
              <w:t xml:space="preserve">, savukārt darbaspēka nodokļu ieguvums būtu 24,4 milj. </w:t>
            </w:r>
            <w:proofErr w:type="spellStart"/>
            <w:r w:rsidR="00C01C06" w:rsidRPr="00F9689B">
              <w:rPr>
                <w:i/>
                <w:lang w:eastAsia="en-US"/>
              </w:rPr>
              <w:t>euro</w:t>
            </w:r>
            <w:proofErr w:type="spellEnd"/>
            <w:r w:rsidR="00C01C06" w:rsidRPr="00C01C06">
              <w:rPr>
                <w:lang w:eastAsia="en-US"/>
              </w:rPr>
              <w:t xml:space="preserve"> un darbaspēka nodokļu ieņēmumu palielinājums tika vērtēts kā atgriezeniskais efekts, ko rada aplokšņu algu samazināšanās</w:t>
            </w:r>
            <w:r w:rsidR="00E674FD">
              <w:rPr>
                <w:lang w:eastAsia="en-US"/>
              </w:rPr>
              <w:t>)</w:t>
            </w:r>
            <w:r w:rsidR="00C01C06">
              <w:rPr>
                <w:lang w:eastAsia="en-US"/>
              </w:rPr>
              <w:t>. Savukārt ar 2020.gada 1.janvāri</w:t>
            </w:r>
            <w:r w:rsidR="009440E5">
              <w:rPr>
                <w:lang w:eastAsia="en-US"/>
              </w:rPr>
              <w:t>,</w:t>
            </w:r>
            <w:r w:rsidR="00C01C06">
              <w:rPr>
                <w:lang w:eastAsia="en-US"/>
              </w:rPr>
              <w:t xml:space="preserve"> atceļot minēto regulējumu</w:t>
            </w:r>
            <w:r w:rsidR="009440E5">
              <w:rPr>
                <w:lang w:eastAsia="en-US"/>
              </w:rPr>
              <w:t>,</w:t>
            </w:r>
            <w:r w:rsidR="00C01C06" w:rsidRPr="00C01C06">
              <w:rPr>
                <w:lang w:eastAsia="en-US"/>
              </w:rPr>
              <w:t xml:space="preserve"> sagaidām</w:t>
            </w:r>
            <w:r w:rsidR="00C01C06">
              <w:rPr>
                <w:lang w:eastAsia="en-US"/>
              </w:rPr>
              <w:t xml:space="preserve">s, ka </w:t>
            </w:r>
            <w:r w:rsidR="006A5A30" w:rsidRPr="00AC595E">
              <w:rPr>
                <w:lang w:eastAsia="en-US"/>
              </w:rPr>
              <w:t>mazināsies radītais pozitīvais efekts no reverso darījumu piemērošanas nozarē, kas savukārt var radīt daļēju ēnu ekonomikas apjomu pieaugumu šajās nozarēs.</w:t>
            </w:r>
            <w:r w:rsidR="006A5A30">
              <w:rPr>
                <w:lang w:eastAsia="en-US"/>
              </w:rPr>
              <w:t xml:space="preserve"> </w:t>
            </w:r>
            <w:r w:rsidR="00C01C06" w:rsidRPr="00C01C06">
              <w:rPr>
                <w:lang w:eastAsia="en-US"/>
              </w:rPr>
              <w:t>Tādejādi, vērtējot indikatīvi, apgrieztās jeb reversās PVN maksāšanas kārtības būvizstrādājumu, sadzīves elektronisko iekārtu un sadzīves elektriskā</w:t>
            </w:r>
            <w:r w:rsidR="00E674FD">
              <w:rPr>
                <w:lang w:eastAsia="en-US"/>
              </w:rPr>
              <w:t>s aparatūras piegādēm atcelšanu</w:t>
            </w:r>
            <w:r w:rsidR="00C01C06" w:rsidRPr="00C01C06">
              <w:rPr>
                <w:lang w:eastAsia="en-US"/>
              </w:rPr>
              <w:t xml:space="preserve"> ar 2020.gada 1.janvāri </w:t>
            </w:r>
            <w:r w:rsidR="00C01C06" w:rsidRPr="00C01C06">
              <w:rPr>
                <w:lang w:eastAsia="en-US"/>
              </w:rPr>
              <w:lastRenderedPageBreak/>
              <w:t xml:space="preserve">tiktu radīta negatīva ietekme uz valsts budžeta ieņēmumiem </w:t>
            </w:r>
            <w:r w:rsidR="00E674FD">
              <w:rPr>
                <w:lang w:eastAsia="en-US"/>
              </w:rPr>
              <w:br/>
            </w:r>
            <w:r w:rsidR="00C01C06" w:rsidRPr="00C01C06">
              <w:rPr>
                <w:lang w:eastAsia="en-US"/>
              </w:rPr>
              <w:t xml:space="preserve">2020.gadā -35,3 milj. </w:t>
            </w:r>
            <w:proofErr w:type="spellStart"/>
            <w:r w:rsidR="00C01C06" w:rsidRPr="00F9689B">
              <w:rPr>
                <w:i/>
                <w:lang w:eastAsia="en-US"/>
              </w:rPr>
              <w:t>euro</w:t>
            </w:r>
            <w:proofErr w:type="spellEnd"/>
            <w:r w:rsidR="00C01C06" w:rsidRPr="00C01C06">
              <w:rPr>
                <w:lang w:eastAsia="en-US"/>
              </w:rPr>
              <w:t xml:space="preserve"> (t.sk. PVN -23,1 milj. </w:t>
            </w:r>
            <w:proofErr w:type="spellStart"/>
            <w:r w:rsidR="00C01C06" w:rsidRPr="00F9689B">
              <w:rPr>
                <w:i/>
                <w:lang w:eastAsia="en-US"/>
              </w:rPr>
              <w:t>euro</w:t>
            </w:r>
            <w:proofErr w:type="spellEnd"/>
            <w:r w:rsidR="00C01C06" w:rsidRPr="00C01C06">
              <w:rPr>
                <w:lang w:eastAsia="en-US"/>
              </w:rPr>
              <w:t>, VSAOI -8,1</w:t>
            </w:r>
            <w:r w:rsidR="006A5A30">
              <w:rPr>
                <w:lang w:eastAsia="en-US"/>
              </w:rPr>
              <w:t> </w:t>
            </w:r>
            <w:r w:rsidR="00C01C06" w:rsidRPr="00C01C06">
              <w:rPr>
                <w:lang w:eastAsia="en-US"/>
              </w:rPr>
              <w:t xml:space="preserve">milj. </w:t>
            </w:r>
            <w:proofErr w:type="spellStart"/>
            <w:r w:rsidR="00C01C06" w:rsidRPr="00F9689B">
              <w:rPr>
                <w:i/>
                <w:lang w:eastAsia="en-US"/>
              </w:rPr>
              <w:t>euro</w:t>
            </w:r>
            <w:proofErr w:type="spellEnd"/>
            <w:r w:rsidR="00C01C06" w:rsidRPr="00C01C06">
              <w:rPr>
                <w:lang w:eastAsia="en-US"/>
              </w:rPr>
              <w:t xml:space="preserve">, IIN -4,1 milj. </w:t>
            </w:r>
            <w:proofErr w:type="spellStart"/>
            <w:r w:rsidR="00C01C06" w:rsidRPr="00F9689B">
              <w:rPr>
                <w:i/>
                <w:lang w:eastAsia="en-US"/>
              </w:rPr>
              <w:t>euro</w:t>
            </w:r>
            <w:proofErr w:type="spellEnd"/>
            <w:r w:rsidR="00C01C06" w:rsidRPr="00C01C06">
              <w:rPr>
                <w:lang w:eastAsia="en-US"/>
              </w:rPr>
              <w:t>).</w:t>
            </w:r>
          </w:p>
          <w:p w14:paraId="449434DF" w14:textId="41D278AE" w:rsidR="00205209" w:rsidRDefault="00205209" w:rsidP="005604C8">
            <w:pPr>
              <w:ind w:firstLine="371"/>
              <w:jc w:val="both"/>
              <w:rPr>
                <w:iCs/>
                <w:lang w:eastAsia="en-US"/>
              </w:rPr>
            </w:pPr>
            <w:r w:rsidRPr="009C3335">
              <w:rPr>
                <w:iCs/>
                <w:lang w:eastAsia="en-US"/>
              </w:rPr>
              <w:t xml:space="preserve">Likumprojekta </w:t>
            </w:r>
            <w:r w:rsidRPr="001F1905">
              <w:rPr>
                <w:iCs/>
                <w:lang w:eastAsia="en-US"/>
              </w:rPr>
              <w:t>mērķis ir</w:t>
            </w:r>
            <w:r>
              <w:rPr>
                <w:iCs/>
                <w:lang w:eastAsia="en-US"/>
              </w:rPr>
              <w:t xml:space="preserve"> izpildīt saistības pret ES, ieviešot atbilstošos ES tiesību aktus, kā arī precizēt </w:t>
            </w:r>
            <w:r w:rsidRPr="000733F4">
              <w:rPr>
                <w:iCs/>
                <w:lang w:eastAsia="en-US"/>
              </w:rPr>
              <w:t xml:space="preserve">PVN </w:t>
            </w:r>
            <w:r>
              <w:rPr>
                <w:iCs/>
                <w:lang w:eastAsia="en-US"/>
              </w:rPr>
              <w:t xml:space="preserve">piemērošanu atsevišķos darījumos, tai skaitā, lai regulējums būtu atbilstošs EST interpretācijai un būtu nepārprotams. </w:t>
            </w:r>
          </w:p>
          <w:p w14:paraId="672C6F0C" w14:textId="0BC05337" w:rsidR="00205209" w:rsidRPr="001A0BFE" w:rsidRDefault="00C8675D" w:rsidP="00E71200">
            <w:pPr>
              <w:ind w:firstLine="371"/>
              <w:jc w:val="both"/>
              <w:rPr>
                <w:lang w:eastAsia="en-US"/>
              </w:rPr>
            </w:pPr>
            <w:r>
              <w:t>Likumprojekts paredz, ka grozījumi stājas spēkā 2019.gada 1.janvārī</w:t>
            </w:r>
            <w:r w:rsidR="00E71200">
              <w:t xml:space="preserve">, savukārt grozījumi, ar kuriem tiek noteikts apgrieztās jeb reversās PVN maksāšanas kārtības piemērošanas termiņš būvizstrādājumu un </w:t>
            </w:r>
            <w:r w:rsidR="00A409EE" w:rsidRPr="00A409EE">
              <w:rPr>
                <w:lang w:eastAsia="en-US"/>
              </w:rPr>
              <w:t>sadzīves elektronisko iekārtu un sadzīves elektriskās aparatūras</w:t>
            </w:r>
            <w:r w:rsidR="00A409EE">
              <w:t xml:space="preserve"> </w:t>
            </w:r>
            <w:r w:rsidR="00E71200">
              <w:t>piegādēm, stājas spēkā 2020.gada 1.janvārī</w:t>
            </w:r>
            <w:r>
              <w:t>.</w:t>
            </w:r>
          </w:p>
        </w:tc>
      </w:tr>
      <w:tr w:rsidR="007724D7" w:rsidRPr="009A6CAD" w14:paraId="79683434" w14:textId="77777777" w:rsidTr="00DA395D">
        <w:trPr>
          <w:gridAfter w:val="1"/>
          <w:wAfter w:w="10" w:type="pct"/>
          <w:cantSplit/>
        </w:trPr>
        <w:tc>
          <w:tcPr>
            <w:tcW w:w="140" w:type="pct"/>
            <w:hideMark/>
          </w:tcPr>
          <w:p w14:paraId="3DF4DEC9" w14:textId="762EC833" w:rsidR="00BD5588" w:rsidRPr="00C80EE9" w:rsidRDefault="00BD5588" w:rsidP="00122EEB">
            <w:pPr>
              <w:jc w:val="center"/>
            </w:pPr>
            <w:r w:rsidRPr="00C80EE9">
              <w:lastRenderedPageBreak/>
              <w:t>3.</w:t>
            </w:r>
          </w:p>
        </w:tc>
        <w:tc>
          <w:tcPr>
            <w:tcW w:w="1051" w:type="pct"/>
            <w:gridSpan w:val="4"/>
            <w:hideMark/>
          </w:tcPr>
          <w:p w14:paraId="7613926B" w14:textId="77777777" w:rsidR="00BD5588" w:rsidRPr="00C80EE9" w:rsidRDefault="00BD5588" w:rsidP="00122EEB">
            <w:r w:rsidRPr="00C80EE9">
              <w:t>Projekta izstrādē iesaistītās institūcijas un publiskas personas kapitālsabiedrības</w:t>
            </w:r>
          </w:p>
        </w:tc>
        <w:tc>
          <w:tcPr>
            <w:tcW w:w="3799" w:type="pct"/>
            <w:gridSpan w:val="9"/>
            <w:hideMark/>
          </w:tcPr>
          <w:p w14:paraId="1483343E" w14:textId="7CACEB47" w:rsidR="00BF66D6" w:rsidRPr="00C80EE9" w:rsidRDefault="00BF66D6" w:rsidP="00122EEB">
            <w:r w:rsidRPr="00C80EE9">
              <w:t>Projekta izstrādē ir iesaistīt</w:t>
            </w:r>
            <w:r w:rsidR="00045D58">
              <w:t>a</w:t>
            </w:r>
            <w:r w:rsidRPr="00C80EE9">
              <w:t xml:space="preserve"> Finanšu ministrija</w:t>
            </w:r>
            <w:r w:rsidR="00045D58">
              <w:t xml:space="preserve"> un VID.</w:t>
            </w:r>
          </w:p>
          <w:p w14:paraId="0877DD0F" w14:textId="77777777" w:rsidR="00BF66D6" w:rsidRPr="00C80EE9" w:rsidRDefault="00BF66D6" w:rsidP="00122EEB"/>
        </w:tc>
      </w:tr>
      <w:tr w:rsidR="007724D7" w:rsidRPr="009A6CAD" w14:paraId="1E395913" w14:textId="77777777" w:rsidTr="00DA395D">
        <w:trPr>
          <w:gridAfter w:val="1"/>
          <w:wAfter w:w="10" w:type="pct"/>
          <w:cantSplit/>
        </w:trPr>
        <w:tc>
          <w:tcPr>
            <w:tcW w:w="140" w:type="pct"/>
            <w:hideMark/>
          </w:tcPr>
          <w:p w14:paraId="2DA7B217" w14:textId="77777777" w:rsidR="00BD5588" w:rsidRPr="00C80EE9" w:rsidRDefault="00BD5588" w:rsidP="00122EEB">
            <w:pPr>
              <w:jc w:val="center"/>
            </w:pPr>
            <w:r w:rsidRPr="00C80EE9">
              <w:t>4.</w:t>
            </w:r>
          </w:p>
        </w:tc>
        <w:tc>
          <w:tcPr>
            <w:tcW w:w="1051" w:type="pct"/>
            <w:gridSpan w:val="4"/>
            <w:hideMark/>
          </w:tcPr>
          <w:p w14:paraId="1567F84C" w14:textId="77777777" w:rsidR="00BD5588" w:rsidRPr="00C80EE9" w:rsidRDefault="00BD5588" w:rsidP="00122EEB">
            <w:r w:rsidRPr="00C80EE9">
              <w:t>Cita informācija</w:t>
            </w:r>
          </w:p>
        </w:tc>
        <w:tc>
          <w:tcPr>
            <w:tcW w:w="3799" w:type="pct"/>
            <w:gridSpan w:val="9"/>
            <w:hideMark/>
          </w:tcPr>
          <w:p w14:paraId="50AD2A37" w14:textId="6178EDF1" w:rsidR="00BD5588" w:rsidRPr="00C80EE9" w:rsidRDefault="00BD5588" w:rsidP="00122EEB">
            <w:r w:rsidRPr="00C80EE9">
              <w:t>Nav</w:t>
            </w:r>
            <w:r w:rsidR="0004563E">
              <w:t>.</w:t>
            </w:r>
          </w:p>
        </w:tc>
      </w:tr>
      <w:tr w:rsidR="00BD5588" w:rsidRPr="009A6CAD" w14:paraId="7A92EAAC" w14:textId="77777777" w:rsidTr="00DA395D">
        <w:trPr>
          <w:gridAfter w:val="1"/>
          <w:wAfter w:w="10" w:type="pct"/>
          <w:cantSplit/>
        </w:trPr>
        <w:tc>
          <w:tcPr>
            <w:tcW w:w="4990" w:type="pct"/>
            <w:gridSpan w:val="14"/>
            <w:vAlign w:val="center"/>
            <w:hideMark/>
          </w:tcPr>
          <w:p w14:paraId="3719F9DA" w14:textId="77777777" w:rsidR="00BD5588" w:rsidRPr="00C80EE9" w:rsidRDefault="00BD5588" w:rsidP="00122EEB">
            <w:pPr>
              <w:jc w:val="center"/>
              <w:rPr>
                <w:b/>
                <w:bCs/>
              </w:rPr>
            </w:pPr>
            <w:r w:rsidRPr="00C80EE9">
              <w:rPr>
                <w:b/>
                <w:bCs/>
              </w:rPr>
              <w:t>II. Tiesību akta projekta ietekme uz sabiedrību, tautsaimniecības attīstību un administratīvo slogu</w:t>
            </w:r>
          </w:p>
        </w:tc>
      </w:tr>
      <w:tr w:rsidR="007724D7" w:rsidRPr="009A6CAD" w14:paraId="4891D9D1" w14:textId="77777777" w:rsidTr="00DA395D">
        <w:trPr>
          <w:gridAfter w:val="1"/>
          <w:wAfter w:w="10" w:type="pct"/>
          <w:cantSplit/>
        </w:trPr>
        <w:tc>
          <w:tcPr>
            <w:tcW w:w="140" w:type="pct"/>
            <w:hideMark/>
          </w:tcPr>
          <w:p w14:paraId="7141B773" w14:textId="77777777" w:rsidR="00BD5588" w:rsidRPr="00C80EE9" w:rsidRDefault="00BD5588" w:rsidP="00122EEB">
            <w:pPr>
              <w:jc w:val="center"/>
            </w:pPr>
            <w:r w:rsidRPr="00C80EE9">
              <w:t>1.</w:t>
            </w:r>
          </w:p>
        </w:tc>
        <w:tc>
          <w:tcPr>
            <w:tcW w:w="1051" w:type="pct"/>
            <w:gridSpan w:val="4"/>
            <w:hideMark/>
          </w:tcPr>
          <w:p w14:paraId="0127B76F" w14:textId="77777777" w:rsidR="00BD5588" w:rsidRPr="00C80EE9" w:rsidRDefault="00BD5588" w:rsidP="00122EEB">
            <w:r w:rsidRPr="00C80EE9">
              <w:t xml:space="preserve">Sabiedrības </w:t>
            </w:r>
            <w:proofErr w:type="spellStart"/>
            <w:r w:rsidRPr="00C80EE9">
              <w:t>mērķgrupas</w:t>
            </w:r>
            <w:proofErr w:type="spellEnd"/>
            <w:r w:rsidRPr="00C80EE9">
              <w:t>, kuras tiesiskais regulējums ietekmē vai varētu ietekmēt</w:t>
            </w:r>
          </w:p>
        </w:tc>
        <w:tc>
          <w:tcPr>
            <w:tcW w:w="3799" w:type="pct"/>
            <w:gridSpan w:val="9"/>
            <w:hideMark/>
          </w:tcPr>
          <w:p w14:paraId="79D93D25" w14:textId="77777777" w:rsidR="00BF66D6" w:rsidRDefault="00BF66D6" w:rsidP="00BF66D6">
            <w:pPr>
              <w:jc w:val="both"/>
            </w:pPr>
            <w:r w:rsidRPr="00C80EE9">
              <w:t>Likumprojekta tiesiskais regulējums skar:</w:t>
            </w:r>
          </w:p>
          <w:p w14:paraId="21F9883D" w14:textId="778A04D9" w:rsidR="00D1323A" w:rsidRPr="00C80EE9" w:rsidRDefault="00D1323A" w:rsidP="00F1551D">
            <w:pPr>
              <w:pStyle w:val="ListParagraph"/>
              <w:numPr>
                <w:ilvl w:val="0"/>
                <w:numId w:val="6"/>
              </w:numPr>
              <w:ind w:left="687" w:right="186" w:hanging="327"/>
              <w:jc w:val="both"/>
            </w:pPr>
            <w:r w:rsidRPr="005F1BC7">
              <w:t>reģistrētus PVN maksātājus, kuri veic darījumus ar apbūves tiesībām iekšzemē</w:t>
            </w:r>
            <w:r w:rsidR="002D7687">
              <w:t>;</w:t>
            </w:r>
          </w:p>
          <w:p w14:paraId="1E0BB71E" w14:textId="56B2127C" w:rsidR="00BF66D6" w:rsidRDefault="00BF66D6" w:rsidP="00F1551D">
            <w:pPr>
              <w:pStyle w:val="ListParagraph"/>
              <w:numPr>
                <w:ilvl w:val="0"/>
                <w:numId w:val="6"/>
              </w:numPr>
              <w:ind w:left="687" w:right="186" w:hanging="327"/>
              <w:jc w:val="both"/>
            </w:pPr>
            <w:r w:rsidRPr="00C80EE9">
              <w:t xml:space="preserve">reģistrētus PVN </w:t>
            </w:r>
            <w:r w:rsidR="008048BD" w:rsidRPr="00C80EE9">
              <w:t>maksātājus, kuri veic</w:t>
            </w:r>
            <w:r w:rsidRPr="00C80EE9">
              <w:t xml:space="preserve"> </w:t>
            </w:r>
            <w:r w:rsidR="008048BD" w:rsidRPr="00C80EE9">
              <w:t xml:space="preserve">ar </w:t>
            </w:r>
            <w:proofErr w:type="spellStart"/>
            <w:r w:rsidR="008048BD" w:rsidRPr="00C80EE9">
              <w:t>vaučeriem</w:t>
            </w:r>
            <w:proofErr w:type="spellEnd"/>
            <w:r w:rsidR="008048BD" w:rsidRPr="00C80EE9">
              <w:t xml:space="preserve"> saistītus </w:t>
            </w:r>
            <w:r w:rsidRPr="00C80EE9">
              <w:t>PVN apliekamus darījumus iekšzemē</w:t>
            </w:r>
            <w:r w:rsidR="00D91AC0">
              <w:t>;</w:t>
            </w:r>
          </w:p>
          <w:p w14:paraId="5BE39A5C" w14:textId="087C0B66" w:rsidR="00C80EE9" w:rsidRPr="000E6D37" w:rsidRDefault="000E6D37" w:rsidP="00F1551D">
            <w:pPr>
              <w:pStyle w:val="ListParagraph"/>
              <w:numPr>
                <w:ilvl w:val="0"/>
                <w:numId w:val="6"/>
              </w:numPr>
              <w:ind w:left="687" w:right="186" w:hanging="327"/>
              <w:jc w:val="both"/>
            </w:pPr>
            <w:r>
              <w:t xml:space="preserve">reģistrētus PVN maksātājus, kuri sniedz </w:t>
            </w:r>
            <w:r w:rsidRPr="000E6D37">
              <w:t>elektronisko sakaru, apraides un elektroniski sniegtos pakalpojumus;</w:t>
            </w:r>
          </w:p>
          <w:p w14:paraId="3FFC323A" w14:textId="6ECE9D5C" w:rsidR="00F1551D" w:rsidRPr="00F1551D" w:rsidRDefault="00C30F55" w:rsidP="00F1551D">
            <w:pPr>
              <w:pStyle w:val="ListParagraph"/>
              <w:numPr>
                <w:ilvl w:val="0"/>
                <w:numId w:val="6"/>
              </w:numPr>
              <w:ind w:left="687" w:right="186" w:hanging="327"/>
              <w:jc w:val="both"/>
            </w:pPr>
            <w:r>
              <w:t xml:space="preserve">reģistrētus PVN maksātājus, kuri </w:t>
            </w:r>
            <w:r w:rsidRPr="00F1551D">
              <w:rPr>
                <w:color w:val="000000"/>
              </w:rPr>
              <w:t>neveic uzņēmējdarbību ES, bet ir reģistrējušies VID PVN maksātāju reģistrā</w:t>
            </w:r>
            <w:r w:rsidR="004D682A">
              <w:rPr>
                <w:color w:val="000000"/>
              </w:rPr>
              <w:t>;</w:t>
            </w:r>
          </w:p>
          <w:p w14:paraId="426F252B" w14:textId="3DB319B0" w:rsidR="00A409EE" w:rsidRDefault="00F1551D" w:rsidP="00F1551D">
            <w:pPr>
              <w:pStyle w:val="ListParagraph"/>
              <w:numPr>
                <w:ilvl w:val="0"/>
                <w:numId w:val="6"/>
              </w:numPr>
              <w:ind w:left="687" w:right="186" w:hanging="327"/>
              <w:jc w:val="both"/>
            </w:pPr>
            <w:r>
              <w:rPr>
                <w:color w:val="000000"/>
              </w:rPr>
              <w:t xml:space="preserve">reģistrētus PVN maksātājus, kuri </w:t>
            </w:r>
            <w:r w:rsidR="00744A9F">
              <w:t xml:space="preserve">ir </w:t>
            </w:r>
            <w:r w:rsidR="00744A9F" w:rsidRPr="00D821C4">
              <w:t>melno un krāsaino metālu pusfabrikātu</w:t>
            </w:r>
            <w:r w:rsidR="00744A9F" w:rsidRPr="00A7675C">
              <w:t xml:space="preserve"> piegādā</w:t>
            </w:r>
            <w:r w:rsidR="00744A9F">
              <w:t>tāji vai saņēmēji</w:t>
            </w:r>
            <w:r w:rsidR="00A409EE">
              <w:t>;</w:t>
            </w:r>
          </w:p>
          <w:p w14:paraId="00134205" w14:textId="77777777" w:rsidR="00A409EE" w:rsidRDefault="00A409EE" w:rsidP="00A409EE">
            <w:pPr>
              <w:pStyle w:val="ListParagraph"/>
              <w:numPr>
                <w:ilvl w:val="0"/>
                <w:numId w:val="6"/>
              </w:numPr>
              <w:ind w:left="687" w:right="186" w:hanging="327"/>
              <w:jc w:val="both"/>
              <w:rPr>
                <w:color w:val="000000"/>
              </w:rPr>
            </w:pPr>
            <w:r>
              <w:rPr>
                <w:color w:val="000000"/>
              </w:rPr>
              <w:t>reģistrētus PVN maksātājus, kuri ir būvizstrādājumu piegādātāji vai saņēmēji;</w:t>
            </w:r>
          </w:p>
          <w:p w14:paraId="3972DA80" w14:textId="5782CD06" w:rsidR="00F1551D" w:rsidRPr="00F1551D" w:rsidRDefault="00A409EE" w:rsidP="00A409EE">
            <w:pPr>
              <w:pStyle w:val="ListParagraph"/>
              <w:numPr>
                <w:ilvl w:val="0"/>
                <w:numId w:val="6"/>
              </w:numPr>
              <w:ind w:left="687" w:right="186" w:hanging="327"/>
              <w:jc w:val="both"/>
            </w:pPr>
            <w:r>
              <w:rPr>
                <w:color w:val="000000"/>
              </w:rPr>
              <w:t xml:space="preserve">reģistrētus PVN maksātājus, kuri ir </w:t>
            </w:r>
            <w:r w:rsidRPr="00A409EE">
              <w:rPr>
                <w:color w:val="000000"/>
              </w:rPr>
              <w:t>sadzīves elektronisko iekārtu un sadzīves elektriskās aparatūras</w:t>
            </w:r>
            <w:r>
              <w:rPr>
                <w:color w:val="000000"/>
              </w:rPr>
              <w:t xml:space="preserve"> piegādātāji </w:t>
            </w:r>
            <w:r w:rsidR="00DF57F3">
              <w:rPr>
                <w:color w:val="000000"/>
              </w:rPr>
              <w:t>vai</w:t>
            </w:r>
            <w:r>
              <w:rPr>
                <w:color w:val="000000"/>
              </w:rPr>
              <w:t xml:space="preserve"> saņēmēji</w:t>
            </w:r>
            <w:r w:rsidR="00F1551D">
              <w:rPr>
                <w:color w:val="000000"/>
              </w:rPr>
              <w:t>;</w:t>
            </w:r>
          </w:p>
          <w:p w14:paraId="19373420" w14:textId="77777777" w:rsidR="00AE62FA" w:rsidRDefault="00F1551D" w:rsidP="00F1551D">
            <w:pPr>
              <w:pStyle w:val="ListParagraph"/>
              <w:numPr>
                <w:ilvl w:val="0"/>
                <w:numId w:val="6"/>
              </w:numPr>
              <w:ind w:left="687" w:right="186" w:hanging="327"/>
              <w:jc w:val="both"/>
              <w:rPr>
                <w:color w:val="000000"/>
              </w:rPr>
            </w:pPr>
            <w:r>
              <w:rPr>
                <w:color w:val="000000"/>
              </w:rPr>
              <w:t xml:space="preserve">reģistrētus PVN maksātājus, kuri ir </w:t>
            </w:r>
            <w:r w:rsidRPr="00F1551D">
              <w:rPr>
                <w:color w:val="000000"/>
              </w:rPr>
              <w:t>neatkarīgās personu grupas dalībnieki un darbojas finanšu un apdrošināšanas jomā</w:t>
            </w:r>
            <w:r w:rsidR="00AE62FA">
              <w:rPr>
                <w:color w:val="000000"/>
              </w:rPr>
              <w:t>;</w:t>
            </w:r>
          </w:p>
          <w:p w14:paraId="64A70F73" w14:textId="29AF2D8D" w:rsidR="00F1551D" w:rsidRPr="00A409EE" w:rsidRDefault="00AE62FA" w:rsidP="00A409EE">
            <w:pPr>
              <w:pStyle w:val="ListParagraph"/>
              <w:numPr>
                <w:ilvl w:val="0"/>
                <w:numId w:val="6"/>
              </w:numPr>
              <w:ind w:left="687" w:right="186" w:hanging="327"/>
              <w:jc w:val="both"/>
              <w:rPr>
                <w:color w:val="000000"/>
              </w:rPr>
            </w:pPr>
            <w:r>
              <w:rPr>
                <w:color w:val="000000"/>
              </w:rPr>
              <w:t>nodokļu maksātājus, kuriem ir nepieciešams reģistrēties VID PVN maksātāju reģistrā</w:t>
            </w:r>
            <w:r w:rsidRPr="00A409EE">
              <w:rPr>
                <w:color w:val="000000"/>
              </w:rPr>
              <w:t>.</w:t>
            </w:r>
          </w:p>
          <w:p w14:paraId="03818FC5" w14:textId="023D9944" w:rsidR="00BF66D6" w:rsidRDefault="00D1323A" w:rsidP="0077592A">
            <w:pPr>
              <w:jc w:val="both"/>
            </w:pPr>
            <w:r>
              <w:t xml:space="preserve">Pēc </w:t>
            </w:r>
            <w:r w:rsidR="00D10C67" w:rsidRPr="00C80EE9">
              <w:t xml:space="preserve">VID </w:t>
            </w:r>
            <w:r w:rsidR="00D10C67" w:rsidRPr="00E750C8">
              <w:t>datiem</w:t>
            </w:r>
            <w:r w:rsidR="0077592A" w:rsidRPr="00E750C8">
              <w:t xml:space="preserve"> 2018.gada 1.</w:t>
            </w:r>
            <w:r w:rsidR="00471863" w:rsidRPr="00E750C8">
              <w:t>oktobrī</w:t>
            </w:r>
            <w:r w:rsidR="0077592A" w:rsidRPr="00DF2FAB">
              <w:t xml:space="preserve"> reģistrētu PVN maksātāju skaits ir 8</w:t>
            </w:r>
            <w:r w:rsidR="00471863" w:rsidRPr="004E2568">
              <w:t>3</w:t>
            </w:r>
            <w:r w:rsidR="0077592A" w:rsidRPr="00DF2FAB">
              <w:t> </w:t>
            </w:r>
            <w:r w:rsidR="00471863" w:rsidRPr="004E2568">
              <w:t>672</w:t>
            </w:r>
            <w:r w:rsidR="0077592A" w:rsidRPr="00DF2FAB">
              <w:t>.</w:t>
            </w:r>
          </w:p>
          <w:p w14:paraId="427CCB58" w14:textId="530F0D64" w:rsidR="0077592A" w:rsidRPr="00C80EE9" w:rsidRDefault="0077592A" w:rsidP="0077592A">
            <w:pPr>
              <w:jc w:val="both"/>
            </w:pPr>
          </w:p>
        </w:tc>
      </w:tr>
      <w:tr w:rsidR="007724D7" w:rsidRPr="009A6CAD" w14:paraId="6843DCEE" w14:textId="77777777" w:rsidTr="00DA395D">
        <w:trPr>
          <w:gridAfter w:val="1"/>
          <w:wAfter w:w="10" w:type="pct"/>
          <w:cantSplit/>
        </w:trPr>
        <w:tc>
          <w:tcPr>
            <w:tcW w:w="140" w:type="pct"/>
            <w:hideMark/>
          </w:tcPr>
          <w:p w14:paraId="1E5E0184" w14:textId="2F1C0CD2" w:rsidR="00BD5588" w:rsidRPr="00345DB4" w:rsidRDefault="00BD5588" w:rsidP="00122EEB">
            <w:pPr>
              <w:jc w:val="center"/>
            </w:pPr>
            <w:r w:rsidRPr="00345DB4">
              <w:lastRenderedPageBreak/>
              <w:t>2.</w:t>
            </w:r>
          </w:p>
        </w:tc>
        <w:tc>
          <w:tcPr>
            <w:tcW w:w="1051" w:type="pct"/>
            <w:gridSpan w:val="4"/>
            <w:hideMark/>
          </w:tcPr>
          <w:p w14:paraId="176CEF96" w14:textId="77777777" w:rsidR="00BD5588" w:rsidRPr="00345DB4" w:rsidRDefault="00BD5588" w:rsidP="00122EEB">
            <w:r w:rsidRPr="00345DB4">
              <w:t>Tiesiskā regulējuma ietekme uz tautsaimniecību un administratīvo slogu</w:t>
            </w:r>
          </w:p>
        </w:tc>
        <w:tc>
          <w:tcPr>
            <w:tcW w:w="3799" w:type="pct"/>
            <w:gridSpan w:val="9"/>
            <w:hideMark/>
          </w:tcPr>
          <w:p w14:paraId="1358B5E2" w14:textId="6174C894" w:rsidR="005235DB" w:rsidRPr="00345DB4" w:rsidRDefault="003F149D" w:rsidP="00BF66D6">
            <w:pPr>
              <w:jc w:val="both"/>
            </w:pPr>
            <w:r>
              <w:t>1. </w:t>
            </w:r>
            <w:r w:rsidR="00A54079" w:rsidRPr="007634F8">
              <w:t>Likumprojekta ieviešana kopumā pozitīvi ietekmēs uzņēmējdarbības vidi</w:t>
            </w:r>
            <w:r w:rsidR="00A54079">
              <w:t>.</w:t>
            </w:r>
          </w:p>
          <w:p w14:paraId="708B6081" w14:textId="228DD122" w:rsidR="00B76F53" w:rsidRDefault="00B76F53" w:rsidP="005235DB">
            <w:pPr>
              <w:jc w:val="both"/>
            </w:pPr>
            <w:r>
              <w:t xml:space="preserve">Tiks nodrošināta atbilstoša darījumu veikšana ar apbūves tiesībām, neierobežojot darījumu ar nekustamajiem īpašumiem iespējas un tiesisko noteiktību, nosakot skaidrus noteikumus attiecībā uz PVN piemērošanu darījumiem ar apbūves tiesībām. </w:t>
            </w:r>
          </w:p>
          <w:p w14:paraId="51238175" w14:textId="112AEBED" w:rsidR="00BF66D6" w:rsidRDefault="000202DF" w:rsidP="00BF66D6">
            <w:pPr>
              <w:jc w:val="both"/>
            </w:pPr>
            <w:r>
              <w:t>Tāpat tiks precīzi noteikta PVN piemērošana, ja reģistrēta PVN maksātāja mantu izsolē pārdos tiesu izpildītājs vai maksātnespējas administ</w:t>
            </w:r>
            <w:r w:rsidR="00C70694">
              <w:t>r</w:t>
            </w:r>
            <w:r>
              <w:t>ators.</w:t>
            </w:r>
          </w:p>
          <w:p w14:paraId="36A9A70F" w14:textId="77777777" w:rsidR="0062705F" w:rsidRPr="00345DB4" w:rsidRDefault="0062705F" w:rsidP="00BF66D6">
            <w:pPr>
              <w:jc w:val="both"/>
            </w:pPr>
          </w:p>
          <w:p w14:paraId="2B170031" w14:textId="45EAD9E6" w:rsidR="00E0449F" w:rsidRDefault="0062705F" w:rsidP="00BF66D6">
            <w:pPr>
              <w:jc w:val="both"/>
            </w:pPr>
            <w:r>
              <w:t xml:space="preserve">2. </w:t>
            </w:r>
            <w:r w:rsidR="007410D8">
              <w:t>Ar izdarītajiem grozījumiem Pievienotās vērtības nodokļa likumā tiks</w:t>
            </w:r>
            <w:r w:rsidR="00E0449F" w:rsidRPr="00345DB4">
              <w:t xml:space="preserve"> nodrošin</w:t>
            </w:r>
            <w:r w:rsidR="007410D8">
              <w:t>ā</w:t>
            </w:r>
            <w:r w:rsidR="00E0449F" w:rsidRPr="00345DB4">
              <w:t>t</w:t>
            </w:r>
            <w:r w:rsidR="007410D8">
              <w:t>a</w:t>
            </w:r>
            <w:r w:rsidR="00E0449F" w:rsidRPr="00345DB4">
              <w:t xml:space="preserve"> noteikt</w:t>
            </w:r>
            <w:r w:rsidR="007410D8">
              <w:t>a</w:t>
            </w:r>
            <w:r w:rsidR="00E0449F" w:rsidRPr="00345DB4">
              <w:t xml:space="preserve"> un vienād</w:t>
            </w:r>
            <w:r w:rsidR="007410D8">
              <w:t>a</w:t>
            </w:r>
            <w:r w:rsidR="00E0449F" w:rsidRPr="00345DB4">
              <w:t xml:space="preserve"> PVN piemērošana darījumos, kas saistīti ar </w:t>
            </w:r>
            <w:proofErr w:type="spellStart"/>
            <w:r w:rsidR="00E0449F" w:rsidRPr="00345DB4">
              <w:t>vaučeriem</w:t>
            </w:r>
            <w:proofErr w:type="spellEnd"/>
            <w:r w:rsidR="00E0449F" w:rsidRPr="00345DB4">
              <w:t>, tiks novērsta nekonsekvence PVN piemērošanā, konkurences izkropļojumus, PVN dubult</w:t>
            </w:r>
            <w:r w:rsidR="0087799F">
              <w:t>a</w:t>
            </w:r>
            <w:r w:rsidR="00E0449F" w:rsidRPr="00345DB4">
              <w:t xml:space="preserve"> uzlikšan</w:t>
            </w:r>
            <w:r w:rsidR="0087799F">
              <w:t>a, kā arī</w:t>
            </w:r>
            <w:r w:rsidR="00E0449F" w:rsidRPr="00345DB4">
              <w:t xml:space="preserve"> </w:t>
            </w:r>
            <w:r w:rsidR="0087799F">
              <w:t xml:space="preserve">PVN </w:t>
            </w:r>
            <w:r w:rsidR="00E0449F" w:rsidRPr="00345DB4">
              <w:t xml:space="preserve"> neuzlikšan</w:t>
            </w:r>
            <w:r w:rsidR="0087799F">
              <w:t>a</w:t>
            </w:r>
            <w:r w:rsidR="00E0449F" w:rsidRPr="00345DB4">
              <w:t>. Vienlaikus tiks mazināti riski, ka būtu iespējama izvairīšanās no PVN maksāšanas.</w:t>
            </w:r>
            <w:r w:rsidR="00751171">
              <w:t xml:space="preserve"> Sākumā var pieaugt administratīvais slogs</w:t>
            </w:r>
            <w:r w:rsidR="009E0C4C">
              <w:t>,</w:t>
            </w:r>
            <w:r w:rsidR="00751171">
              <w:t xml:space="preserve"> klasificējot, kāda veida </w:t>
            </w:r>
            <w:proofErr w:type="spellStart"/>
            <w:r w:rsidR="00751171">
              <w:t>vaučers</w:t>
            </w:r>
            <w:proofErr w:type="spellEnd"/>
            <w:r w:rsidR="00751171">
              <w:t xml:space="preserve"> tiek piegādāts, jo atkarībā no </w:t>
            </w:r>
            <w:proofErr w:type="spellStart"/>
            <w:r w:rsidR="00751171">
              <w:t>vaučera</w:t>
            </w:r>
            <w:proofErr w:type="spellEnd"/>
            <w:r w:rsidR="00751171">
              <w:t xml:space="preserve"> veida ir atšķirīgs brīdis, kad tiek piemērotas PVN normas, tomēr tam nevajad</w:t>
            </w:r>
            <w:r w:rsidR="006C39F9">
              <w:t>zētu būt pārāk lielam slogam.</w:t>
            </w:r>
          </w:p>
          <w:p w14:paraId="3FFBF9D5" w14:textId="77777777" w:rsidR="003F149D" w:rsidRDefault="003F149D" w:rsidP="0060468F">
            <w:pPr>
              <w:jc w:val="both"/>
            </w:pPr>
          </w:p>
          <w:p w14:paraId="43BEF96A" w14:textId="4DAC8C00" w:rsidR="00E71EBB" w:rsidRDefault="0062705F" w:rsidP="0060468F">
            <w:pPr>
              <w:jc w:val="both"/>
            </w:pPr>
            <w:r>
              <w:t>3</w:t>
            </w:r>
            <w:r w:rsidR="003F149D">
              <w:t>. </w:t>
            </w:r>
            <w:r w:rsidR="00345DB4">
              <w:t xml:space="preserve">Ar grozījumiem Pievienotās vērtības nodokļa likumā </w:t>
            </w:r>
            <w:r w:rsidR="00A54079">
              <w:t>attiecībā uz e-komercijas vides sakārtošanu reģistrētiem</w:t>
            </w:r>
            <w:r w:rsidR="00A54079" w:rsidRPr="007634F8">
              <w:t xml:space="preserve"> PVN maksātājiem </w:t>
            </w:r>
            <w:r w:rsidR="00A54079">
              <w:t>ti</w:t>
            </w:r>
            <w:r w:rsidR="00BA7CAA">
              <w:t>ek</w:t>
            </w:r>
            <w:r w:rsidR="00A54079">
              <w:t xml:space="preserve"> dotas </w:t>
            </w:r>
            <w:r w:rsidR="00A54079" w:rsidRPr="007634F8">
              <w:t>papildu iespējas efektīvāk veikt uzņēmējdarbību,</w:t>
            </w:r>
            <w:r w:rsidR="00A54079">
              <w:t xml:space="preserve"> samazinot administratīvo slogu</w:t>
            </w:r>
            <w:r w:rsidR="00BA7CAA">
              <w:t>.</w:t>
            </w:r>
            <w:r w:rsidR="00A54079">
              <w:t xml:space="preserve"> </w:t>
            </w:r>
            <w:r w:rsidR="00BA7CAA">
              <w:t xml:space="preserve">Uzņēmumiem, kuri sniedz elektronisko sakaru, apraides un elektroniskus pakalpojumus personai, kura nav PVN maksātāja, </w:t>
            </w:r>
            <w:r w:rsidR="00E71EBB">
              <w:t xml:space="preserve">pārsvarā tajā dalībvalstī, kurā veic uzņēmējdarbību, un neregulāri sniedz minētos pakalpojumus citās dalībvalstīs, </w:t>
            </w:r>
            <w:r w:rsidR="00425FE8">
              <w:t xml:space="preserve">sākot ar 2019.gada 1.janvāri, </w:t>
            </w:r>
            <w:r w:rsidR="00BA7CAA">
              <w:t xml:space="preserve">tiek </w:t>
            </w:r>
            <w:r w:rsidR="00E71EBB">
              <w:t>paredzēta</w:t>
            </w:r>
            <w:r w:rsidR="00BA7CAA">
              <w:t xml:space="preserve"> </w:t>
            </w:r>
            <w:r w:rsidR="00E71EBB">
              <w:t xml:space="preserve">iespēja </w:t>
            </w:r>
            <w:r w:rsidR="00E71EBB" w:rsidRPr="009F644B">
              <w:t>sniegt</w:t>
            </w:r>
            <w:r w:rsidR="00E71EBB">
              <w:t>o</w:t>
            </w:r>
            <w:r w:rsidR="00E71EBB" w:rsidRPr="009F644B">
              <w:t xml:space="preserve"> pakalpojumu</w:t>
            </w:r>
            <w:r w:rsidR="00E71EBB">
              <w:t xml:space="preserve"> piegādes vietu noteikt pakalpojumu sniedzēja dalībvalstī līdz </w:t>
            </w:r>
            <w:r w:rsidR="00BA7CAA">
              <w:t>pārrobežu darījumu robežvērtība</w:t>
            </w:r>
            <w:r w:rsidR="00E71EBB">
              <w:t>s 10 000 </w:t>
            </w:r>
            <w:proofErr w:type="spellStart"/>
            <w:r w:rsidR="00E71EBB" w:rsidRPr="00E71EBB">
              <w:rPr>
                <w:i/>
              </w:rPr>
              <w:t>euro</w:t>
            </w:r>
            <w:proofErr w:type="spellEnd"/>
            <w:r w:rsidR="00E71EBB">
              <w:t xml:space="preserve"> apmērā sasniegšanai</w:t>
            </w:r>
            <w:r w:rsidR="00425FE8">
              <w:t>.</w:t>
            </w:r>
          </w:p>
          <w:p w14:paraId="6F83C9D8" w14:textId="3BF34F28" w:rsidR="004F58BA" w:rsidRDefault="004F58BA" w:rsidP="004F58BA">
            <w:pPr>
              <w:jc w:val="both"/>
            </w:pPr>
            <w:r>
              <w:t xml:space="preserve">Pēc VID sniegtās informācijas </w:t>
            </w:r>
            <w:r w:rsidRPr="00A95E85">
              <w:rPr>
                <w:i/>
              </w:rPr>
              <w:t>MOSS</w:t>
            </w:r>
            <w:r w:rsidRPr="004F58BA">
              <w:t xml:space="preserve"> </w:t>
            </w:r>
            <w:r w:rsidR="00A95E85">
              <w:t>režīmu izmanto 98 reģistrēti PVN</w:t>
            </w:r>
            <w:r w:rsidRPr="004F58BA">
              <w:t xml:space="preserve"> maksātāji, kuri sniedz elektronisko sakaru, apraides un elektroniskus paka</w:t>
            </w:r>
            <w:r w:rsidR="00A95E85">
              <w:t>lpojumus personai, kura nav PVN</w:t>
            </w:r>
            <w:r w:rsidR="004270F6">
              <w:t xml:space="preserve"> maksātāja</w:t>
            </w:r>
            <w:r w:rsidR="00A95E85">
              <w:t xml:space="preserve">. 2017.gadā </w:t>
            </w:r>
            <w:r w:rsidR="00A95E85" w:rsidRPr="00A95E85">
              <w:rPr>
                <w:i/>
              </w:rPr>
              <w:t>MOSS</w:t>
            </w:r>
            <w:r w:rsidR="00A95E85">
              <w:t xml:space="preserve"> ir reģistrēti 44 PVN maksātāji, </w:t>
            </w:r>
            <w:r w:rsidRPr="004F58BA">
              <w:t xml:space="preserve">kuru </w:t>
            </w:r>
            <w:r w:rsidR="00A95E85" w:rsidRPr="004F58BA">
              <w:t>kopējā sniegto</w:t>
            </w:r>
            <w:r w:rsidR="00A95E85">
              <w:t xml:space="preserve"> </w:t>
            </w:r>
            <w:r w:rsidR="00A95E85" w:rsidRPr="004F58BA">
              <w:t>elektronisko sakaru, apraides un elektroniskus paka</w:t>
            </w:r>
            <w:r w:rsidR="00A95E85">
              <w:t>lpojumu</w:t>
            </w:r>
            <w:r w:rsidRPr="004F58BA">
              <w:t xml:space="preserve"> vērtība bez </w:t>
            </w:r>
            <w:r w:rsidR="00A95E85">
              <w:t>PVN</w:t>
            </w:r>
            <w:r w:rsidRPr="004F58BA">
              <w:t xml:space="preserve"> iepriekšējā vai kalendārajā gadā nepārsniedz 10 000 </w:t>
            </w:r>
            <w:proofErr w:type="spellStart"/>
            <w:r w:rsidRPr="00A95E85">
              <w:rPr>
                <w:i/>
              </w:rPr>
              <w:t>euro</w:t>
            </w:r>
            <w:proofErr w:type="spellEnd"/>
            <w:r w:rsidR="00A95E85">
              <w:t xml:space="preserve">, savukārt </w:t>
            </w:r>
            <w:r w:rsidR="00A95E85" w:rsidRPr="004F58BA">
              <w:t xml:space="preserve">2018.gadā </w:t>
            </w:r>
            <w:r w:rsidR="00A95E85">
              <w:t xml:space="preserve">- 40 reģistrēti PVN </w:t>
            </w:r>
            <w:r w:rsidRPr="004F58BA">
              <w:t>maksātāji.</w:t>
            </w:r>
          </w:p>
          <w:p w14:paraId="5914F516" w14:textId="77777777" w:rsidR="00425FE8" w:rsidRDefault="00425FE8" w:rsidP="00E71EBB">
            <w:pPr>
              <w:jc w:val="both"/>
            </w:pPr>
            <w:r>
              <w:t xml:space="preserve">Papildus atzīmējam, ka pēc EK aplēsēm, </w:t>
            </w:r>
            <w:r w:rsidRPr="007338CC">
              <w:t xml:space="preserve">ieviešot ES iekšienē robežvērtību pārrobežu darījumiem, 6 500 </w:t>
            </w:r>
            <w:r>
              <w:t xml:space="preserve">maziem un vidējiem </w:t>
            </w:r>
            <w:r w:rsidRPr="007338CC">
              <w:t>uzņēmumi</w:t>
            </w:r>
            <w:r>
              <w:t>em tiks samazināts administratīvais slogs</w:t>
            </w:r>
            <w:r w:rsidRPr="007338CC">
              <w:t xml:space="preserve">, kas potenciāli </w:t>
            </w:r>
            <w:r>
              <w:t>varētu nodrošināt šiem uzņēmumiem regulatīvo izmaksu ietaupījumu 13 </w:t>
            </w:r>
            <w:proofErr w:type="spellStart"/>
            <w:r>
              <w:t>m</w:t>
            </w:r>
            <w:r w:rsidRPr="004F5B84">
              <w:t>lj</w:t>
            </w:r>
            <w:proofErr w:type="spellEnd"/>
            <w:r>
              <w:t>.</w:t>
            </w:r>
            <w:r w:rsidRPr="004F5B84">
              <w:t> </w:t>
            </w:r>
            <w:proofErr w:type="spellStart"/>
            <w:r w:rsidRPr="004F5B84">
              <w:rPr>
                <w:i/>
              </w:rPr>
              <w:t>euro</w:t>
            </w:r>
            <w:proofErr w:type="spellEnd"/>
            <w:r w:rsidRPr="004F5B84">
              <w:t xml:space="preserve"> apmērā.</w:t>
            </w:r>
          </w:p>
          <w:p w14:paraId="6438AD23" w14:textId="21052CEF" w:rsidR="00425FE8" w:rsidRPr="004F58BA" w:rsidRDefault="00E71EBB" w:rsidP="00E71EBB">
            <w:pPr>
              <w:jc w:val="both"/>
              <w:rPr>
                <w:rFonts w:eastAsiaTheme="minorHAnsi"/>
                <w:color w:val="000000"/>
                <w:lang w:eastAsia="en-US"/>
              </w:rPr>
            </w:pPr>
            <w:r w:rsidRPr="00425FE8">
              <w:t xml:space="preserve">Prasība </w:t>
            </w:r>
            <w:r w:rsidR="00425FE8" w:rsidRPr="00425FE8">
              <w:t>izrakstīt PVN rēķinu, ievērojot</w:t>
            </w:r>
            <w:r w:rsidRPr="00425FE8">
              <w:t xml:space="preserve"> prasības visās dalībvalstīs, kurās </w:t>
            </w:r>
            <w:r w:rsidR="00425FE8" w:rsidRPr="00425FE8">
              <w:t xml:space="preserve">tiek </w:t>
            </w:r>
            <w:r w:rsidRPr="00425FE8">
              <w:t>snie</w:t>
            </w:r>
            <w:r w:rsidR="00425FE8" w:rsidRPr="00425FE8">
              <w:t xml:space="preserve">gti elektronisko sakaru, apraides un elektroniskie </w:t>
            </w:r>
            <w:r w:rsidRPr="00425FE8">
              <w:t>pakalpojum</w:t>
            </w:r>
            <w:r w:rsidR="00425FE8" w:rsidRPr="00425FE8">
              <w:t>i,</w:t>
            </w:r>
            <w:r w:rsidRPr="00425FE8">
              <w:t xml:space="preserve"> ir ļoti apgrūtinoša</w:t>
            </w:r>
            <w:r w:rsidR="00425FE8" w:rsidRPr="00425FE8">
              <w:t xml:space="preserve">. </w:t>
            </w:r>
            <w:r w:rsidR="00425FE8">
              <w:t>S</w:t>
            </w:r>
            <w:r w:rsidR="00425FE8" w:rsidRPr="00425FE8">
              <w:t>ākot ar 2019.gada 1.janvāri</w:t>
            </w:r>
            <w:r w:rsidR="00425FE8">
              <w:t>,</w:t>
            </w:r>
            <w:r w:rsidRPr="00425FE8">
              <w:t xml:space="preserve"> </w:t>
            </w:r>
            <w:r w:rsidR="00425FE8">
              <w:t>i</w:t>
            </w:r>
            <w:r w:rsidR="00BA7CAA">
              <w:t xml:space="preserve">zrakstot PVN rēķinu par elektronisko </w:t>
            </w:r>
            <w:r w:rsidR="00FF7843">
              <w:t>sakaru, apraides un elektroniskajiem</w:t>
            </w:r>
            <w:r w:rsidR="00BA7CAA">
              <w:t xml:space="preserve"> pakalpojumiem, </w:t>
            </w:r>
            <w:r w:rsidR="00BA7CAA" w:rsidRPr="00577670">
              <w:t xml:space="preserve">būs </w:t>
            </w:r>
            <w:r w:rsidR="00BA7CAA" w:rsidRPr="004F58BA">
              <w:rPr>
                <w:rFonts w:eastAsiaTheme="minorHAnsi"/>
                <w:color w:val="000000"/>
                <w:lang w:eastAsia="en-US"/>
              </w:rPr>
              <w:t xml:space="preserve">jāievēro vienas dalībvalsts, t.i., identifikācijas dalībvalsts, </w:t>
            </w:r>
            <w:r w:rsidR="006B58CD" w:rsidRPr="004F58BA">
              <w:rPr>
                <w:rFonts w:eastAsiaTheme="minorHAnsi"/>
                <w:color w:val="000000"/>
                <w:lang w:eastAsia="en-US"/>
              </w:rPr>
              <w:t>noteikumi</w:t>
            </w:r>
            <w:r w:rsidR="00425FE8" w:rsidRPr="004F58BA">
              <w:rPr>
                <w:rFonts w:eastAsiaTheme="minorHAnsi"/>
                <w:color w:val="000000"/>
                <w:lang w:eastAsia="en-US"/>
              </w:rPr>
              <w:t>.</w:t>
            </w:r>
          </w:p>
          <w:p w14:paraId="62083F28" w14:textId="5262C14D" w:rsidR="00BF66D6" w:rsidRDefault="00BA7CAA" w:rsidP="00BF66D6">
            <w:pPr>
              <w:jc w:val="both"/>
            </w:pPr>
            <w:r w:rsidRPr="004F58BA">
              <w:rPr>
                <w:rFonts w:eastAsiaTheme="minorHAnsi"/>
                <w:color w:val="000000"/>
                <w:lang w:eastAsia="en-US"/>
              </w:rPr>
              <w:t>Savukārt</w:t>
            </w:r>
            <w:r w:rsidR="00425FE8" w:rsidRPr="004F58BA">
              <w:rPr>
                <w:rFonts w:eastAsiaTheme="minorHAnsi"/>
                <w:color w:val="000000"/>
                <w:lang w:eastAsia="en-US"/>
              </w:rPr>
              <w:t>, sākot ar 2019.gada 1.janvāri,</w:t>
            </w:r>
            <w:r w:rsidR="00A54079">
              <w:t xml:space="preserve"> </w:t>
            </w:r>
            <w:r w:rsidR="0060468F">
              <w:t xml:space="preserve">tie </w:t>
            </w:r>
            <w:r>
              <w:t>u</w:t>
            </w:r>
            <w:r w:rsidR="00A54079">
              <w:rPr>
                <w:color w:val="000000"/>
              </w:rPr>
              <w:t>zņēmumi,</w:t>
            </w:r>
            <w:r w:rsidR="00A54079" w:rsidRPr="00E5098C">
              <w:rPr>
                <w:color w:val="000000"/>
              </w:rPr>
              <w:t xml:space="preserve"> kuri neveic uzņēmējdarbību ES, bet ir reģistrējušies </w:t>
            </w:r>
            <w:r w:rsidR="00A54079">
              <w:rPr>
                <w:color w:val="000000"/>
              </w:rPr>
              <w:t>VID</w:t>
            </w:r>
            <w:r w:rsidR="00A54079" w:rsidRPr="00E5098C">
              <w:rPr>
                <w:color w:val="000000"/>
              </w:rPr>
              <w:t xml:space="preserve"> PVN maksātāj</w:t>
            </w:r>
            <w:r w:rsidR="00A54079">
              <w:rPr>
                <w:color w:val="000000"/>
              </w:rPr>
              <w:t>u reģistrā</w:t>
            </w:r>
            <w:r w:rsidR="00A54079" w:rsidRPr="00E5098C">
              <w:rPr>
                <w:color w:val="000000"/>
              </w:rPr>
              <w:t xml:space="preserve">, </w:t>
            </w:r>
            <w:r>
              <w:rPr>
                <w:color w:val="000000"/>
              </w:rPr>
              <w:t>varēs izmantot īpašu PVN režīmu (</w:t>
            </w:r>
            <w:r w:rsidR="005D6227">
              <w:rPr>
                <w:color w:val="000000"/>
              </w:rPr>
              <w:t>“</w:t>
            </w:r>
            <w:proofErr w:type="spellStart"/>
            <w:r w:rsidR="005D6227">
              <w:rPr>
                <w:color w:val="000000"/>
              </w:rPr>
              <w:t>ārpussavienības</w:t>
            </w:r>
            <w:proofErr w:type="spellEnd"/>
            <w:r w:rsidR="005D6227">
              <w:rPr>
                <w:color w:val="000000"/>
              </w:rPr>
              <w:t xml:space="preserve"> </w:t>
            </w:r>
            <w:r w:rsidR="005D6227">
              <w:rPr>
                <w:color w:val="000000"/>
              </w:rPr>
              <w:lastRenderedPageBreak/>
              <w:t>režīms”</w:t>
            </w:r>
            <w:r>
              <w:rPr>
                <w:color w:val="000000"/>
              </w:rPr>
              <w:t>) PVN deklarēšanai un maksāšanai par elektronisko sakaru, apraides un elektroniski sniegtiem pakalpojumiem</w:t>
            </w:r>
            <w:r w:rsidR="0060468F">
              <w:rPr>
                <w:color w:val="000000"/>
              </w:rPr>
              <w:t>, tādējādi vairs ne</w:t>
            </w:r>
            <w:r w:rsidRPr="007634F8">
              <w:t>reģistrēj</w:t>
            </w:r>
            <w:r w:rsidR="0060468F">
              <w:t>oties</w:t>
            </w:r>
            <w:r w:rsidRPr="007634F8">
              <w:t xml:space="preserve"> katrā </w:t>
            </w:r>
            <w:r>
              <w:t>šo pakalpojumu patēriņa dalībvalstī.</w:t>
            </w:r>
          </w:p>
          <w:p w14:paraId="18763B68" w14:textId="77777777" w:rsidR="003F149D" w:rsidRDefault="003F149D" w:rsidP="00BF66D6">
            <w:pPr>
              <w:jc w:val="both"/>
            </w:pPr>
          </w:p>
          <w:p w14:paraId="319E8F80" w14:textId="5FBD7860" w:rsidR="00E32D7B" w:rsidRDefault="0062705F" w:rsidP="00BF66D6">
            <w:pPr>
              <w:jc w:val="both"/>
            </w:pPr>
            <w:r>
              <w:t>4</w:t>
            </w:r>
            <w:r w:rsidR="003F149D">
              <w:t>. </w:t>
            </w:r>
            <w:r w:rsidR="00E32D7B">
              <w:t xml:space="preserve">Ar Pievienotās vērtības nodokļa likuma </w:t>
            </w:r>
            <w:r w:rsidR="004D682A">
              <w:t xml:space="preserve">papildināšanu ar jaunu </w:t>
            </w:r>
            <w:r w:rsidR="00E32D7B">
              <w:t>52.</w:t>
            </w:r>
            <w:r w:rsidR="004D682A" w:rsidRPr="004D682A">
              <w:rPr>
                <w:vertAlign w:val="superscript"/>
              </w:rPr>
              <w:t>1</w:t>
            </w:r>
            <w:r w:rsidR="004D682A">
              <w:t> </w:t>
            </w:r>
            <w:r w:rsidR="00E32D7B">
              <w:t>pant</w:t>
            </w:r>
            <w:r w:rsidR="004D682A">
              <w:t>u</w:t>
            </w:r>
            <w:r w:rsidR="00E32D7B">
              <w:t xml:space="preserve">, </w:t>
            </w:r>
            <w:r w:rsidR="00047983">
              <w:t xml:space="preserve">sašaurinot PVN atbrīvojuma piemērošanas tvērumu, </w:t>
            </w:r>
            <w:r w:rsidR="00645520">
              <w:t xml:space="preserve">tiek negatīvi ietekmētas kredītiestādes un apdrošināšanas kompānijas, kuras līdz </w:t>
            </w:r>
            <w:r w:rsidR="00D6628B">
              <w:t>EST</w:t>
            </w:r>
            <w:r w:rsidR="00645520">
              <w:t xml:space="preserve"> interpretācijai </w:t>
            </w:r>
            <w:r w:rsidR="00645520" w:rsidRPr="00BC2B07">
              <w:t xml:space="preserve">lietā C-326/15 DNB Banka un </w:t>
            </w:r>
            <w:r w:rsidR="00645520">
              <w:t xml:space="preserve">sprieduma lietā </w:t>
            </w:r>
            <w:r w:rsidR="00645520" w:rsidRPr="00BC2B07">
              <w:t>C-605/15 Aviva</w:t>
            </w:r>
            <w:r w:rsidR="00645520">
              <w:t xml:space="preserve"> par Direktīvas 2006/112/EK 132.panta 1.punkta “f” apakšpunktā minētā PVN atbrīvojuma šauru piemērošanu, to piemēroja saviem pakalpojumiem, kas sniegti</w:t>
            </w:r>
            <w:r w:rsidR="00645520" w:rsidRPr="00B426ED">
              <w:t xml:space="preserve"> neatkarīgā</w:t>
            </w:r>
            <w:r w:rsidR="00645520">
              <w:t>s</w:t>
            </w:r>
            <w:r w:rsidR="00645520" w:rsidRPr="00B426ED">
              <w:t xml:space="preserve"> personu grupa</w:t>
            </w:r>
            <w:r w:rsidR="00645520">
              <w:t xml:space="preserve">s ietvaros. </w:t>
            </w:r>
            <w:r w:rsidR="0072007B">
              <w:t xml:space="preserve">Tomēr grūti ir novērtēt, vai tiesiskais regulējums ietekmēs tautsaimniecību. </w:t>
            </w:r>
          </w:p>
          <w:p w14:paraId="20293786" w14:textId="11E9CD9F" w:rsidR="009E0C4C" w:rsidRPr="00345DB4" w:rsidRDefault="009E0C4C" w:rsidP="00A850DE">
            <w:pPr>
              <w:ind w:firstLine="371"/>
              <w:jc w:val="both"/>
            </w:pPr>
            <w:r w:rsidRPr="00524B6E">
              <w:t>Likumprojektā ietvertajam tiesiskajam regulējumam</w:t>
            </w:r>
            <w:r>
              <w:t xml:space="preserve"> kopumā</w:t>
            </w:r>
            <w:r w:rsidRPr="00524B6E">
              <w:t xml:space="preserve"> ir pozitīva ietekme uz tautsaimniecību</w:t>
            </w:r>
            <w:r>
              <w:t xml:space="preserve"> ilgtermiņā, jo tiek sakārtota  PVN piemērošana, radot godīgāku konkurenci starp nodokļu maksātājiem. </w:t>
            </w:r>
          </w:p>
        </w:tc>
      </w:tr>
      <w:tr w:rsidR="007724D7" w:rsidRPr="009A6CAD" w14:paraId="180F4F21" w14:textId="77777777" w:rsidTr="00DA395D">
        <w:trPr>
          <w:gridAfter w:val="1"/>
          <w:wAfter w:w="10" w:type="pct"/>
          <w:cantSplit/>
        </w:trPr>
        <w:tc>
          <w:tcPr>
            <w:tcW w:w="140" w:type="pct"/>
            <w:hideMark/>
          </w:tcPr>
          <w:p w14:paraId="0E7F7AB8" w14:textId="77777777" w:rsidR="00BD5588" w:rsidRPr="00345DB4" w:rsidRDefault="00BD5588" w:rsidP="00122EEB">
            <w:pPr>
              <w:jc w:val="center"/>
            </w:pPr>
            <w:r w:rsidRPr="00345DB4">
              <w:lastRenderedPageBreak/>
              <w:t>3.</w:t>
            </w:r>
          </w:p>
        </w:tc>
        <w:tc>
          <w:tcPr>
            <w:tcW w:w="1051" w:type="pct"/>
            <w:gridSpan w:val="4"/>
            <w:hideMark/>
          </w:tcPr>
          <w:p w14:paraId="4B9399AB" w14:textId="77777777" w:rsidR="00BD5588" w:rsidRPr="00345DB4" w:rsidRDefault="00BD5588" w:rsidP="00122EEB">
            <w:r w:rsidRPr="00345DB4">
              <w:t>Administratīvo izmaksu monetārs novērtējums</w:t>
            </w:r>
          </w:p>
        </w:tc>
        <w:tc>
          <w:tcPr>
            <w:tcW w:w="3799" w:type="pct"/>
            <w:gridSpan w:val="9"/>
            <w:hideMark/>
          </w:tcPr>
          <w:p w14:paraId="10AEAC29" w14:textId="00CB21FB" w:rsidR="00BF66D6" w:rsidRPr="005935D8" w:rsidRDefault="00524B6E" w:rsidP="005935D8">
            <w:pPr>
              <w:jc w:val="both"/>
            </w:pPr>
            <w:r w:rsidRPr="00524B6E">
              <w:t>Likumprojekt</w:t>
            </w:r>
            <w:r w:rsidR="009E0C4C">
              <w:t xml:space="preserve">a </w:t>
            </w:r>
            <w:r w:rsidR="00181D11" w:rsidRPr="00181D11">
              <w:t>administratīvo izmaksu monetāru aprēķinu nav iespējams veikt.</w:t>
            </w:r>
            <w:r w:rsidR="009E0C4C">
              <w:t xml:space="preserve"> Attiecībā uz grozījumiem PVN piemērošanai e-komercijas jomā var secināt, ka administratīvo izmaksu novērtējumam kopumā ir jābūt pozitīvam, jo tiek radītas priekšrocības gan maziem un vidējiem uzņēmumiem, gan trešo valstu uzņēmējiem piemērot vienkāršu PVN iekasēšanas kārtību - </w:t>
            </w:r>
            <w:r w:rsidR="009E0C4C" w:rsidRPr="009E0C4C">
              <w:rPr>
                <w:i/>
              </w:rPr>
              <w:t>MOSS</w:t>
            </w:r>
            <w:r w:rsidR="009E0C4C">
              <w:t xml:space="preserve">.  </w:t>
            </w:r>
          </w:p>
        </w:tc>
      </w:tr>
      <w:tr w:rsidR="007724D7" w:rsidRPr="009A6CAD" w14:paraId="432F856D" w14:textId="77777777" w:rsidTr="00DA395D">
        <w:trPr>
          <w:gridAfter w:val="1"/>
          <w:wAfter w:w="10" w:type="pct"/>
          <w:cantSplit/>
        </w:trPr>
        <w:tc>
          <w:tcPr>
            <w:tcW w:w="140" w:type="pct"/>
            <w:hideMark/>
          </w:tcPr>
          <w:p w14:paraId="1E5B5B3D" w14:textId="77777777" w:rsidR="00BD5588" w:rsidRPr="005935D8" w:rsidRDefault="00BD5588" w:rsidP="00122EEB">
            <w:pPr>
              <w:jc w:val="center"/>
            </w:pPr>
            <w:r w:rsidRPr="005935D8">
              <w:t>4.</w:t>
            </w:r>
          </w:p>
        </w:tc>
        <w:tc>
          <w:tcPr>
            <w:tcW w:w="1051" w:type="pct"/>
            <w:gridSpan w:val="4"/>
            <w:hideMark/>
          </w:tcPr>
          <w:p w14:paraId="31C7FA1E" w14:textId="77777777" w:rsidR="00BD5588" w:rsidRPr="005935D8" w:rsidRDefault="00BD5588" w:rsidP="00122EEB">
            <w:r w:rsidRPr="005935D8">
              <w:t>Atbilstības izmaksu monetārs novērtējums</w:t>
            </w:r>
          </w:p>
        </w:tc>
        <w:tc>
          <w:tcPr>
            <w:tcW w:w="3799" w:type="pct"/>
            <w:gridSpan w:val="9"/>
            <w:hideMark/>
          </w:tcPr>
          <w:p w14:paraId="5FD32B43" w14:textId="2E2A1D19" w:rsidR="00BD5588" w:rsidRPr="005935D8" w:rsidRDefault="00181D11" w:rsidP="00122EEB">
            <w:r>
              <w:t>Nav.</w:t>
            </w:r>
          </w:p>
        </w:tc>
      </w:tr>
      <w:tr w:rsidR="007724D7" w:rsidRPr="009A6CAD" w14:paraId="2B7F2653" w14:textId="77777777" w:rsidTr="00DA395D">
        <w:trPr>
          <w:gridAfter w:val="1"/>
          <w:wAfter w:w="10" w:type="pct"/>
          <w:cantSplit/>
        </w:trPr>
        <w:tc>
          <w:tcPr>
            <w:tcW w:w="140" w:type="pct"/>
            <w:hideMark/>
          </w:tcPr>
          <w:p w14:paraId="111E8982" w14:textId="77777777" w:rsidR="00BD5588" w:rsidRPr="005935D8" w:rsidRDefault="00BD5588" w:rsidP="00122EEB">
            <w:pPr>
              <w:jc w:val="center"/>
            </w:pPr>
            <w:r w:rsidRPr="005935D8">
              <w:t>5.</w:t>
            </w:r>
          </w:p>
        </w:tc>
        <w:tc>
          <w:tcPr>
            <w:tcW w:w="1051" w:type="pct"/>
            <w:gridSpan w:val="4"/>
            <w:hideMark/>
          </w:tcPr>
          <w:p w14:paraId="5B8DEAB6" w14:textId="77777777" w:rsidR="00BD5588" w:rsidRPr="005935D8" w:rsidRDefault="00BD5588" w:rsidP="00122EEB">
            <w:r w:rsidRPr="005935D8">
              <w:t>Cita informācija</w:t>
            </w:r>
          </w:p>
        </w:tc>
        <w:tc>
          <w:tcPr>
            <w:tcW w:w="3799" w:type="pct"/>
            <w:gridSpan w:val="9"/>
            <w:hideMark/>
          </w:tcPr>
          <w:p w14:paraId="6E722194" w14:textId="5E304433" w:rsidR="007D3188" w:rsidRPr="005935D8" w:rsidRDefault="00BD5588">
            <w:r w:rsidRPr="005935D8">
              <w:t>Nav</w:t>
            </w:r>
            <w:r w:rsidR="00181D11">
              <w:t>.</w:t>
            </w:r>
          </w:p>
        </w:tc>
      </w:tr>
      <w:tr w:rsidR="00BD5588" w:rsidRPr="009A6CAD" w14:paraId="2A5F73CC" w14:textId="77777777" w:rsidTr="00A33B9E">
        <w:tblPrEx>
          <w:tblCellMar>
            <w:top w:w="28" w:type="dxa"/>
            <w:left w:w="28" w:type="dxa"/>
            <w:bottom w:w="28" w:type="dxa"/>
            <w:right w:w="28" w:type="dxa"/>
          </w:tblCellMar>
        </w:tblPrEx>
        <w:trPr>
          <w:cantSplit/>
        </w:trPr>
        <w:tc>
          <w:tcPr>
            <w:tcW w:w="5000" w:type="pct"/>
            <w:gridSpan w:val="15"/>
            <w:shd w:val="clear" w:color="auto" w:fill="auto"/>
            <w:vAlign w:val="center"/>
            <w:hideMark/>
          </w:tcPr>
          <w:p w14:paraId="30117FC5" w14:textId="77777777" w:rsidR="00BD5588" w:rsidRPr="005935D8" w:rsidRDefault="00BD5588" w:rsidP="00122EEB">
            <w:pPr>
              <w:jc w:val="center"/>
              <w:rPr>
                <w:b/>
                <w:bCs/>
                <w:lang w:eastAsia="en-US"/>
              </w:rPr>
            </w:pPr>
            <w:r w:rsidRPr="005935D8">
              <w:rPr>
                <w:b/>
                <w:bCs/>
                <w:lang w:eastAsia="en-US"/>
              </w:rPr>
              <w:t>III. Tiesību akta projekta ietekme uz valsts budžetu un pašvaldību budžetiem</w:t>
            </w:r>
          </w:p>
        </w:tc>
      </w:tr>
      <w:tr w:rsidR="00BD5588" w:rsidRPr="009A6CAD" w14:paraId="5A4190B9" w14:textId="77777777" w:rsidTr="00DA395D">
        <w:tblPrEx>
          <w:tblCellMar>
            <w:top w:w="28" w:type="dxa"/>
            <w:left w:w="28" w:type="dxa"/>
            <w:bottom w:w="28" w:type="dxa"/>
            <w:right w:w="28" w:type="dxa"/>
          </w:tblCellMar>
        </w:tblPrEx>
        <w:trPr>
          <w:cantSplit/>
        </w:trPr>
        <w:tc>
          <w:tcPr>
            <w:tcW w:w="1101" w:type="pct"/>
            <w:gridSpan w:val="4"/>
            <w:vMerge w:val="restart"/>
            <w:shd w:val="clear" w:color="auto" w:fill="FFFFFF"/>
            <w:vAlign w:val="center"/>
          </w:tcPr>
          <w:p w14:paraId="2AEA1AAC" w14:textId="77777777" w:rsidR="00BD5588" w:rsidRPr="005935D8" w:rsidRDefault="00BD5588" w:rsidP="00122EEB">
            <w:pPr>
              <w:jc w:val="center"/>
              <w:rPr>
                <w:bCs/>
                <w:lang w:eastAsia="en-US"/>
              </w:rPr>
            </w:pPr>
            <w:r w:rsidRPr="005935D8">
              <w:rPr>
                <w:bCs/>
                <w:lang w:eastAsia="en-US"/>
              </w:rPr>
              <w:t>Rādītāji</w:t>
            </w:r>
          </w:p>
        </w:tc>
        <w:tc>
          <w:tcPr>
            <w:tcW w:w="1152" w:type="pct"/>
            <w:gridSpan w:val="4"/>
            <w:vMerge w:val="restart"/>
            <w:shd w:val="clear" w:color="auto" w:fill="FFFFFF"/>
            <w:vAlign w:val="center"/>
            <w:hideMark/>
          </w:tcPr>
          <w:p w14:paraId="720E0FD9" w14:textId="77777777" w:rsidR="00BD5588" w:rsidRPr="005935D8" w:rsidRDefault="00BD5588" w:rsidP="00122EEB">
            <w:pPr>
              <w:jc w:val="center"/>
              <w:rPr>
                <w:bCs/>
                <w:lang w:eastAsia="en-US"/>
              </w:rPr>
            </w:pPr>
            <w:r w:rsidRPr="005935D8">
              <w:rPr>
                <w:bCs/>
                <w:lang w:eastAsia="en-US"/>
              </w:rPr>
              <w:t>n-gads</w:t>
            </w:r>
          </w:p>
        </w:tc>
        <w:tc>
          <w:tcPr>
            <w:tcW w:w="2747" w:type="pct"/>
            <w:gridSpan w:val="7"/>
            <w:shd w:val="clear" w:color="auto" w:fill="FFFFFF"/>
            <w:vAlign w:val="center"/>
            <w:hideMark/>
          </w:tcPr>
          <w:p w14:paraId="2082F018" w14:textId="77777777" w:rsidR="00BD5588" w:rsidRPr="005935D8" w:rsidRDefault="00BD5588" w:rsidP="00122EEB">
            <w:pPr>
              <w:jc w:val="center"/>
              <w:rPr>
                <w:lang w:eastAsia="en-US"/>
              </w:rPr>
            </w:pPr>
            <w:r w:rsidRPr="005935D8">
              <w:rPr>
                <w:lang w:eastAsia="en-US"/>
              </w:rPr>
              <w:t>Turpmākie trīs gadi (</w:t>
            </w:r>
            <w:proofErr w:type="spellStart"/>
            <w:r w:rsidRPr="005935D8">
              <w:rPr>
                <w:i/>
                <w:iCs/>
                <w:lang w:eastAsia="en-US"/>
              </w:rPr>
              <w:t>euro</w:t>
            </w:r>
            <w:proofErr w:type="spellEnd"/>
            <w:r w:rsidRPr="005935D8">
              <w:rPr>
                <w:lang w:eastAsia="en-US"/>
              </w:rPr>
              <w:t>)</w:t>
            </w:r>
          </w:p>
        </w:tc>
      </w:tr>
      <w:tr w:rsidR="00BD5588" w:rsidRPr="009A6CAD" w14:paraId="4B535352" w14:textId="77777777" w:rsidTr="00DA395D">
        <w:tblPrEx>
          <w:tblCellMar>
            <w:top w:w="28" w:type="dxa"/>
            <w:left w:w="28" w:type="dxa"/>
            <w:bottom w:w="28" w:type="dxa"/>
            <w:right w:w="28" w:type="dxa"/>
          </w:tblCellMar>
        </w:tblPrEx>
        <w:trPr>
          <w:cantSplit/>
        </w:trPr>
        <w:tc>
          <w:tcPr>
            <w:tcW w:w="1101" w:type="pct"/>
            <w:gridSpan w:val="4"/>
            <w:vMerge/>
            <w:shd w:val="clear" w:color="auto" w:fill="auto"/>
            <w:vAlign w:val="center"/>
            <w:hideMark/>
          </w:tcPr>
          <w:p w14:paraId="2059F867" w14:textId="77777777" w:rsidR="00BD5588" w:rsidRPr="00B452AE" w:rsidRDefault="00BD5588" w:rsidP="00122EEB">
            <w:pPr>
              <w:jc w:val="center"/>
              <w:rPr>
                <w:bCs/>
                <w:lang w:eastAsia="en-US"/>
              </w:rPr>
            </w:pPr>
          </w:p>
        </w:tc>
        <w:tc>
          <w:tcPr>
            <w:tcW w:w="1152" w:type="pct"/>
            <w:gridSpan w:val="4"/>
            <w:vMerge/>
            <w:shd w:val="clear" w:color="auto" w:fill="auto"/>
            <w:vAlign w:val="center"/>
            <w:hideMark/>
          </w:tcPr>
          <w:p w14:paraId="369B502D" w14:textId="77777777" w:rsidR="00BD5588" w:rsidRPr="00B452AE" w:rsidRDefault="00BD5588" w:rsidP="00122EEB">
            <w:pPr>
              <w:jc w:val="center"/>
              <w:rPr>
                <w:bCs/>
                <w:lang w:eastAsia="en-US"/>
              </w:rPr>
            </w:pPr>
          </w:p>
        </w:tc>
        <w:tc>
          <w:tcPr>
            <w:tcW w:w="1084" w:type="pct"/>
            <w:gridSpan w:val="2"/>
            <w:shd w:val="clear" w:color="auto" w:fill="FFFFFF"/>
            <w:vAlign w:val="center"/>
            <w:hideMark/>
          </w:tcPr>
          <w:p w14:paraId="7F5F9022" w14:textId="77777777" w:rsidR="00BD5588" w:rsidRPr="00B452AE" w:rsidRDefault="00BD5588" w:rsidP="00122EEB">
            <w:pPr>
              <w:jc w:val="center"/>
              <w:rPr>
                <w:bCs/>
                <w:lang w:eastAsia="en-US"/>
              </w:rPr>
            </w:pPr>
            <w:r w:rsidRPr="00B452AE">
              <w:rPr>
                <w:bCs/>
                <w:lang w:eastAsia="en-US"/>
              </w:rPr>
              <w:t>n+1</w:t>
            </w:r>
          </w:p>
        </w:tc>
        <w:tc>
          <w:tcPr>
            <w:tcW w:w="1084" w:type="pct"/>
            <w:gridSpan w:val="2"/>
            <w:shd w:val="clear" w:color="auto" w:fill="FFFFFF"/>
            <w:vAlign w:val="center"/>
            <w:hideMark/>
          </w:tcPr>
          <w:p w14:paraId="102954A0" w14:textId="77777777" w:rsidR="00BD5588" w:rsidRPr="00B452AE" w:rsidRDefault="00BD5588" w:rsidP="00122EEB">
            <w:pPr>
              <w:jc w:val="center"/>
              <w:rPr>
                <w:bCs/>
                <w:lang w:eastAsia="en-US"/>
              </w:rPr>
            </w:pPr>
            <w:r w:rsidRPr="00B452AE">
              <w:rPr>
                <w:bCs/>
                <w:lang w:eastAsia="en-US"/>
              </w:rPr>
              <w:t>n+2</w:t>
            </w:r>
          </w:p>
        </w:tc>
        <w:tc>
          <w:tcPr>
            <w:tcW w:w="579" w:type="pct"/>
            <w:gridSpan w:val="3"/>
            <w:shd w:val="clear" w:color="auto" w:fill="FFFFFF"/>
            <w:vAlign w:val="center"/>
            <w:hideMark/>
          </w:tcPr>
          <w:p w14:paraId="1CA043BC" w14:textId="77777777" w:rsidR="00BD5588" w:rsidRPr="00B452AE" w:rsidRDefault="00BD5588" w:rsidP="00122EEB">
            <w:pPr>
              <w:jc w:val="center"/>
              <w:rPr>
                <w:bCs/>
                <w:lang w:eastAsia="en-US"/>
              </w:rPr>
            </w:pPr>
            <w:r w:rsidRPr="00B452AE">
              <w:rPr>
                <w:bCs/>
                <w:lang w:eastAsia="en-US"/>
              </w:rPr>
              <w:t>n+3</w:t>
            </w:r>
          </w:p>
        </w:tc>
      </w:tr>
      <w:tr w:rsidR="00BD5588" w:rsidRPr="009A6CAD" w14:paraId="1DF3C845" w14:textId="77777777" w:rsidTr="00DA395D">
        <w:tblPrEx>
          <w:tblCellMar>
            <w:top w:w="28" w:type="dxa"/>
            <w:left w:w="28" w:type="dxa"/>
            <w:bottom w:w="28" w:type="dxa"/>
            <w:right w:w="28" w:type="dxa"/>
          </w:tblCellMar>
        </w:tblPrEx>
        <w:trPr>
          <w:cantSplit/>
        </w:trPr>
        <w:tc>
          <w:tcPr>
            <w:tcW w:w="1101" w:type="pct"/>
            <w:gridSpan w:val="4"/>
            <w:vMerge/>
            <w:shd w:val="clear" w:color="auto" w:fill="auto"/>
            <w:vAlign w:val="center"/>
            <w:hideMark/>
          </w:tcPr>
          <w:p w14:paraId="56B04A54" w14:textId="77777777" w:rsidR="00BD5588" w:rsidRPr="00B452AE" w:rsidRDefault="00BD5588" w:rsidP="00122EEB">
            <w:pPr>
              <w:jc w:val="center"/>
              <w:rPr>
                <w:b/>
                <w:bCs/>
                <w:lang w:eastAsia="en-US"/>
              </w:rPr>
            </w:pPr>
          </w:p>
        </w:tc>
        <w:tc>
          <w:tcPr>
            <w:tcW w:w="573" w:type="pct"/>
            <w:gridSpan w:val="2"/>
            <w:shd w:val="clear" w:color="auto" w:fill="FFFFFF"/>
            <w:vAlign w:val="center"/>
            <w:hideMark/>
          </w:tcPr>
          <w:p w14:paraId="442054AD" w14:textId="77777777" w:rsidR="00BD5588" w:rsidRPr="00B452AE" w:rsidRDefault="00BD5588" w:rsidP="00122EEB">
            <w:pPr>
              <w:jc w:val="center"/>
              <w:rPr>
                <w:lang w:eastAsia="en-US"/>
              </w:rPr>
            </w:pPr>
            <w:r w:rsidRPr="00B452AE">
              <w:rPr>
                <w:lang w:eastAsia="en-US"/>
              </w:rPr>
              <w:t>saskaņā ar valsts budžetu kārtējam gadam</w:t>
            </w:r>
          </w:p>
        </w:tc>
        <w:tc>
          <w:tcPr>
            <w:tcW w:w="579" w:type="pct"/>
            <w:gridSpan w:val="2"/>
            <w:shd w:val="clear" w:color="auto" w:fill="FFFFFF"/>
            <w:vAlign w:val="center"/>
            <w:hideMark/>
          </w:tcPr>
          <w:p w14:paraId="275D5AB9" w14:textId="77777777" w:rsidR="00BD5588" w:rsidRPr="00B452AE" w:rsidRDefault="00BD5588" w:rsidP="00122EEB">
            <w:pPr>
              <w:jc w:val="center"/>
              <w:rPr>
                <w:lang w:eastAsia="en-US"/>
              </w:rPr>
            </w:pPr>
            <w:r w:rsidRPr="00B452AE">
              <w:rPr>
                <w:lang w:eastAsia="en-US"/>
              </w:rPr>
              <w:t>izmaiņas kārtējā gadā, salīdzinot ar valsts budžetu kārtējam gadam</w:t>
            </w:r>
          </w:p>
        </w:tc>
        <w:tc>
          <w:tcPr>
            <w:tcW w:w="504" w:type="pct"/>
            <w:shd w:val="clear" w:color="auto" w:fill="FFFFFF"/>
            <w:vAlign w:val="center"/>
            <w:hideMark/>
          </w:tcPr>
          <w:p w14:paraId="436E37EF" w14:textId="77777777" w:rsidR="00BD5588" w:rsidRPr="00B452AE" w:rsidRDefault="00BD5588" w:rsidP="00122EEB">
            <w:pPr>
              <w:jc w:val="center"/>
              <w:rPr>
                <w:lang w:eastAsia="en-US"/>
              </w:rPr>
            </w:pPr>
            <w:r w:rsidRPr="00B452AE">
              <w:rPr>
                <w:lang w:eastAsia="en-US"/>
              </w:rPr>
              <w:t>saskaņā ar vidēja termiņa budžeta ietvaru</w:t>
            </w:r>
          </w:p>
        </w:tc>
        <w:tc>
          <w:tcPr>
            <w:tcW w:w="580" w:type="pct"/>
            <w:shd w:val="clear" w:color="auto" w:fill="FFFFFF"/>
            <w:vAlign w:val="center"/>
            <w:hideMark/>
          </w:tcPr>
          <w:p w14:paraId="7664A5A9" w14:textId="77777777" w:rsidR="00BD5588" w:rsidRPr="00B452AE" w:rsidRDefault="00BD5588" w:rsidP="00122EEB">
            <w:pPr>
              <w:jc w:val="center"/>
              <w:rPr>
                <w:lang w:eastAsia="en-US"/>
              </w:rPr>
            </w:pPr>
            <w:r w:rsidRPr="00B452AE">
              <w:rPr>
                <w:lang w:eastAsia="en-US"/>
              </w:rPr>
              <w:t>izmaiņas, salīdzinot ar vidēja termiņa budžeta ietvaru n+1 gadam</w:t>
            </w:r>
          </w:p>
        </w:tc>
        <w:tc>
          <w:tcPr>
            <w:tcW w:w="504" w:type="pct"/>
            <w:shd w:val="clear" w:color="auto" w:fill="FFFFFF"/>
            <w:vAlign w:val="center"/>
            <w:hideMark/>
          </w:tcPr>
          <w:p w14:paraId="0E343C6F" w14:textId="77777777" w:rsidR="00BD5588" w:rsidRPr="00B452AE" w:rsidRDefault="00BD5588" w:rsidP="00122EEB">
            <w:pPr>
              <w:jc w:val="center"/>
              <w:rPr>
                <w:lang w:eastAsia="en-US"/>
              </w:rPr>
            </w:pPr>
            <w:r w:rsidRPr="00B452AE">
              <w:rPr>
                <w:lang w:eastAsia="en-US"/>
              </w:rPr>
              <w:t>saskaņā ar vidēja termiņa budžeta ietvaru</w:t>
            </w:r>
          </w:p>
        </w:tc>
        <w:tc>
          <w:tcPr>
            <w:tcW w:w="580" w:type="pct"/>
            <w:shd w:val="clear" w:color="auto" w:fill="FFFFFF"/>
            <w:vAlign w:val="center"/>
            <w:hideMark/>
          </w:tcPr>
          <w:p w14:paraId="04FF2181" w14:textId="77777777" w:rsidR="00BD5588" w:rsidRPr="00B452AE" w:rsidRDefault="00BD5588" w:rsidP="00122EEB">
            <w:pPr>
              <w:jc w:val="center"/>
              <w:rPr>
                <w:lang w:eastAsia="en-US"/>
              </w:rPr>
            </w:pPr>
            <w:r w:rsidRPr="00B452AE">
              <w:rPr>
                <w:lang w:eastAsia="en-US"/>
              </w:rPr>
              <w:t>izmaiņas, salīdzinot ar vidēja termiņa budžeta ietvaru n+2 gadam</w:t>
            </w:r>
          </w:p>
        </w:tc>
        <w:tc>
          <w:tcPr>
            <w:tcW w:w="579" w:type="pct"/>
            <w:gridSpan w:val="3"/>
            <w:shd w:val="clear" w:color="auto" w:fill="FFFFFF"/>
            <w:vAlign w:val="center"/>
            <w:hideMark/>
          </w:tcPr>
          <w:p w14:paraId="4AB507A9" w14:textId="77777777" w:rsidR="00BD5588" w:rsidRPr="00B452AE" w:rsidRDefault="00BD5588" w:rsidP="00122EEB">
            <w:pPr>
              <w:jc w:val="center"/>
              <w:rPr>
                <w:lang w:eastAsia="en-US"/>
              </w:rPr>
            </w:pPr>
            <w:r w:rsidRPr="00B452AE">
              <w:rPr>
                <w:lang w:eastAsia="en-US"/>
              </w:rPr>
              <w:t xml:space="preserve">izmaiņas, salīdzinot ar vidēja termiņa budžeta ietvaru </w:t>
            </w:r>
            <w:r w:rsidRPr="00B452AE">
              <w:rPr>
                <w:lang w:eastAsia="en-US"/>
              </w:rPr>
              <w:br/>
              <w:t>n+2 gadam</w:t>
            </w:r>
          </w:p>
        </w:tc>
      </w:tr>
      <w:tr w:rsidR="00BD5588" w:rsidRPr="009A6CAD" w14:paraId="70D3D7C8" w14:textId="77777777" w:rsidTr="00DA395D">
        <w:tblPrEx>
          <w:tblCellMar>
            <w:top w:w="28" w:type="dxa"/>
            <w:left w:w="28" w:type="dxa"/>
            <w:bottom w:w="28" w:type="dxa"/>
            <w:right w:w="28" w:type="dxa"/>
          </w:tblCellMar>
        </w:tblPrEx>
        <w:trPr>
          <w:cantSplit/>
        </w:trPr>
        <w:tc>
          <w:tcPr>
            <w:tcW w:w="1101" w:type="pct"/>
            <w:gridSpan w:val="4"/>
            <w:shd w:val="clear" w:color="auto" w:fill="FFFFFF"/>
            <w:vAlign w:val="center"/>
            <w:hideMark/>
          </w:tcPr>
          <w:p w14:paraId="2C56CBCB" w14:textId="77777777" w:rsidR="00BD5588" w:rsidRPr="005935D8" w:rsidRDefault="00BD5588" w:rsidP="00122EEB">
            <w:pPr>
              <w:jc w:val="center"/>
              <w:rPr>
                <w:lang w:eastAsia="en-US"/>
              </w:rPr>
            </w:pPr>
            <w:r w:rsidRPr="005935D8">
              <w:rPr>
                <w:lang w:eastAsia="en-US"/>
              </w:rPr>
              <w:t>1</w:t>
            </w:r>
          </w:p>
        </w:tc>
        <w:tc>
          <w:tcPr>
            <w:tcW w:w="573" w:type="pct"/>
            <w:gridSpan w:val="2"/>
            <w:shd w:val="clear" w:color="auto" w:fill="FFFFFF"/>
            <w:vAlign w:val="center"/>
            <w:hideMark/>
          </w:tcPr>
          <w:p w14:paraId="18D50496" w14:textId="77777777" w:rsidR="00BD5588" w:rsidRPr="005935D8" w:rsidRDefault="00BD5588" w:rsidP="00122EEB">
            <w:pPr>
              <w:jc w:val="center"/>
              <w:rPr>
                <w:lang w:eastAsia="en-US"/>
              </w:rPr>
            </w:pPr>
            <w:r w:rsidRPr="005935D8">
              <w:rPr>
                <w:lang w:eastAsia="en-US"/>
              </w:rPr>
              <w:t>2</w:t>
            </w:r>
          </w:p>
        </w:tc>
        <w:tc>
          <w:tcPr>
            <w:tcW w:w="579" w:type="pct"/>
            <w:gridSpan w:val="2"/>
            <w:shd w:val="clear" w:color="auto" w:fill="FFFFFF"/>
            <w:vAlign w:val="center"/>
            <w:hideMark/>
          </w:tcPr>
          <w:p w14:paraId="3F1DC02A" w14:textId="77777777" w:rsidR="00BD5588" w:rsidRPr="005935D8" w:rsidRDefault="00BD5588" w:rsidP="00122EEB">
            <w:pPr>
              <w:jc w:val="center"/>
              <w:rPr>
                <w:lang w:eastAsia="en-US"/>
              </w:rPr>
            </w:pPr>
            <w:r w:rsidRPr="005935D8">
              <w:rPr>
                <w:lang w:eastAsia="en-US"/>
              </w:rPr>
              <w:t>3</w:t>
            </w:r>
          </w:p>
        </w:tc>
        <w:tc>
          <w:tcPr>
            <w:tcW w:w="504" w:type="pct"/>
            <w:shd w:val="clear" w:color="auto" w:fill="FFFFFF"/>
            <w:vAlign w:val="center"/>
            <w:hideMark/>
          </w:tcPr>
          <w:p w14:paraId="7361E4A5" w14:textId="77777777" w:rsidR="00BD5588" w:rsidRPr="005935D8" w:rsidRDefault="00BD5588" w:rsidP="00122EEB">
            <w:pPr>
              <w:jc w:val="center"/>
              <w:rPr>
                <w:lang w:eastAsia="en-US"/>
              </w:rPr>
            </w:pPr>
            <w:r w:rsidRPr="005935D8">
              <w:rPr>
                <w:lang w:eastAsia="en-US"/>
              </w:rPr>
              <w:t>4</w:t>
            </w:r>
          </w:p>
        </w:tc>
        <w:tc>
          <w:tcPr>
            <w:tcW w:w="580" w:type="pct"/>
            <w:shd w:val="clear" w:color="auto" w:fill="FFFFFF"/>
            <w:vAlign w:val="center"/>
            <w:hideMark/>
          </w:tcPr>
          <w:p w14:paraId="0D8D8289" w14:textId="77777777" w:rsidR="00BD5588" w:rsidRPr="005935D8" w:rsidRDefault="00BD5588" w:rsidP="00122EEB">
            <w:pPr>
              <w:jc w:val="center"/>
              <w:rPr>
                <w:lang w:eastAsia="en-US"/>
              </w:rPr>
            </w:pPr>
            <w:r w:rsidRPr="005935D8">
              <w:rPr>
                <w:lang w:eastAsia="en-US"/>
              </w:rPr>
              <w:t>5</w:t>
            </w:r>
          </w:p>
        </w:tc>
        <w:tc>
          <w:tcPr>
            <w:tcW w:w="504" w:type="pct"/>
            <w:shd w:val="clear" w:color="auto" w:fill="FFFFFF"/>
            <w:vAlign w:val="center"/>
            <w:hideMark/>
          </w:tcPr>
          <w:p w14:paraId="08D5672A" w14:textId="77777777" w:rsidR="00BD5588" w:rsidRPr="005935D8" w:rsidRDefault="00BD5588" w:rsidP="00122EEB">
            <w:pPr>
              <w:jc w:val="center"/>
              <w:rPr>
                <w:lang w:eastAsia="en-US"/>
              </w:rPr>
            </w:pPr>
            <w:r w:rsidRPr="005935D8">
              <w:rPr>
                <w:lang w:eastAsia="en-US"/>
              </w:rPr>
              <w:t>6</w:t>
            </w:r>
          </w:p>
        </w:tc>
        <w:tc>
          <w:tcPr>
            <w:tcW w:w="580" w:type="pct"/>
            <w:shd w:val="clear" w:color="auto" w:fill="FFFFFF"/>
            <w:vAlign w:val="center"/>
            <w:hideMark/>
          </w:tcPr>
          <w:p w14:paraId="7DE35BDE" w14:textId="77777777" w:rsidR="00BD5588" w:rsidRPr="005935D8" w:rsidRDefault="00BD5588" w:rsidP="00122EEB">
            <w:pPr>
              <w:jc w:val="center"/>
              <w:rPr>
                <w:lang w:eastAsia="en-US"/>
              </w:rPr>
            </w:pPr>
            <w:r w:rsidRPr="005935D8">
              <w:rPr>
                <w:lang w:eastAsia="en-US"/>
              </w:rPr>
              <w:t>7</w:t>
            </w:r>
          </w:p>
        </w:tc>
        <w:tc>
          <w:tcPr>
            <w:tcW w:w="579" w:type="pct"/>
            <w:gridSpan w:val="3"/>
            <w:shd w:val="clear" w:color="auto" w:fill="FFFFFF"/>
            <w:vAlign w:val="center"/>
            <w:hideMark/>
          </w:tcPr>
          <w:p w14:paraId="16485AE6" w14:textId="77777777" w:rsidR="00BD5588" w:rsidRPr="005935D8" w:rsidRDefault="00BD5588" w:rsidP="00122EEB">
            <w:pPr>
              <w:jc w:val="center"/>
              <w:rPr>
                <w:lang w:eastAsia="en-US"/>
              </w:rPr>
            </w:pPr>
            <w:r w:rsidRPr="005935D8">
              <w:rPr>
                <w:lang w:eastAsia="en-US"/>
              </w:rPr>
              <w:t>8</w:t>
            </w:r>
          </w:p>
        </w:tc>
      </w:tr>
      <w:tr w:rsidR="00A33B9E" w:rsidRPr="009A6CAD" w14:paraId="500C184D" w14:textId="77777777" w:rsidTr="00DA395D">
        <w:tblPrEx>
          <w:tblCellMar>
            <w:top w:w="28" w:type="dxa"/>
            <w:left w:w="28" w:type="dxa"/>
            <w:bottom w:w="28" w:type="dxa"/>
            <w:right w:w="28" w:type="dxa"/>
          </w:tblCellMar>
        </w:tblPrEx>
        <w:trPr>
          <w:cantSplit/>
        </w:trPr>
        <w:tc>
          <w:tcPr>
            <w:tcW w:w="1101" w:type="pct"/>
            <w:gridSpan w:val="4"/>
            <w:shd w:val="clear" w:color="auto" w:fill="FFFFFF"/>
            <w:hideMark/>
          </w:tcPr>
          <w:p w14:paraId="0A0A16A2" w14:textId="77777777" w:rsidR="00A33B9E" w:rsidRPr="005935D8" w:rsidRDefault="00A33B9E" w:rsidP="00A33B9E">
            <w:pPr>
              <w:rPr>
                <w:lang w:eastAsia="en-US"/>
              </w:rPr>
            </w:pPr>
            <w:r w:rsidRPr="005935D8">
              <w:rPr>
                <w:lang w:eastAsia="en-US"/>
              </w:rPr>
              <w:t>1. Budžeta ieņēmumi</w:t>
            </w:r>
          </w:p>
        </w:tc>
        <w:tc>
          <w:tcPr>
            <w:tcW w:w="573" w:type="pct"/>
            <w:gridSpan w:val="2"/>
            <w:shd w:val="clear" w:color="auto" w:fill="FFFFFF"/>
            <w:vAlign w:val="center"/>
            <w:hideMark/>
          </w:tcPr>
          <w:p w14:paraId="40130BCF" w14:textId="77777777" w:rsidR="00A33B9E" w:rsidRPr="005935D8" w:rsidRDefault="00A33B9E" w:rsidP="00A33B9E">
            <w:pPr>
              <w:jc w:val="center"/>
              <w:rPr>
                <w:lang w:eastAsia="en-US"/>
              </w:rPr>
            </w:pPr>
          </w:p>
        </w:tc>
        <w:tc>
          <w:tcPr>
            <w:tcW w:w="579" w:type="pct"/>
            <w:gridSpan w:val="2"/>
            <w:shd w:val="clear" w:color="auto" w:fill="FFFFFF"/>
            <w:vAlign w:val="center"/>
            <w:hideMark/>
          </w:tcPr>
          <w:p w14:paraId="35B8DE90" w14:textId="77777777" w:rsidR="00A33B9E" w:rsidRPr="005935D8" w:rsidRDefault="00A33B9E" w:rsidP="00A33B9E">
            <w:pPr>
              <w:jc w:val="center"/>
              <w:rPr>
                <w:lang w:eastAsia="en-US"/>
              </w:rPr>
            </w:pPr>
          </w:p>
        </w:tc>
        <w:tc>
          <w:tcPr>
            <w:tcW w:w="504" w:type="pct"/>
            <w:shd w:val="clear" w:color="auto" w:fill="FFFFFF"/>
            <w:vAlign w:val="center"/>
            <w:hideMark/>
          </w:tcPr>
          <w:p w14:paraId="103F1667" w14:textId="77777777" w:rsidR="00A33B9E" w:rsidRPr="005935D8" w:rsidRDefault="00A33B9E" w:rsidP="00A33B9E">
            <w:pPr>
              <w:jc w:val="center"/>
              <w:rPr>
                <w:lang w:eastAsia="en-US"/>
              </w:rPr>
            </w:pPr>
          </w:p>
        </w:tc>
        <w:tc>
          <w:tcPr>
            <w:tcW w:w="580" w:type="pct"/>
            <w:shd w:val="clear" w:color="auto" w:fill="FFFFFF"/>
            <w:vAlign w:val="center"/>
            <w:hideMark/>
          </w:tcPr>
          <w:p w14:paraId="5F4B29F5" w14:textId="69E259A2" w:rsidR="00A33B9E" w:rsidRPr="005935D8" w:rsidRDefault="00A33B9E" w:rsidP="00A33B9E">
            <w:pPr>
              <w:ind w:left="-24" w:right="-30"/>
              <w:jc w:val="center"/>
              <w:rPr>
                <w:lang w:eastAsia="en-US"/>
              </w:rPr>
            </w:pPr>
            <w:r>
              <w:rPr>
                <w:sz w:val="18"/>
                <w:szCs w:val="18"/>
                <w:lang w:eastAsia="en-US"/>
              </w:rPr>
              <w:t>-</w:t>
            </w:r>
            <w:r w:rsidRPr="002111DA">
              <w:rPr>
                <w:sz w:val="18"/>
                <w:szCs w:val="18"/>
                <w:lang w:eastAsia="en-US"/>
              </w:rPr>
              <w:t>1 400 000</w:t>
            </w:r>
          </w:p>
        </w:tc>
        <w:tc>
          <w:tcPr>
            <w:tcW w:w="504" w:type="pct"/>
            <w:shd w:val="clear" w:color="auto" w:fill="FFFFFF"/>
            <w:vAlign w:val="center"/>
            <w:hideMark/>
          </w:tcPr>
          <w:p w14:paraId="61959337" w14:textId="77777777" w:rsidR="00A33B9E" w:rsidRPr="005935D8" w:rsidRDefault="00A33B9E" w:rsidP="00A33B9E">
            <w:pPr>
              <w:ind w:right="-30"/>
              <w:jc w:val="center"/>
              <w:rPr>
                <w:lang w:eastAsia="en-US"/>
              </w:rPr>
            </w:pPr>
          </w:p>
        </w:tc>
        <w:tc>
          <w:tcPr>
            <w:tcW w:w="580" w:type="pct"/>
            <w:shd w:val="clear" w:color="auto" w:fill="FFFFFF"/>
            <w:vAlign w:val="center"/>
            <w:hideMark/>
          </w:tcPr>
          <w:p w14:paraId="423D7E72" w14:textId="2B959490" w:rsidR="00A33B9E" w:rsidRPr="005935D8" w:rsidRDefault="00A33B9E" w:rsidP="00A33B9E">
            <w:pPr>
              <w:ind w:right="-30"/>
              <w:jc w:val="center"/>
              <w:rPr>
                <w:lang w:eastAsia="en-US"/>
              </w:rPr>
            </w:pPr>
            <w:r>
              <w:rPr>
                <w:sz w:val="18"/>
                <w:szCs w:val="18"/>
                <w:lang w:eastAsia="en-US"/>
              </w:rPr>
              <w:t>-36 800 000</w:t>
            </w:r>
          </w:p>
        </w:tc>
        <w:tc>
          <w:tcPr>
            <w:tcW w:w="579" w:type="pct"/>
            <w:gridSpan w:val="3"/>
            <w:shd w:val="clear" w:color="auto" w:fill="FFFFFF"/>
            <w:vAlign w:val="center"/>
            <w:hideMark/>
          </w:tcPr>
          <w:p w14:paraId="4C28B09B" w14:textId="247123B1" w:rsidR="00A33B9E" w:rsidRPr="005935D8" w:rsidRDefault="00A33B9E" w:rsidP="00A33B9E">
            <w:pPr>
              <w:ind w:right="-30"/>
              <w:jc w:val="center"/>
              <w:rPr>
                <w:lang w:eastAsia="en-US"/>
              </w:rPr>
            </w:pPr>
            <w:r>
              <w:rPr>
                <w:sz w:val="18"/>
                <w:szCs w:val="18"/>
                <w:lang w:eastAsia="en-US"/>
              </w:rPr>
              <w:t>-36 800 000</w:t>
            </w:r>
          </w:p>
        </w:tc>
      </w:tr>
      <w:tr w:rsidR="00A33B9E" w:rsidRPr="009A6CAD" w14:paraId="5B42465D"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7B0D34AF" w14:textId="77777777" w:rsidR="00A33B9E" w:rsidRPr="005935D8" w:rsidRDefault="00A33B9E" w:rsidP="00A33B9E">
            <w:pPr>
              <w:rPr>
                <w:lang w:eastAsia="en-US"/>
              </w:rPr>
            </w:pPr>
            <w:r w:rsidRPr="005935D8">
              <w:rPr>
                <w:lang w:eastAsia="en-US"/>
              </w:rPr>
              <w:t>1.1. valsts pamatbudžets, tai skaitā ieņēmumi no maksas pakalpojumiem un citi pašu ieņēmumi</w:t>
            </w:r>
          </w:p>
        </w:tc>
        <w:tc>
          <w:tcPr>
            <w:tcW w:w="573" w:type="pct"/>
            <w:gridSpan w:val="2"/>
            <w:shd w:val="clear" w:color="auto" w:fill="auto"/>
            <w:vAlign w:val="center"/>
            <w:hideMark/>
          </w:tcPr>
          <w:p w14:paraId="44AB214C" w14:textId="77777777" w:rsidR="00A33B9E" w:rsidRPr="005935D8" w:rsidRDefault="00A33B9E" w:rsidP="00A33B9E">
            <w:pPr>
              <w:jc w:val="center"/>
              <w:rPr>
                <w:lang w:eastAsia="en-US"/>
              </w:rPr>
            </w:pPr>
          </w:p>
        </w:tc>
        <w:tc>
          <w:tcPr>
            <w:tcW w:w="579" w:type="pct"/>
            <w:gridSpan w:val="2"/>
            <w:shd w:val="clear" w:color="auto" w:fill="auto"/>
            <w:vAlign w:val="center"/>
            <w:hideMark/>
          </w:tcPr>
          <w:p w14:paraId="74294709" w14:textId="77777777" w:rsidR="00A33B9E" w:rsidRPr="005935D8" w:rsidRDefault="00A33B9E" w:rsidP="00A33B9E">
            <w:pPr>
              <w:jc w:val="center"/>
              <w:rPr>
                <w:lang w:eastAsia="en-US"/>
              </w:rPr>
            </w:pPr>
          </w:p>
        </w:tc>
        <w:tc>
          <w:tcPr>
            <w:tcW w:w="504" w:type="pct"/>
            <w:shd w:val="clear" w:color="auto" w:fill="auto"/>
            <w:vAlign w:val="center"/>
            <w:hideMark/>
          </w:tcPr>
          <w:p w14:paraId="6E9709B8" w14:textId="77777777" w:rsidR="00A33B9E" w:rsidRPr="005935D8" w:rsidRDefault="00A33B9E" w:rsidP="00A33B9E">
            <w:pPr>
              <w:jc w:val="center"/>
              <w:rPr>
                <w:lang w:eastAsia="en-US"/>
              </w:rPr>
            </w:pPr>
          </w:p>
        </w:tc>
        <w:tc>
          <w:tcPr>
            <w:tcW w:w="580" w:type="pct"/>
            <w:shd w:val="clear" w:color="auto" w:fill="auto"/>
            <w:vAlign w:val="center"/>
            <w:hideMark/>
          </w:tcPr>
          <w:p w14:paraId="335CD5F3" w14:textId="23730CCD" w:rsidR="00A33B9E" w:rsidRPr="005935D8" w:rsidRDefault="00A33B9E" w:rsidP="00A33B9E">
            <w:pPr>
              <w:ind w:left="-24"/>
              <w:jc w:val="center"/>
              <w:rPr>
                <w:lang w:eastAsia="en-US"/>
              </w:rPr>
            </w:pPr>
            <w:r>
              <w:rPr>
                <w:sz w:val="18"/>
                <w:szCs w:val="18"/>
                <w:lang w:eastAsia="en-US"/>
              </w:rPr>
              <w:t>-</w:t>
            </w:r>
            <w:r w:rsidRPr="002111DA">
              <w:rPr>
                <w:sz w:val="18"/>
                <w:szCs w:val="18"/>
                <w:lang w:eastAsia="en-US"/>
              </w:rPr>
              <w:t>1 400 000</w:t>
            </w:r>
          </w:p>
        </w:tc>
        <w:tc>
          <w:tcPr>
            <w:tcW w:w="504" w:type="pct"/>
            <w:shd w:val="clear" w:color="auto" w:fill="auto"/>
            <w:vAlign w:val="center"/>
            <w:hideMark/>
          </w:tcPr>
          <w:p w14:paraId="0B8899BB" w14:textId="77777777" w:rsidR="00A33B9E" w:rsidRPr="005935D8" w:rsidRDefault="00A33B9E" w:rsidP="00A33B9E">
            <w:pPr>
              <w:jc w:val="center"/>
              <w:rPr>
                <w:lang w:eastAsia="en-US"/>
              </w:rPr>
            </w:pPr>
          </w:p>
        </w:tc>
        <w:tc>
          <w:tcPr>
            <w:tcW w:w="580" w:type="pct"/>
            <w:shd w:val="clear" w:color="auto" w:fill="auto"/>
            <w:vAlign w:val="center"/>
            <w:hideMark/>
          </w:tcPr>
          <w:p w14:paraId="127E553B" w14:textId="0FBEE39A" w:rsidR="00A33B9E" w:rsidRPr="005935D8" w:rsidRDefault="00A33B9E" w:rsidP="00A33B9E">
            <w:pPr>
              <w:ind w:right="-6"/>
              <w:jc w:val="center"/>
              <w:rPr>
                <w:lang w:eastAsia="en-US"/>
              </w:rPr>
            </w:pPr>
            <w:r>
              <w:rPr>
                <w:sz w:val="18"/>
                <w:szCs w:val="18"/>
                <w:lang w:eastAsia="en-US"/>
              </w:rPr>
              <w:t>-25 400 000</w:t>
            </w:r>
          </w:p>
        </w:tc>
        <w:tc>
          <w:tcPr>
            <w:tcW w:w="579" w:type="pct"/>
            <w:gridSpan w:val="3"/>
            <w:shd w:val="clear" w:color="auto" w:fill="auto"/>
            <w:vAlign w:val="center"/>
            <w:hideMark/>
          </w:tcPr>
          <w:p w14:paraId="1398780D" w14:textId="292E373B" w:rsidR="00A33B9E" w:rsidRPr="005935D8" w:rsidRDefault="00A33B9E" w:rsidP="00A33B9E">
            <w:pPr>
              <w:jc w:val="center"/>
              <w:rPr>
                <w:lang w:eastAsia="en-US"/>
              </w:rPr>
            </w:pPr>
            <w:r>
              <w:rPr>
                <w:sz w:val="18"/>
                <w:szCs w:val="18"/>
                <w:lang w:eastAsia="en-US"/>
              </w:rPr>
              <w:t>-25 400 000</w:t>
            </w:r>
          </w:p>
        </w:tc>
      </w:tr>
      <w:tr w:rsidR="00A33B9E" w:rsidRPr="009A6CAD" w14:paraId="046C0B67"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18924E1B" w14:textId="77777777" w:rsidR="00A33B9E" w:rsidRPr="005935D8" w:rsidRDefault="00A33B9E" w:rsidP="00A33B9E">
            <w:pPr>
              <w:rPr>
                <w:lang w:eastAsia="en-US"/>
              </w:rPr>
            </w:pPr>
            <w:r w:rsidRPr="005935D8">
              <w:rPr>
                <w:lang w:eastAsia="en-US"/>
              </w:rPr>
              <w:lastRenderedPageBreak/>
              <w:t>1.2. valsts speciālais budžets</w:t>
            </w:r>
          </w:p>
        </w:tc>
        <w:tc>
          <w:tcPr>
            <w:tcW w:w="573" w:type="pct"/>
            <w:gridSpan w:val="2"/>
            <w:shd w:val="clear" w:color="auto" w:fill="auto"/>
            <w:vAlign w:val="center"/>
            <w:hideMark/>
          </w:tcPr>
          <w:p w14:paraId="3FCB2000" w14:textId="77777777" w:rsidR="00A33B9E" w:rsidRPr="005935D8" w:rsidRDefault="00A33B9E" w:rsidP="00A33B9E">
            <w:pPr>
              <w:jc w:val="center"/>
              <w:rPr>
                <w:lang w:eastAsia="en-US"/>
              </w:rPr>
            </w:pPr>
          </w:p>
        </w:tc>
        <w:tc>
          <w:tcPr>
            <w:tcW w:w="579" w:type="pct"/>
            <w:gridSpan w:val="2"/>
            <w:shd w:val="clear" w:color="auto" w:fill="auto"/>
            <w:vAlign w:val="center"/>
            <w:hideMark/>
          </w:tcPr>
          <w:p w14:paraId="6E9770B2" w14:textId="77777777" w:rsidR="00A33B9E" w:rsidRPr="005935D8" w:rsidRDefault="00A33B9E" w:rsidP="00A33B9E">
            <w:pPr>
              <w:jc w:val="center"/>
              <w:rPr>
                <w:lang w:eastAsia="en-US"/>
              </w:rPr>
            </w:pPr>
          </w:p>
        </w:tc>
        <w:tc>
          <w:tcPr>
            <w:tcW w:w="504" w:type="pct"/>
            <w:shd w:val="clear" w:color="auto" w:fill="auto"/>
            <w:vAlign w:val="center"/>
            <w:hideMark/>
          </w:tcPr>
          <w:p w14:paraId="42CB4E8E" w14:textId="77777777" w:rsidR="00A33B9E" w:rsidRPr="005935D8" w:rsidRDefault="00A33B9E" w:rsidP="00A33B9E">
            <w:pPr>
              <w:jc w:val="center"/>
              <w:rPr>
                <w:lang w:eastAsia="en-US"/>
              </w:rPr>
            </w:pPr>
          </w:p>
        </w:tc>
        <w:tc>
          <w:tcPr>
            <w:tcW w:w="580" w:type="pct"/>
            <w:shd w:val="clear" w:color="auto" w:fill="auto"/>
            <w:vAlign w:val="center"/>
            <w:hideMark/>
          </w:tcPr>
          <w:p w14:paraId="0C917B06" w14:textId="6D099352" w:rsidR="00A33B9E" w:rsidRPr="005935D8" w:rsidRDefault="00A33B9E" w:rsidP="00A33B9E">
            <w:pPr>
              <w:ind w:left="-24"/>
              <w:jc w:val="center"/>
              <w:rPr>
                <w:lang w:eastAsia="en-US"/>
              </w:rPr>
            </w:pPr>
            <w:r>
              <w:rPr>
                <w:sz w:val="18"/>
                <w:szCs w:val="18"/>
                <w:lang w:eastAsia="en-US"/>
              </w:rPr>
              <w:t>-1 400 000</w:t>
            </w:r>
          </w:p>
        </w:tc>
        <w:tc>
          <w:tcPr>
            <w:tcW w:w="504" w:type="pct"/>
            <w:shd w:val="clear" w:color="auto" w:fill="auto"/>
            <w:vAlign w:val="center"/>
            <w:hideMark/>
          </w:tcPr>
          <w:p w14:paraId="44295C10" w14:textId="77777777" w:rsidR="00A33B9E" w:rsidRPr="005935D8" w:rsidRDefault="00A33B9E" w:rsidP="00A33B9E">
            <w:pPr>
              <w:jc w:val="center"/>
              <w:rPr>
                <w:lang w:eastAsia="en-US"/>
              </w:rPr>
            </w:pPr>
          </w:p>
        </w:tc>
        <w:tc>
          <w:tcPr>
            <w:tcW w:w="580" w:type="pct"/>
            <w:shd w:val="clear" w:color="auto" w:fill="auto"/>
            <w:vAlign w:val="center"/>
            <w:hideMark/>
          </w:tcPr>
          <w:p w14:paraId="01BDA536" w14:textId="2365962B" w:rsidR="00A33B9E" w:rsidRPr="005935D8" w:rsidRDefault="00A33B9E" w:rsidP="00A33B9E">
            <w:pPr>
              <w:ind w:right="-6"/>
              <w:jc w:val="center"/>
              <w:rPr>
                <w:lang w:eastAsia="en-US"/>
              </w:rPr>
            </w:pPr>
            <w:r>
              <w:rPr>
                <w:sz w:val="18"/>
                <w:szCs w:val="18"/>
                <w:lang w:eastAsia="en-US"/>
              </w:rPr>
              <w:t>-24 600 000</w:t>
            </w:r>
          </w:p>
        </w:tc>
        <w:tc>
          <w:tcPr>
            <w:tcW w:w="579" w:type="pct"/>
            <w:gridSpan w:val="3"/>
            <w:shd w:val="clear" w:color="auto" w:fill="auto"/>
            <w:vAlign w:val="center"/>
            <w:hideMark/>
          </w:tcPr>
          <w:p w14:paraId="6377C276" w14:textId="0B3EC053" w:rsidR="00A33B9E" w:rsidRPr="005935D8" w:rsidRDefault="00A33B9E" w:rsidP="00A33B9E">
            <w:pPr>
              <w:jc w:val="center"/>
              <w:rPr>
                <w:lang w:eastAsia="en-US"/>
              </w:rPr>
            </w:pPr>
            <w:r>
              <w:rPr>
                <w:sz w:val="18"/>
                <w:szCs w:val="18"/>
                <w:lang w:eastAsia="en-US"/>
              </w:rPr>
              <w:t>-24 600 000</w:t>
            </w:r>
          </w:p>
        </w:tc>
      </w:tr>
      <w:tr w:rsidR="00A33B9E" w:rsidRPr="009A6CAD" w14:paraId="61FE5A23"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3FFE336D" w14:textId="77777777" w:rsidR="00A33B9E" w:rsidRPr="005935D8" w:rsidRDefault="00A33B9E" w:rsidP="00A33B9E">
            <w:pPr>
              <w:rPr>
                <w:lang w:eastAsia="en-US"/>
              </w:rPr>
            </w:pPr>
            <w:r w:rsidRPr="005935D8">
              <w:rPr>
                <w:lang w:eastAsia="en-US"/>
              </w:rPr>
              <w:t>1.3. pašvaldību budžets</w:t>
            </w:r>
          </w:p>
        </w:tc>
        <w:tc>
          <w:tcPr>
            <w:tcW w:w="573" w:type="pct"/>
            <w:gridSpan w:val="2"/>
            <w:shd w:val="clear" w:color="auto" w:fill="auto"/>
            <w:vAlign w:val="center"/>
            <w:hideMark/>
          </w:tcPr>
          <w:p w14:paraId="1607C19B" w14:textId="77777777" w:rsidR="00A33B9E" w:rsidRPr="005935D8" w:rsidRDefault="00A33B9E" w:rsidP="00A33B9E">
            <w:pPr>
              <w:jc w:val="center"/>
              <w:rPr>
                <w:lang w:eastAsia="en-US"/>
              </w:rPr>
            </w:pPr>
          </w:p>
        </w:tc>
        <w:tc>
          <w:tcPr>
            <w:tcW w:w="579" w:type="pct"/>
            <w:gridSpan w:val="2"/>
            <w:shd w:val="clear" w:color="auto" w:fill="auto"/>
            <w:vAlign w:val="center"/>
            <w:hideMark/>
          </w:tcPr>
          <w:p w14:paraId="429B0517" w14:textId="77777777" w:rsidR="00A33B9E" w:rsidRPr="005935D8" w:rsidRDefault="00A33B9E" w:rsidP="00A33B9E">
            <w:pPr>
              <w:jc w:val="center"/>
              <w:rPr>
                <w:lang w:eastAsia="en-US"/>
              </w:rPr>
            </w:pPr>
          </w:p>
        </w:tc>
        <w:tc>
          <w:tcPr>
            <w:tcW w:w="504" w:type="pct"/>
            <w:shd w:val="clear" w:color="auto" w:fill="auto"/>
            <w:vAlign w:val="center"/>
            <w:hideMark/>
          </w:tcPr>
          <w:p w14:paraId="501F1C85" w14:textId="77777777" w:rsidR="00A33B9E" w:rsidRPr="005935D8" w:rsidRDefault="00A33B9E" w:rsidP="00A33B9E">
            <w:pPr>
              <w:jc w:val="center"/>
              <w:rPr>
                <w:lang w:eastAsia="en-US"/>
              </w:rPr>
            </w:pPr>
          </w:p>
        </w:tc>
        <w:tc>
          <w:tcPr>
            <w:tcW w:w="580" w:type="pct"/>
            <w:shd w:val="clear" w:color="auto" w:fill="auto"/>
            <w:vAlign w:val="center"/>
            <w:hideMark/>
          </w:tcPr>
          <w:p w14:paraId="5495FA00" w14:textId="77777777" w:rsidR="00A33B9E" w:rsidRPr="005935D8" w:rsidRDefault="00A33B9E" w:rsidP="00A33B9E">
            <w:pPr>
              <w:jc w:val="center"/>
              <w:rPr>
                <w:lang w:eastAsia="en-US"/>
              </w:rPr>
            </w:pPr>
          </w:p>
        </w:tc>
        <w:tc>
          <w:tcPr>
            <w:tcW w:w="504" w:type="pct"/>
            <w:shd w:val="clear" w:color="auto" w:fill="auto"/>
            <w:vAlign w:val="center"/>
            <w:hideMark/>
          </w:tcPr>
          <w:p w14:paraId="18A4AA1E" w14:textId="77777777" w:rsidR="00A33B9E" w:rsidRPr="005935D8" w:rsidRDefault="00A33B9E" w:rsidP="00A33B9E">
            <w:pPr>
              <w:jc w:val="center"/>
              <w:rPr>
                <w:lang w:eastAsia="en-US"/>
              </w:rPr>
            </w:pPr>
          </w:p>
        </w:tc>
        <w:tc>
          <w:tcPr>
            <w:tcW w:w="580" w:type="pct"/>
            <w:shd w:val="clear" w:color="auto" w:fill="auto"/>
            <w:vAlign w:val="center"/>
            <w:hideMark/>
          </w:tcPr>
          <w:p w14:paraId="001F0BC2" w14:textId="0164D552" w:rsidR="00A33B9E" w:rsidRPr="005935D8" w:rsidRDefault="00A33B9E" w:rsidP="00A33B9E">
            <w:pPr>
              <w:ind w:right="-6"/>
              <w:jc w:val="center"/>
              <w:rPr>
                <w:lang w:eastAsia="en-US"/>
              </w:rPr>
            </w:pPr>
            <w:r>
              <w:rPr>
                <w:sz w:val="18"/>
                <w:szCs w:val="18"/>
                <w:lang w:eastAsia="en-US"/>
              </w:rPr>
              <w:t>-8 100 000</w:t>
            </w:r>
          </w:p>
        </w:tc>
        <w:tc>
          <w:tcPr>
            <w:tcW w:w="579" w:type="pct"/>
            <w:gridSpan w:val="3"/>
            <w:shd w:val="clear" w:color="auto" w:fill="auto"/>
            <w:vAlign w:val="center"/>
            <w:hideMark/>
          </w:tcPr>
          <w:p w14:paraId="4212B033" w14:textId="145861DD" w:rsidR="00A33B9E" w:rsidRPr="005935D8" w:rsidRDefault="00A33B9E" w:rsidP="00A33B9E">
            <w:pPr>
              <w:jc w:val="center"/>
              <w:rPr>
                <w:lang w:eastAsia="en-US"/>
              </w:rPr>
            </w:pPr>
            <w:r>
              <w:rPr>
                <w:sz w:val="18"/>
                <w:szCs w:val="18"/>
                <w:lang w:eastAsia="en-US"/>
              </w:rPr>
              <w:t>-8 100 000</w:t>
            </w:r>
          </w:p>
        </w:tc>
      </w:tr>
      <w:tr w:rsidR="00A33B9E" w:rsidRPr="009A6CAD" w14:paraId="72FD0065"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75D4CF1F" w14:textId="77777777" w:rsidR="00A33B9E" w:rsidRPr="005935D8" w:rsidRDefault="00A33B9E" w:rsidP="00A33B9E">
            <w:pPr>
              <w:rPr>
                <w:lang w:eastAsia="en-US"/>
              </w:rPr>
            </w:pPr>
            <w:r w:rsidRPr="005935D8">
              <w:rPr>
                <w:lang w:eastAsia="en-US"/>
              </w:rPr>
              <w:t>2. Budžeta izdevumi</w:t>
            </w:r>
          </w:p>
        </w:tc>
        <w:tc>
          <w:tcPr>
            <w:tcW w:w="573" w:type="pct"/>
            <w:gridSpan w:val="2"/>
            <w:shd w:val="clear" w:color="auto" w:fill="auto"/>
            <w:vAlign w:val="center"/>
            <w:hideMark/>
          </w:tcPr>
          <w:p w14:paraId="001AD360" w14:textId="77777777" w:rsidR="00A33B9E" w:rsidRPr="005935D8" w:rsidRDefault="00A33B9E" w:rsidP="00A33B9E">
            <w:pPr>
              <w:jc w:val="center"/>
              <w:rPr>
                <w:lang w:eastAsia="en-US"/>
              </w:rPr>
            </w:pPr>
          </w:p>
        </w:tc>
        <w:tc>
          <w:tcPr>
            <w:tcW w:w="579" w:type="pct"/>
            <w:gridSpan w:val="2"/>
            <w:shd w:val="clear" w:color="auto" w:fill="auto"/>
            <w:vAlign w:val="center"/>
            <w:hideMark/>
          </w:tcPr>
          <w:p w14:paraId="202BA7C6" w14:textId="77777777" w:rsidR="00A33B9E" w:rsidRPr="005935D8" w:rsidRDefault="00A33B9E" w:rsidP="00A33B9E">
            <w:pPr>
              <w:jc w:val="center"/>
              <w:rPr>
                <w:lang w:eastAsia="en-US"/>
              </w:rPr>
            </w:pPr>
          </w:p>
        </w:tc>
        <w:tc>
          <w:tcPr>
            <w:tcW w:w="504" w:type="pct"/>
            <w:shd w:val="clear" w:color="auto" w:fill="auto"/>
            <w:vAlign w:val="center"/>
            <w:hideMark/>
          </w:tcPr>
          <w:p w14:paraId="45D01C9D" w14:textId="77777777" w:rsidR="00A33B9E" w:rsidRPr="005935D8" w:rsidRDefault="00A33B9E" w:rsidP="00A33B9E">
            <w:pPr>
              <w:jc w:val="center"/>
              <w:rPr>
                <w:lang w:eastAsia="en-US"/>
              </w:rPr>
            </w:pPr>
          </w:p>
        </w:tc>
        <w:tc>
          <w:tcPr>
            <w:tcW w:w="580" w:type="pct"/>
            <w:shd w:val="clear" w:color="auto" w:fill="auto"/>
            <w:vAlign w:val="center"/>
            <w:hideMark/>
          </w:tcPr>
          <w:p w14:paraId="5BE69869" w14:textId="77777777" w:rsidR="00A33B9E" w:rsidRPr="005935D8" w:rsidRDefault="00A33B9E" w:rsidP="00A33B9E">
            <w:pPr>
              <w:jc w:val="center"/>
              <w:rPr>
                <w:lang w:eastAsia="en-US"/>
              </w:rPr>
            </w:pPr>
          </w:p>
        </w:tc>
        <w:tc>
          <w:tcPr>
            <w:tcW w:w="504" w:type="pct"/>
            <w:shd w:val="clear" w:color="auto" w:fill="auto"/>
            <w:vAlign w:val="center"/>
            <w:hideMark/>
          </w:tcPr>
          <w:p w14:paraId="3871EB22" w14:textId="77777777" w:rsidR="00A33B9E" w:rsidRPr="005935D8" w:rsidRDefault="00A33B9E" w:rsidP="00A33B9E">
            <w:pPr>
              <w:jc w:val="center"/>
              <w:rPr>
                <w:lang w:eastAsia="en-US"/>
              </w:rPr>
            </w:pPr>
          </w:p>
        </w:tc>
        <w:tc>
          <w:tcPr>
            <w:tcW w:w="580" w:type="pct"/>
            <w:shd w:val="clear" w:color="auto" w:fill="auto"/>
            <w:vAlign w:val="center"/>
            <w:hideMark/>
          </w:tcPr>
          <w:p w14:paraId="05563BEA" w14:textId="1DAF222C" w:rsidR="00A33B9E" w:rsidRPr="005935D8" w:rsidRDefault="00A33B9E" w:rsidP="00A33B9E">
            <w:pPr>
              <w:ind w:right="-6"/>
              <w:jc w:val="center"/>
              <w:rPr>
                <w:lang w:eastAsia="en-US"/>
              </w:rPr>
            </w:pPr>
            <w:r>
              <w:rPr>
                <w:sz w:val="18"/>
                <w:szCs w:val="18"/>
                <w:lang w:eastAsia="en-US"/>
              </w:rPr>
              <w:t>-3 300 000</w:t>
            </w:r>
          </w:p>
        </w:tc>
        <w:tc>
          <w:tcPr>
            <w:tcW w:w="579" w:type="pct"/>
            <w:gridSpan w:val="3"/>
            <w:shd w:val="clear" w:color="auto" w:fill="auto"/>
            <w:vAlign w:val="center"/>
            <w:hideMark/>
          </w:tcPr>
          <w:p w14:paraId="58453B33" w14:textId="62BEAA84" w:rsidR="00A33B9E" w:rsidRPr="005935D8" w:rsidRDefault="00A33B9E" w:rsidP="00A33B9E">
            <w:pPr>
              <w:jc w:val="center"/>
              <w:rPr>
                <w:lang w:eastAsia="en-US"/>
              </w:rPr>
            </w:pPr>
            <w:r>
              <w:rPr>
                <w:sz w:val="18"/>
                <w:szCs w:val="18"/>
                <w:lang w:eastAsia="en-US"/>
              </w:rPr>
              <w:t>-3 300 000</w:t>
            </w:r>
          </w:p>
        </w:tc>
      </w:tr>
      <w:tr w:rsidR="00A33B9E" w:rsidRPr="009A6CAD" w14:paraId="40DB386D"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6F051FF8" w14:textId="77777777" w:rsidR="00A33B9E" w:rsidRPr="005935D8" w:rsidRDefault="00A33B9E" w:rsidP="00A33B9E">
            <w:pPr>
              <w:rPr>
                <w:lang w:eastAsia="en-US"/>
              </w:rPr>
            </w:pPr>
            <w:r w:rsidRPr="005935D8">
              <w:rPr>
                <w:lang w:eastAsia="en-US"/>
              </w:rPr>
              <w:t>2.1. valsts pamatbudžets</w:t>
            </w:r>
          </w:p>
        </w:tc>
        <w:tc>
          <w:tcPr>
            <w:tcW w:w="573" w:type="pct"/>
            <w:gridSpan w:val="2"/>
            <w:shd w:val="clear" w:color="auto" w:fill="auto"/>
            <w:vAlign w:val="center"/>
            <w:hideMark/>
          </w:tcPr>
          <w:p w14:paraId="32A861E8" w14:textId="77777777" w:rsidR="00A33B9E" w:rsidRPr="005935D8" w:rsidRDefault="00A33B9E" w:rsidP="00A33B9E">
            <w:pPr>
              <w:jc w:val="center"/>
              <w:rPr>
                <w:lang w:eastAsia="en-US"/>
              </w:rPr>
            </w:pPr>
          </w:p>
        </w:tc>
        <w:tc>
          <w:tcPr>
            <w:tcW w:w="579" w:type="pct"/>
            <w:gridSpan w:val="2"/>
            <w:shd w:val="clear" w:color="auto" w:fill="auto"/>
            <w:vAlign w:val="center"/>
            <w:hideMark/>
          </w:tcPr>
          <w:p w14:paraId="00C0E205" w14:textId="77777777" w:rsidR="00A33B9E" w:rsidRPr="005935D8" w:rsidRDefault="00A33B9E" w:rsidP="00A33B9E">
            <w:pPr>
              <w:jc w:val="center"/>
              <w:rPr>
                <w:lang w:eastAsia="en-US"/>
              </w:rPr>
            </w:pPr>
          </w:p>
        </w:tc>
        <w:tc>
          <w:tcPr>
            <w:tcW w:w="504" w:type="pct"/>
            <w:shd w:val="clear" w:color="auto" w:fill="auto"/>
            <w:vAlign w:val="center"/>
            <w:hideMark/>
          </w:tcPr>
          <w:p w14:paraId="02AB7A0A" w14:textId="77777777" w:rsidR="00A33B9E" w:rsidRPr="005935D8" w:rsidRDefault="00A33B9E" w:rsidP="00A33B9E">
            <w:pPr>
              <w:jc w:val="center"/>
              <w:rPr>
                <w:lang w:eastAsia="en-US"/>
              </w:rPr>
            </w:pPr>
          </w:p>
        </w:tc>
        <w:tc>
          <w:tcPr>
            <w:tcW w:w="580" w:type="pct"/>
            <w:shd w:val="clear" w:color="auto" w:fill="auto"/>
            <w:vAlign w:val="center"/>
            <w:hideMark/>
          </w:tcPr>
          <w:p w14:paraId="07758929" w14:textId="77777777" w:rsidR="00A33B9E" w:rsidRPr="005935D8" w:rsidRDefault="00A33B9E" w:rsidP="00A33B9E">
            <w:pPr>
              <w:jc w:val="center"/>
              <w:rPr>
                <w:lang w:eastAsia="en-US"/>
              </w:rPr>
            </w:pPr>
          </w:p>
        </w:tc>
        <w:tc>
          <w:tcPr>
            <w:tcW w:w="504" w:type="pct"/>
            <w:shd w:val="clear" w:color="auto" w:fill="auto"/>
            <w:vAlign w:val="center"/>
            <w:hideMark/>
          </w:tcPr>
          <w:p w14:paraId="431B995C" w14:textId="77777777" w:rsidR="00A33B9E" w:rsidRPr="005935D8" w:rsidRDefault="00A33B9E" w:rsidP="00A33B9E">
            <w:pPr>
              <w:jc w:val="center"/>
              <w:rPr>
                <w:lang w:eastAsia="en-US"/>
              </w:rPr>
            </w:pPr>
          </w:p>
        </w:tc>
        <w:tc>
          <w:tcPr>
            <w:tcW w:w="580" w:type="pct"/>
            <w:shd w:val="clear" w:color="auto" w:fill="auto"/>
            <w:vAlign w:val="center"/>
            <w:hideMark/>
          </w:tcPr>
          <w:p w14:paraId="14D7371D" w14:textId="77777777" w:rsidR="00A33B9E" w:rsidRPr="005935D8" w:rsidRDefault="00A33B9E" w:rsidP="00A33B9E">
            <w:pPr>
              <w:jc w:val="center"/>
              <w:rPr>
                <w:lang w:eastAsia="en-US"/>
              </w:rPr>
            </w:pPr>
          </w:p>
        </w:tc>
        <w:tc>
          <w:tcPr>
            <w:tcW w:w="579" w:type="pct"/>
            <w:gridSpan w:val="3"/>
            <w:shd w:val="clear" w:color="auto" w:fill="auto"/>
            <w:vAlign w:val="center"/>
            <w:hideMark/>
          </w:tcPr>
          <w:p w14:paraId="1F6A01FE" w14:textId="77777777" w:rsidR="00A33B9E" w:rsidRPr="005935D8" w:rsidRDefault="00A33B9E" w:rsidP="00A33B9E">
            <w:pPr>
              <w:jc w:val="center"/>
              <w:rPr>
                <w:lang w:eastAsia="en-US"/>
              </w:rPr>
            </w:pPr>
          </w:p>
        </w:tc>
      </w:tr>
      <w:tr w:rsidR="00A33B9E" w:rsidRPr="009A6CAD" w14:paraId="701FB8A7"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35108E8E" w14:textId="77777777" w:rsidR="00A33B9E" w:rsidRPr="005935D8" w:rsidRDefault="00A33B9E" w:rsidP="00A33B9E">
            <w:pPr>
              <w:rPr>
                <w:lang w:eastAsia="en-US"/>
              </w:rPr>
            </w:pPr>
            <w:r w:rsidRPr="005935D8">
              <w:rPr>
                <w:lang w:eastAsia="en-US"/>
              </w:rPr>
              <w:t>2.2. valsts speciālais budžets</w:t>
            </w:r>
          </w:p>
        </w:tc>
        <w:tc>
          <w:tcPr>
            <w:tcW w:w="573" w:type="pct"/>
            <w:gridSpan w:val="2"/>
            <w:shd w:val="clear" w:color="auto" w:fill="auto"/>
            <w:vAlign w:val="center"/>
            <w:hideMark/>
          </w:tcPr>
          <w:p w14:paraId="5739B913" w14:textId="77777777" w:rsidR="00A33B9E" w:rsidRPr="005935D8" w:rsidRDefault="00A33B9E" w:rsidP="00A33B9E">
            <w:pPr>
              <w:jc w:val="center"/>
              <w:rPr>
                <w:lang w:eastAsia="en-US"/>
              </w:rPr>
            </w:pPr>
          </w:p>
        </w:tc>
        <w:tc>
          <w:tcPr>
            <w:tcW w:w="579" w:type="pct"/>
            <w:gridSpan w:val="2"/>
            <w:shd w:val="clear" w:color="auto" w:fill="auto"/>
            <w:vAlign w:val="center"/>
            <w:hideMark/>
          </w:tcPr>
          <w:p w14:paraId="5C7DDF6C" w14:textId="77777777" w:rsidR="00A33B9E" w:rsidRPr="005935D8" w:rsidRDefault="00A33B9E" w:rsidP="00A33B9E">
            <w:pPr>
              <w:jc w:val="center"/>
              <w:rPr>
                <w:lang w:eastAsia="en-US"/>
              </w:rPr>
            </w:pPr>
          </w:p>
        </w:tc>
        <w:tc>
          <w:tcPr>
            <w:tcW w:w="504" w:type="pct"/>
            <w:shd w:val="clear" w:color="auto" w:fill="auto"/>
            <w:vAlign w:val="center"/>
            <w:hideMark/>
          </w:tcPr>
          <w:p w14:paraId="63F1240C" w14:textId="77777777" w:rsidR="00A33B9E" w:rsidRPr="005935D8" w:rsidRDefault="00A33B9E" w:rsidP="00A33B9E">
            <w:pPr>
              <w:jc w:val="center"/>
              <w:rPr>
                <w:lang w:eastAsia="en-US"/>
              </w:rPr>
            </w:pPr>
          </w:p>
        </w:tc>
        <w:tc>
          <w:tcPr>
            <w:tcW w:w="580" w:type="pct"/>
            <w:shd w:val="clear" w:color="auto" w:fill="auto"/>
            <w:vAlign w:val="center"/>
            <w:hideMark/>
          </w:tcPr>
          <w:p w14:paraId="3500DD31" w14:textId="77777777" w:rsidR="00A33B9E" w:rsidRPr="005935D8" w:rsidRDefault="00A33B9E" w:rsidP="00A33B9E">
            <w:pPr>
              <w:jc w:val="center"/>
              <w:rPr>
                <w:lang w:eastAsia="en-US"/>
              </w:rPr>
            </w:pPr>
          </w:p>
        </w:tc>
        <w:tc>
          <w:tcPr>
            <w:tcW w:w="504" w:type="pct"/>
            <w:shd w:val="clear" w:color="auto" w:fill="auto"/>
            <w:vAlign w:val="center"/>
            <w:hideMark/>
          </w:tcPr>
          <w:p w14:paraId="7D326BCD" w14:textId="77777777" w:rsidR="00A33B9E" w:rsidRPr="005935D8" w:rsidRDefault="00A33B9E" w:rsidP="00A33B9E">
            <w:pPr>
              <w:jc w:val="center"/>
              <w:rPr>
                <w:lang w:eastAsia="en-US"/>
              </w:rPr>
            </w:pPr>
          </w:p>
        </w:tc>
        <w:tc>
          <w:tcPr>
            <w:tcW w:w="580" w:type="pct"/>
            <w:shd w:val="clear" w:color="auto" w:fill="auto"/>
            <w:vAlign w:val="center"/>
            <w:hideMark/>
          </w:tcPr>
          <w:p w14:paraId="125E90DC" w14:textId="77777777" w:rsidR="00A33B9E" w:rsidRPr="005935D8" w:rsidRDefault="00A33B9E" w:rsidP="00A33B9E">
            <w:pPr>
              <w:jc w:val="center"/>
              <w:rPr>
                <w:lang w:eastAsia="en-US"/>
              </w:rPr>
            </w:pPr>
          </w:p>
        </w:tc>
        <w:tc>
          <w:tcPr>
            <w:tcW w:w="579" w:type="pct"/>
            <w:gridSpan w:val="3"/>
            <w:shd w:val="clear" w:color="auto" w:fill="auto"/>
            <w:vAlign w:val="center"/>
            <w:hideMark/>
          </w:tcPr>
          <w:p w14:paraId="50E8054A" w14:textId="77777777" w:rsidR="00A33B9E" w:rsidRPr="005935D8" w:rsidRDefault="00A33B9E" w:rsidP="00A33B9E">
            <w:pPr>
              <w:jc w:val="center"/>
              <w:rPr>
                <w:lang w:eastAsia="en-US"/>
              </w:rPr>
            </w:pPr>
          </w:p>
        </w:tc>
      </w:tr>
      <w:tr w:rsidR="00A33B9E" w:rsidRPr="009A6CAD" w14:paraId="5DCB354C"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0BFBD788" w14:textId="77777777" w:rsidR="00A33B9E" w:rsidRPr="005935D8" w:rsidRDefault="00A33B9E" w:rsidP="00A33B9E">
            <w:pPr>
              <w:rPr>
                <w:lang w:eastAsia="en-US"/>
              </w:rPr>
            </w:pPr>
            <w:r w:rsidRPr="005935D8">
              <w:rPr>
                <w:lang w:eastAsia="en-US"/>
              </w:rPr>
              <w:t>2.3. pašvaldību budžets</w:t>
            </w:r>
          </w:p>
        </w:tc>
        <w:tc>
          <w:tcPr>
            <w:tcW w:w="573" w:type="pct"/>
            <w:gridSpan w:val="2"/>
            <w:shd w:val="clear" w:color="auto" w:fill="auto"/>
            <w:vAlign w:val="center"/>
            <w:hideMark/>
          </w:tcPr>
          <w:p w14:paraId="57882F6E" w14:textId="77777777" w:rsidR="00A33B9E" w:rsidRPr="005935D8" w:rsidRDefault="00A33B9E" w:rsidP="00A33B9E">
            <w:pPr>
              <w:jc w:val="center"/>
              <w:rPr>
                <w:lang w:eastAsia="en-US"/>
              </w:rPr>
            </w:pPr>
          </w:p>
        </w:tc>
        <w:tc>
          <w:tcPr>
            <w:tcW w:w="579" w:type="pct"/>
            <w:gridSpan w:val="2"/>
            <w:shd w:val="clear" w:color="auto" w:fill="auto"/>
            <w:vAlign w:val="center"/>
            <w:hideMark/>
          </w:tcPr>
          <w:p w14:paraId="1E90838D" w14:textId="77777777" w:rsidR="00A33B9E" w:rsidRPr="005935D8" w:rsidRDefault="00A33B9E" w:rsidP="00A33B9E">
            <w:pPr>
              <w:jc w:val="center"/>
              <w:rPr>
                <w:lang w:eastAsia="en-US"/>
              </w:rPr>
            </w:pPr>
          </w:p>
        </w:tc>
        <w:tc>
          <w:tcPr>
            <w:tcW w:w="504" w:type="pct"/>
            <w:shd w:val="clear" w:color="auto" w:fill="auto"/>
            <w:vAlign w:val="center"/>
            <w:hideMark/>
          </w:tcPr>
          <w:p w14:paraId="291383FA" w14:textId="77777777" w:rsidR="00A33B9E" w:rsidRPr="005935D8" w:rsidRDefault="00A33B9E" w:rsidP="00A33B9E">
            <w:pPr>
              <w:jc w:val="center"/>
              <w:rPr>
                <w:lang w:eastAsia="en-US"/>
              </w:rPr>
            </w:pPr>
          </w:p>
        </w:tc>
        <w:tc>
          <w:tcPr>
            <w:tcW w:w="580" w:type="pct"/>
            <w:shd w:val="clear" w:color="auto" w:fill="auto"/>
            <w:vAlign w:val="center"/>
            <w:hideMark/>
          </w:tcPr>
          <w:p w14:paraId="6CBAD9CC" w14:textId="77777777" w:rsidR="00A33B9E" w:rsidRPr="005935D8" w:rsidRDefault="00A33B9E" w:rsidP="00A33B9E">
            <w:pPr>
              <w:jc w:val="center"/>
              <w:rPr>
                <w:lang w:eastAsia="en-US"/>
              </w:rPr>
            </w:pPr>
          </w:p>
        </w:tc>
        <w:tc>
          <w:tcPr>
            <w:tcW w:w="504" w:type="pct"/>
            <w:shd w:val="clear" w:color="auto" w:fill="auto"/>
            <w:vAlign w:val="center"/>
            <w:hideMark/>
          </w:tcPr>
          <w:p w14:paraId="574247FE" w14:textId="77777777" w:rsidR="00A33B9E" w:rsidRPr="005935D8" w:rsidRDefault="00A33B9E" w:rsidP="00A33B9E">
            <w:pPr>
              <w:jc w:val="center"/>
              <w:rPr>
                <w:lang w:eastAsia="en-US"/>
              </w:rPr>
            </w:pPr>
          </w:p>
        </w:tc>
        <w:tc>
          <w:tcPr>
            <w:tcW w:w="580" w:type="pct"/>
            <w:shd w:val="clear" w:color="auto" w:fill="auto"/>
            <w:vAlign w:val="center"/>
            <w:hideMark/>
          </w:tcPr>
          <w:p w14:paraId="24D0AFDF" w14:textId="77777777" w:rsidR="00A33B9E" w:rsidRPr="005935D8" w:rsidRDefault="00A33B9E" w:rsidP="00A33B9E">
            <w:pPr>
              <w:jc w:val="center"/>
              <w:rPr>
                <w:lang w:eastAsia="en-US"/>
              </w:rPr>
            </w:pPr>
          </w:p>
        </w:tc>
        <w:tc>
          <w:tcPr>
            <w:tcW w:w="579" w:type="pct"/>
            <w:gridSpan w:val="3"/>
            <w:shd w:val="clear" w:color="auto" w:fill="auto"/>
            <w:vAlign w:val="center"/>
            <w:hideMark/>
          </w:tcPr>
          <w:p w14:paraId="74F7B442" w14:textId="77777777" w:rsidR="00A33B9E" w:rsidRPr="005935D8" w:rsidRDefault="00A33B9E" w:rsidP="00A33B9E">
            <w:pPr>
              <w:jc w:val="center"/>
              <w:rPr>
                <w:lang w:eastAsia="en-US"/>
              </w:rPr>
            </w:pPr>
          </w:p>
        </w:tc>
      </w:tr>
      <w:tr w:rsidR="00DA395D" w:rsidRPr="009A6CAD" w14:paraId="504254E9"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57C87F0C" w14:textId="77777777" w:rsidR="00DA395D" w:rsidRPr="005935D8" w:rsidRDefault="00DA395D" w:rsidP="00DA395D">
            <w:pPr>
              <w:rPr>
                <w:lang w:eastAsia="en-US"/>
              </w:rPr>
            </w:pPr>
            <w:r w:rsidRPr="005935D8">
              <w:rPr>
                <w:lang w:eastAsia="en-US"/>
              </w:rPr>
              <w:t>3. Finansiālā ietekme</w:t>
            </w:r>
          </w:p>
        </w:tc>
        <w:tc>
          <w:tcPr>
            <w:tcW w:w="573" w:type="pct"/>
            <w:gridSpan w:val="2"/>
            <w:shd w:val="clear" w:color="auto" w:fill="auto"/>
            <w:vAlign w:val="center"/>
            <w:hideMark/>
          </w:tcPr>
          <w:p w14:paraId="41BED26A" w14:textId="77777777" w:rsidR="00DA395D" w:rsidRPr="005935D8" w:rsidRDefault="00DA395D" w:rsidP="00DA395D">
            <w:pPr>
              <w:jc w:val="center"/>
              <w:rPr>
                <w:lang w:eastAsia="en-US"/>
              </w:rPr>
            </w:pPr>
          </w:p>
        </w:tc>
        <w:tc>
          <w:tcPr>
            <w:tcW w:w="579" w:type="pct"/>
            <w:gridSpan w:val="2"/>
            <w:shd w:val="clear" w:color="auto" w:fill="auto"/>
            <w:vAlign w:val="center"/>
            <w:hideMark/>
          </w:tcPr>
          <w:p w14:paraId="509B0B4B" w14:textId="77777777" w:rsidR="00DA395D" w:rsidRPr="005935D8" w:rsidRDefault="00DA395D" w:rsidP="00DA395D">
            <w:pPr>
              <w:jc w:val="center"/>
              <w:rPr>
                <w:lang w:eastAsia="en-US"/>
              </w:rPr>
            </w:pPr>
          </w:p>
        </w:tc>
        <w:tc>
          <w:tcPr>
            <w:tcW w:w="504" w:type="pct"/>
            <w:shd w:val="clear" w:color="auto" w:fill="auto"/>
            <w:vAlign w:val="center"/>
            <w:hideMark/>
          </w:tcPr>
          <w:p w14:paraId="670D0D77" w14:textId="77777777" w:rsidR="00DA395D" w:rsidRPr="005935D8" w:rsidRDefault="00DA395D" w:rsidP="00DA395D">
            <w:pPr>
              <w:jc w:val="center"/>
              <w:rPr>
                <w:lang w:eastAsia="en-US"/>
              </w:rPr>
            </w:pPr>
          </w:p>
        </w:tc>
        <w:tc>
          <w:tcPr>
            <w:tcW w:w="580" w:type="pct"/>
            <w:shd w:val="clear" w:color="auto" w:fill="auto"/>
            <w:vAlign w:val="center"/>
            <w:hideMark/>
          </w:tcPr>
          <w:p w14:paraId="7ACA8A89" w14:textId="6763670A" w:rsidR="00DA395D" w:rsidRPr="005935D8" w:rsidRDefault="00DA395D" w:rsidP="00DA395D">
            <w:pPr>
              <w:jc w:val="center"/>
              <w:rPr>
                <w:lang w:eastAsia="en-US"/>
              </w:rPr>
            </w:pPr>
            <w:r>
              <w:rPr>
                <w:sz w:val="18"/>
                <w:szCs w:val="18"/>
                <w:lang w:eastAsia="en-US"/>
              </w:rPr>
              <w:t>-</w:t>
            </w:r>
            <w:r w:rsidRPr="00684A72">
              <w:rPr>
                <w:sz w:val="18"/>
                <w:szCs w:val="18"/>
                <w:lang w:eastAsia="en-US"/>
              </w:rPr>
              <w:t>1 400 000</w:t>
            </w:r>
          </w:p>
        </w:tc>
        <w:tc>
          <w:tcPr>
            <w:tcW w:w="504" w:type="pct"/>
            <w:shd w:val="clear" w:color="auto" w:fill="auto"/>
            <w:vAlign w:val="center"/>
            <w:hideMark/>
          </w:tcPr>
          <w:p w14:paraId="473190B9" w14:textId="77777777" w:rsidR="00DA395D" w:rsidRPr="005935D8" w:rsidRDefault="00DA395D" w:rsidP="00DA395D">
            <w:pPr>
              <w:jc w:val="center"/>
              <w:rPr>
                <w:lang w:eastAsia="en-US"/>
              </w:rPr>
            </w:pPr>
          </w:p>
        </w:tc>
        <w:tc>
          <w:tcPr>
            <w:tcW w:w="580" w:type="pct"/>
            <w:shd w:val="clear" w:color="auto" w:fill="auto"/>
            <w:vAlign w:val="center"/>
            <w:hideMark/>
          </w:tcPr>
          <w:p w14:paraId="5389D2DC" w14:textId="6B74E6B6" w:rsidR="00DA395D" w:rsidRPr="005935D8" w:rsidRDefault="00DA395D" w:rsidP="00DA395D">
            <w:pPr>
              <w:jc w:val="center"/>
              <w:rPr>
                <w:lang w:eastAsia="en-US"/>
              </w:rPr>
            </w:pPr>
            <w:r>
              <w:rPr>
                <w:sz w:val="18"/>
                <w:szCs w:val="18"/>
                <w:lang w:eastAsia="en-US"/>
              </w:rPr>
              <w:t>-36 800 000</w:t>
            </w:r>
          </w:p>
        </w:tc>
        <w:tc>
          <w:tcPr>
            <w:tcW w:w="579" w:type="pct"/>
            <w:gridSpan w:val="3"/>
            <w:shd w:val="clear" w:color="auto" w:fill="auto"/>
            <w:vAlign w:val="center"/>
            <w:hideMark/>
          </w:tcPr>
          <w:p w14:paraId="696B30F7" w14:textId="7EC3CC86" w:rsidR="00DA395D" w:rsidRPr="005935D8" w:rsidRDefault="00DA395D" w:rsidP="00DA395D">
            <w:pPr>
              <w:jc w:val="center"/>
              <w:rPr>
                <w:lang w:eastAsia="en-US"/>
              </w:rPr>
            </w:pPr>
            <w:r>
              <w:rPr>
                <w:sz w:val="18"/>
                <w:szCs w:val="18"/>
                <w:lang w:eastAsia="en-US"/>
              </w:rPr>
              <w:t>-36 800 000</w:t>
            </w:r>
          </w:p>
        </w:tc>
      </w:tr>
      <w:tr w:rsidR="00DA395D" w:rsidRPr="009A6CAD" w14:paraId="7B772B8D"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1BC05F0A" w14:textId="77777777" w:rsidR="00DA395D" w:rsidRPr="005935D8" w:rsidRDefault="00DA395D" w:rsidP="00DA395D">
            <w:pPr>
              <w:rPr>
                <w:lang w:eastAsia="en-US"/>
              </w:rPr>
            </w:pPr>
            <w:r w:rsidRPr="005935D8">
              <w:rPr>
                <w:lang w:eastAsia="en-US"/>
              </w:rPr>
              <w:t>3.1. valsts pamatbudžets</w:t>
            </w:r>
          </w:p>
        </w:tc>
        <w:tc>
          <w:tcPr>
            <w:tcW w:w="573" w:type="pct"/>
            <w:gridSpan w:val="2"/>
            <w:shd w:val="clear" w:color="auto" w:fill="auto"/>
            <w:vAlign w:val="center"/>
            <w:hideMark/>
          </w:tcPr>
          <w:p w14:paraId="3E0AC7CB" w14:textId="77777777" w:rsidR="00DA395D" w:rsidRPr="005935D8" w:rsidRDefault="00DA395D" w:rsidP="00DA395D">
            <w:pPr>
              <w:jc w:val="center"/>
              <w:rPr>
                <w:lang w:eastAsia="en-US"/>
              </w:rPr>
            </w:pPr>
          </w:p>
        </w:tc>
        <w:tc>
          <w:tcPr>
            <w:tcW w:w="579" w:type="pct"/>
            <w:gridSpan w:val="2"/>
            <w:shd w:val="clear" w:color="auto" w:fill="auto"/>
            <w:vAlign w:val="center"/>
            <w:hideMark/>
          </w:tcPr>
          <w:p w14:paraId="3E9F8353" w14:textId="77777777" w:rsidR="00DA395D" w:rsidRPr="005935D8" w:rsidRDefault="00DA395D" w:rsidP="00DA395D">
            <w:pPr>
              <w:jc w:val="center"/>
              <w:rPr>
                <w:lang w:eastAsia="en-US"/>
              </w:rPr>
            </w:pPr>
          </w:p>
        </w:tc>
        <w:tc>
          <w:tcPr>
            <w:tcW w:w="504" w:type="pct"/>
            <w:shd w:val="clear" w:color="auto" w:fill="auto"/>
            <w:vAlign w:val="center"/>
            <w:hideMark/>
          </w:tcPr>
          <w:p w14:paraId="087DD30F" w14:textId="77777777" w:rsidR="00DA395D" w:rsidRPr="005935D8" w:rsidRDefault="00DA395D" w:rsidP="00DA395D">
            <w:pPr>
              <w:jc w:val="center"/>
              <w:rPr>
                <w:lang w:eastAsia="en-US"/>
              </w:rPr>
            </w:pPr>
          </w:p>
        </w:tc>
        <w:tc>
          <w:tcPr>
            <w:tcW w:w="580" w:type="pct"/>
            <w:shd w:val="clear" w:color="auto" w:fill="auto"/>
            <w:vAlign w:val="center"/>
          </w:tcPr>
          <w:p w14:paraId="5E169A00" w14:textId="388A2CFD" w:rsidR="00DA395D" w:rsidRPr="005935D8" w:rsidRDefault="00DA395D" w:rsidP="00DA395D">
            <w:pPr>
              <w:jc w:val="center"/>
              <w:rPr>
                <w:lang w:eastAsia="en-US"/>
              </w:rPr>
            </w:pPr>
            <w:r>
              <w:rPr>
                <w:sz w:val="18"/>
                <w:szCs w:val="18"/>
                <w:lang w:eastAsia="en-US"/>
              </w:rPr>
              <w:t>-</w:t>
            </w:r>
            <w:r w:rsidRPr="00684A72">
              <w:rPr>
                <w:sz w:val="18"/>
                <w:szCs w:val="18"/>
                <w:lang w:eastAsia="en-US"/>
              </w:rPr>
              <w:t>1 400 000</w:t>
            </w:r>
          </w:p>
        </w:tc>
        <w:tc>
          <w:tcPr>
            <w:tcW w:w="504" w:type="pct"/>
            <w:shd w:val="clear" w:color="auto" w:fill="auto"/>
            <w:vAlign w:val="center"/>
          </w:tcPr>
          <w:p w14:paraId="241ECAA4" w14:textId="77777777" w:rsidR="00DA395D" w:rsidRPr="005935D8" w:rsidRDefault="00DA395D" w:rsidP="00DA395D">
            <w:pPr>
              <w:jc w:val="center"/>
              <w:rPr>
                <w:lang w:eastAsia="en-US"/>
              </w:rPr>
            </w:pPr>
          </w:p>
        </w:tc>
        <w:tc>
          <w:tcPr>
            <w:tcW w:w="580" w:type="pct"/>
            <w:shd w:val="clear" w:color="auto" w:fill="auto"/>
            <w:vAlign w:val="center"/>
          </w:tcPr>
          <w:p w14:paraId="4C50CAD9" w14:textId="27ECA693" w:rsidR="00DA395D" w:rsidRPr="005935D8" w:rsidRDefault="00DA395D" w:rsidP="00DA395D">
            <w:pPr>
              <w:jc w:val="center"/>
              <w:rPr>
                <w:lang w:eastAsia="en-US"/>
              </w:rPr>
            </w:pPr>
            <w:r>
              <w:rPr>
                <w:sz w:val="18"/>
                <w:szCs w:val="18"/>
                <w:lang w:eastAsia="en-US"/>
              </w:rPr>
              <w:t>-25 400 000</w:t>
            </w:r>
          </w:p>
        </w:tc>
        <w:tc>
          <w:tcPr>
            <w:tcW w:w="579" w:type="pct"/>
            <w:gridSpan w:val="3"/>
            <w:shd w:val="clear" w:color="auto" w:fill="auto"/>
            <w:vAlign w:val="center"/>
          </w:tcPr>
          <w:p w14:paraId="5282B56E" w14:textId="3CBF25E0" w:rsidR="00DA395D" w:rsidRPr="005935D8" w:rsidRDefault="00DA395D" w:rsidP="00DA395D">
            <w:pPr>
              <w:jc w:val="center"/>
              <w:rPr>
                <w:lang w:eastAsia="en-US"/>
              </w:rPr>
            </w:pPr>
            <w:r>
              <w:rPr>
                <w:sz w:val="18"/>
                <w:szCs w:val="18"/>
                <w:lang w:eastAsia="en-US"/>
              </w:rPr>
              <w:t>-25 400 000</w:t>
            </w:r>
          </w:p>
        </w:tc>
      </w:tr>
      <w:tr w:rsidR="00DA395D" w:rsidRPr="009A6CAD" w14:paraId="7E411B75"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25CEC453" w14:textId="77777777" w:rsidR="00DA395D" w:rsidRPr="005935D8" w:rsidRDefault="00DA395D" w:rsidP="00DA395D">
            <w:pPr>
              <w:rPr>
                <w:lang w:eastAsia="en-US"/>
              </w:rPr>
            </w:pPr>
            <w:r w:rsidRPr="005935D8">
              <w:rPr>
                <w:lang w:eastAsia="en-US"/>
              </w:rPr>
              <w:t>3.2. speciālais budžets</w:t>
            </w:r>
          </w:p>
        </w:tc>
        <w:tc>
          <w:tcPr>
            <w:tcW w:w="573" w:type="pct"/>
            <w:gridSpan w:val="2"/>
            <w:shd w:val="clear" w:color="auto" w:fill="auto"/>
            <w:vAlign w:val="center"/>
            <w:hideMark/>
          </w:tcPr>
          <w:p w14:paraId="084E60A0" w14:textId="77777777" w:rsidR="00DA395D" w:rsidRPr="005935D8" w:rsidRDefault="00DA395D" w:rsidP="00DA395D">
            <w:pPr>
              <w:jc w:val="center"/>
              <w:rPr>
                <w:lang w:eastAsia="en-US"/>
              </w:rPr>
            </w:pPr>
          </w:p>
        </w:tc>
        <w:tc>
          <w:tcPr>
            <w:tcW w:w="579" w:type="pct"/>
            <w:gridSpan w:val="2"/>
            <w:shd w:val="clear" w:color="auto" w:fill="auto"/>
            <w:vAlign w:val="center"/>
            <w:hideMark/>
          </w:tcPr>
          <w:p w14:paraId="41DD7DA4" w14:textId="77777777" w:rsidR="00DA395D" w:rsidRPr="005935D8" w:rsidRDefault="00DA395D" w:rsidP="00DA395D">
            <w:pPr>
              <w:jc w:val="center"/>
              <w:rPr>
                <w:lang w:eastAsia="en-US"/>
              </w:rPr>
            </w:pPr>
          </w:p>
        </w:tc>
        <w:tc>
          <w:tcPr>
            <w:tcW w:w="504" w:type="pct"/>
            <w:shd w:val="clear" w:color="auto" w:fill="auto"/>
            <w:vAlign w:val="center"/>
            <w:hideMark/>
          </w:tcPr>
          <w:p w14:paraId="6929DA29" w14:textId="77777777" w:rsidR="00DA395D" w:rsidRPr="005935D8" w:rsidRDefault="00DA395D" w:rsidP="00DA395D">
            <w:pPr>
              <w:jc w:val="center"/>
              <w:rPr>
                <w:lang w:eastAsia="en-US"/>
              </w:rPr>
            </w:pPr>
          </w:p>
        </w:tc>
        <w:tc>
          <w:tcPr>
            <w:tcW w:w="580" w:type="pct"/>
            <w:shd w:val="clear" w:color="auto" w:fill="auto"/>
            <w:vAlign w:val="center"/>
          </w:tcPr>
          <w:p w14:paraId="05A35215" w14:textId="0C1CDF5D" w:rsidR="00DA395D" w:rsidRPr="005935D8" w:rsidRDefault="00DA395D" w:rsidP="00DA395D">
            <w:pPr>
              <w:jc w:val="center"/>
              <w:rPr>
                <w:lang w:eastAsia="en-US"/>
              </w:rPr>
            </w:pPr>
            <w:r>
              <w:rPr>
                <w:sz w:val="18"/>
                <w:szCs w:val="18"/>
                <w:lang w:eastAsia="en-US"/>
              </w:rPr>
              <w:t>-</w:t>
            </w:r>
            <w:r w:rsidRPr="00684A72">
              <w:rPr>
                <w:sz w:val="18"/>
                <w:szCs w:val="18"/>
                <w:lang w:eastAsia="en-US"/>
              </w:rPr>
              <w:t>1 400 000</w:t>
            </w:r>
          </w:p>
        </w:tc>
        <w:tc>
          <w:tcPr>
            <w:tcW w:w="504" w:type="pct"/>
            <w:shd w:val="clear" w:color="auto" w:fill="auto"/>
            <w:vAlign w:val="center"/>
          </w:tcPr>
          <w:p w14:paraId="6590946B" w14:textId="77777777" w:rsidR="00DA395D" w:rsidRPr="005935D8" w:rsidRDefault="00DA395D" w:rsidP="00DA395D">
            <w:pPr>
              <w:jc w:val="center"/>
              <w:rPr>
                <w:lang w:eastAsia="en-US"/>
              </w:rPr>
            </w:pPr>
          </w:p>
        </w:tc>
        <w:tc>
          <w:tcPr>
            <w:tcW w:w="580" w:type="pct"/>
            <w:shd w:val="clear" w:color="auto" w:fill="auto"/>
            <w:vAlign w:val="center"/>
          </w:tcPr>
          <w:p w14:paraId="769AADD3" w14:textId="4AB1B638" w:rsidR="00DA395D" w:rsidRPr="005935D8" w:rsidRDefault="00DA395D" w:rsidP="00DA395D">
            <w:pPr>
              <w:jc w:val="center"/>
              <w:rPr>
                <w:lang w:eastAsia="en-US"/>
              </w:rPr>
            </w:pPr>
            <w:r>
              <w:rPr>
                <w:sz w:val="18"/>
                <w:szCs w:val="18"/>
                <w:lang w:eastAsia="en-US"/>
              </w:rPr>
              <w:t>-8 100 000</w:t>
            </w:r>
          </w:p>
        </w:tc>
        <w:tc>
          <w:tcPr>
            <w:tcW w:w="579" w:type="pct"/>
            <w:gridSpan w:val="3"/>
            <w:shd w:val="clear" w:color="auto" w:fill="auto"/>
            <w:vAlign w:val="center"/>
          </w:tcPr>
          <w:p w14:paraId="270B7981" w14:textId="1EA86E78" w:rsidR="00DA395D" w:rsidRPr="005935D8" w:rsidRDefault="00DA395D" w:rsidP="00DA395D">
            <w:pPr>
              <w:jc w:val="center"/>
              <w:rPr>
                <w:lang w:eastAsia="en-US"/>
              </w:rPr>
            </w:pPr>
            <w:r>
              <w:rPr>
                <w:sz w:val="18"/>
                <w:szCs w:val="18"/>
                <w:lang w:eastAsia="en-US"/>
              </w:rPr>
              <w:t>-8 100 000</w:t>
            </w:r>
          </w:p>
        </w:tc>
      </w:tr>
      <w:tr w:rsidR="00DA395D" w:rsidRPr="009A6CAD" w14:paraId="6AB03129"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22C7504A" w14:textId="77777777" w:rsidR="00DA395D" w:rsidRPr="005935D8" w:rsidRDefault="00DA395D" w:rsidP="00DA395D">
            <w:pPr>
              <w:rPr>
                <w:lang w:eastAsia="en-US"/>
              </w:rPr>
            </w:pPr>
            <w:r w:rsidRPr="005935D8">
              <w:rPr>
                <w:lang w:eastAsia="en-US"/>
              </w:rPr>
              <w:t>3.3. pašvaldību budžets</w:t>
            </w:r>
          </w:p>
        </w:tc>
        <w:tc>
          <w:tcPr>
            <w:tcW w:w="573" w:type="pct"/>
            <w:gridSpan w:val="2"/>
            <w:shd w:val="clear" w:color="auto" w:fill="auto"/>
            <w:vAlign w:val="center"/>
            <w:hideMark/>
          </w:tcPr>
          <w:p w14:paraId="535FF93A" w14:textId="77777777" w:rsidR="00DA395D" w:rsidRPr="005935D8" w:rsidRDefault="00DA395D" w:rsidP="00DA395D">
            <w:pPr>
              <w:jc w:val="center"/>
              <w:rPr>
                <w:lang w:eastAsia="en-US"/>
              </w:rPr>
            </w:pPr>
          </w:p>
        </w:tc>
        <w:tc>
          <w:tcPr>
            <w:tcW w:w="579" w:type="pct"/>
            <w:gridSpan w:val="2"/>
            <w:shd w:val="clear" w:color="auto" w:fill="auto"/>
            <w:vAlign w:val="center"/>
            <w:hideMark/>
          </w:tcPr>
          <w:p w14:paraId="23E917D0" w14:textId="77777777" w:rsidR="00DA395D" w:rsidRPr="005935D8" w:rsidRDefault="00DA395D" w:rsidP="00DA395D">
            <w:pPr>
              <w:jc w:val="center"/>
              <w:rPr>
                <w:lang w:eastAsia="en-US"/>
              </w:rPr>
            </w:pPr>
          </w:p>
        </w:tc>
        <w:tc>
          <w:tcPr>
            <w:tcW w:w="504" w:type="pct"/>
            <w:shd w:val="clear" w:color="auto" w:fill="auto"/>
            <w:vAlign w:val="center"/>
            <w:hideMark/>
          </w:tcPr>
          <w:p w14:paraId="40435610" w14:textId="77777777" w:rsidR="00DA395D" w:rsidRPr="005935D8" w:rsidRDefault="00DA395D" w:rsidP="00DA395D">
            <w:pPr>
              <w:jc w:val="center"/>
              <w:rPr>
                <w:lang w:eastAsia="en-US"/>
              </w:rPr>
            </w:pPr>
          </w:p>
        </w:tc>
        <w:tc>
          <w:tcPr>
            <w:tcW w:w="580" w:type="pct"/>
            <w:shd w:val="clear" w:color="auto" w:fill="auto"/>
            <w:vAlign w:val="center"/>
          </w:tcPr>
          <w:p w14:paraId="724972EF" w14:textId="4D8BBF97" w:rsidR="00DA395D" w:rsidRPr="005935D8" w:rsidRDefault="00DA395D" w:rsidP="00DA395D">
            <w:pPr>
              <w:jc w:val="center"/>
              <w:rPr>
                <w:lang w:eastAsia="en-US"/>
              </w:rPr>
            </w:pPr>
            <w:r>
              <w:rPr>
                <w:sz w:val="18"/>
                <w:szCs w:val="18"/>
                <w:lang w:eastAsia="en-US"/>
              </w:rPr>
              <w:t>-</w:t>
            </w:r>
            <w:r w:rsidRPr="00684A72">
              <w:rPr>
                <w:sz w:val="18"/>
                <w:szCs w:val="18"/>
                <w:lang w:eastAsia="en-US"/>
              </w:rPr>
              <w:t>1 400 000</w:t>
            </w:r>
          </w:p>
        </w:tc>
        <w:tc>
          <w:tcPr>
            <w:tcW w:w="504" w:type="pct"/>
            <w:shd w:val="clear" w:color="auto" w:fill="auto"/>
            <w:vAlign w:val="center"/>
          </w:tcPr>
          <w:p w14:paraId="06CB33D6" w14:textId="77777777" w:rsidR="00DA395D" w:rsidRPr="005935D8" w:rsidRDefault="00DA395D" w:rsidP="00DA395D">
            <w:pPr>
              <w:jc w:val="center"/>
              <w:rPr>
                <w:lang w:eastAsia="en-US"/>
              </w:rPr>
            </w:pPr>
          </w:p>
        </w:tc>
        <w:tc>
          <w:tcPr>
            <w:tcW w:w="580" w:type="pct"/>
            <w:shd w:val="clear" w:color="auto" w:fill="auto"/>
            <w:vAlign w:val="center"/>
          </w:tcPr>
          <w:p w14:paraId="3C9059B5" w14:textId="5FFF4CA7" w:rsidR="00DA395D" w:rsidRPr="005935D8" w:rsidRDefault="00DA395D" w:rsidP="00DA395D">
            <w:pPr>
              <w:jc w:val="center"/>
              <w:rPr>
                <w:lang w:eastAsia="en-US"/>
              </w:rPr>
            </w:pPr>
            <w:r>
              <w:rPr>
                <w:sz w:val="18"/>
                <w:szCs w:val="18"/>
                <w:lang w:eastAsia="en-US"/>
              </w:rPr>
              <w:t>-3 300 000</w:t>
            </w:r>
          </w:p>
        </w:tc>
        <w:tc>
          <w:tcPr>
            <w:tcW w:w="579" w:type="pct"/>
            <w:gridSpan w:val="3"/>
            <w:shd w:val="clear" w:color="auto" w:fill="auto"/>
            <w:vAlign w:val="center"/>
          </w:tcPr>
          <w:p w14:paraId="08CE3ABE" w14:textId="602C8592" w:rsidR="00DA395D" w:rsidRPr="005935D8" w:rsidRDefault="00DA395D" w:rsidP="00DA395D">
            <w:pPr>
              <w:jc w:val="center"/>
              <w:rPr>
                <w:lang w:eastAsia="en-US"/>
              </w:rPr>
            </w:pPr>
            <w:r>
              <w:rPr>
                <w:sz w:val="18"/>
                <w:szCs w:val="18"/>
                <w:lang w:eastAsia="en-US"/>
              </w:rPr>
              <w:t>-3 300 000</w:t>
            </w:r>
          </w:p>
        </w:tc>
      </w:tr>
      <w:tr w:rsidR="00DA395D" w:rsidRPr="009A6CAD" w14:paraId="0BF4AC8E"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045ADD32" w14:textId="77777777" w:rsidR="00DA395D" w:rsidRPr="005935D8" w:rsidRDefault="00DA395D" w:rsidP="00DA395D">
            <w:pPr>
              <w:rPr>
                <w:lang w:eastAsia="en-US"/>
              </w:rPr>
            </w:pPr>
            <w:r w:rsidRPr="005935D8">
              <w:rPr>
                <w:lang w:eastAsia="en-US"/>
              </w:rPr>
              <w:t>4. Finanšu līdzekļi papildu izdevumu finansēšanai (kompensējošu izdevumu samazinājumu norāda ar "+" zīmi)</w:t>
            </w:r>
          </w:p>
        </w:tc>
        <w:tc>
          <w:tcPr>
            <w:tcW w:w="573" w:type="pct"/>
            <w:gridSpan w:val="2"/>
            <w:shd w:val="clear" w:color="auto" w:fill="auto"/>
            <w:vAlign w:val="center"/>
            <w:hideMark/>
          </w:tcPr>
          <w:p w14:paraId="2CE47ED6" w14:textId="77777777" w:rsidR="00DA395D" w:rsidRPr="005935D8" w:rsidRDefault="00DA395D" w:rsidP="00DA395D">
            <w:pPr>
              <w:jc w:val="center"/>
              <w:rPr>
                <w:lang w:eastAsia="en-US"/>
              </w:rPr>
            </w:pPr>
          </w:p>
        </w:tc>
        <w:tc>
          <w:tcPr>
            <w:tcW w:w="579" w:type="pct"/>
            <w:gridSpan w:val="2"/>
            <w:shd w:val="clear" w:color="auto" w:fill="auto"/>
            <w:vAlign w:val="center"/>
            <w:hideMark/>
          </w:tcPr>
          <w:p w14:paraId="54E2B002" w14:textId="77777777" w:rsidR="00DA395D" w:rsidRPr="005935D8" w:rsidRDefault="00DA395D" w:rsidP="00DA395D">
            <w:pPr>
              <w:jc w:val="center"/>
              <w:rPr>
                <w:lang w:eastAsia="en-US"/>
              </w:rPr>
            </w:pPr>
          </w:p>
        </w:tc>
        <w:tc>
          <w:tcPr>
            <w:tcW w:w="504" w:type="pct"/>
            <w:shd w:val="clear" w:color="auto" w:fill="auto"/>
            <w:vAlign w:val="center"/>
            <w:hideMark/>
          </w:tcPr>
          <w:p w14:paraId="17871585" w14:textId="77777777" w:rsidR="00DA395D" w:rsidRPr="005935D8" w:rsidRDefault="00DA395D" w:rsidP="00DA395D">
            <w:pPr>
              <w:jc w:val="center"/>
              <w:rPr>
                <w:lang w:eastAsia="en-US"/>
              </w:rPr>
            </w:pPr>
          </w:p>
        </w:tc>
        <w:tc>
          <w:tcPr>
            <w:tcW w:w="580" w:type="pct"/>
            <w:shd w:val="clear" w:color="auto" w:fill="auto"/>
            <w:vAlign w:val="center"/>
            <w:hideMark/>
          </w:tcPr>
          <w:p w14:paraId="34514C29" w14:textId="77777777" w:rsidR="00DA395D" w:rsidRPr="005935D8" w:rsidRDefault="00DA395D" w:rsidP="00DA395D">
            <w:pPr>
              <w:jc w:val="center"/>
              <w:rPr>
                <w:lang w:eastAsia="en-US"/>
              </w:rPr>
            </w:pPr>
            <w:bookmarkStart w:id="0" w:name="_GoBack"/>
            <w:bookmarkEnd w:id="0"/>
          </w:p>
        </w:tc>
        <w:tc>
          <w:tcPr>
            <w:tcW w:w="504" w:type="pct"/>
            <w:shd w:val="clear" w:color="auto" w:fill="auto"/>
            <w:vAlign w:val="center"/>
            <w:hideMark/>
          </w:tcPr>
          <w:p w14:paraId="2DE38741" w14:textId="77777777" w:rsidR="00DA395D" w:rsidRPr="005935D8" w:rsidRDefault="00DA395D" w:rsidP="00DA395D">
            <w:pPr>
              <w:jc w:val="center"/>
              <w:rPr>
                <w:lang w:eastAsia="en-US"/>
              </w:rPr>
            </w:pPr>
          </w:p>
        </w:tc>
        <w:tc>
          <w:tcPr>
            <w:tcW w:w="580" w:type="pct"/>
            <w:shd w:val="clear" w:color="auto" w:fill="auto"/>
            <w:vAlign w:val="center"/>
            <w:hideMark/>
          </w:tcPr>
          <w:p w14:paraId="0CC89199" w14:textId="77777777" w:rsidR="00DA395D" w:rsidRPr="005935D8" w:rsidRDefault="00DA395D" w:rsidP="00DA395D">
            <w:pPr>
              <w:jc w:val="center"/>
              <w:rPr>
                <w:lang w:eastAsia="en-US"/>
              </w:rPr>
            </w:pPr>
          </w:p>
        </w:tc>
        <w:tc>
          <w:tcPr>
            <w:tcW w:w="579" w:type="pct"/>
            <w:gridSpan w:val="3"/>
            <w:shd w:val="clear" w:color="auto" w:fill="auto"/>
            <w:vAlign w:val="center"/>
            <w:hideMark/>
          </w:tcPr>
          <w:p w14:paraId="05864AEA" w14:textId="77777777" w:rsidR="00DA395D" w:rsidRPr="005935D8" w:rsidRDefault="00DA395D" w:rsidP="00DA395D">
            <w:pPr>
              <w:jc w:val="center"/>
              <w:rPr>
                <w:lang w:eastAsia="en-US"/>
              </w:rPr>
            </w:pPr>
          </w:p>
        </w:tc>
      </w:tr>
      <w:tr w:rsidR="00DA395D" w:rsidRPr="009A6CAD" w14:paraId="404CF1BB"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448C8A3E" w14:textId="77777777" w:rsidR="00DA395D" w:rsidRPr="005935D8" w:rsidRDefault="00DA395D" w:rsidP="00DA395D">
            <w:pPr>
              <w:rPr>
                <w:lang w:eastAsia="en-US"/>
              </w:rPr>
            </w:pPr>
            <w:r w:rsidRPr="005935D8">
              <w:rPr>
                <w:lang w:eastAsia="en-US"/>
              </w:rPr>
              <w:t>5. Precizēta finansiālā ietekme</w:t>
            </w:r>
          </w:p>
        </w:tc>
        <w:tc>
          <w:tcPr>
            <w:tcW w:w="573" w:type="pct"/>
            <w:gridSpan w:val="2"/>
            <w:vMerge w:val="restart"/>
            <w:shd w:val="clear" w:color="auto" w:fill="auto"/>
            <w:vAlign w:val="center"/>
            <w:hideMark/>
          </w:tcPr>
          <w:p w14:paraId="5EA05160" w14:textId="77777777" w:rsidR="00DA395D" w:rsidRPr="005935D8" w:rsidRDefault="00DA395D" w:rsidP="00DA395D">
            <w:pPr>
              <w:jc w:val="center"/>
              <w:rPr>
                <w:lang w:eastAsia="en-US"/>
              </w:rPr>
            </w:pPr>
          </w:p>
        </w:tc>
        <w:tc>
          <w:tcPr>
            <w:tcW w:w="579" w:type="pct"/>
            <w:gridSpan w:val="2"/>
            <w:shd w:val="clear" w:color="auto" w:fill="auto"/>
            <w:vAlign w:val="center"/>
            <w:hideMark/>
          </w:tcPr>
          <w:p w14:paraId="475EBC72" w14:textId="77777777" w:rsidR="00DA395D" w:rsidRPr="005935D8" w:rsidRDefault="00DA395D" w:rsidP="00DA395D">
            <w:pPr>
              <w:jc w:val="center"/>
              <w:rPr>
                <w:lang w:eastAsia="en-US"/>
              </w:rPr>
            </w:pPr>
          </w:p>
        </w:tc>
        <w:tc>
          <w:tcPr>
            <w:tcW w:w="504" w:type="pct"/>
            <w:vMerge w:val="restart"/>
            <w:shd w:val="clear" w:color="auto" w:fill="auto"/>
            <w:vAlign w:val="center"/>
            <w:hideMark/>
          </w:tcPr>
          <w:p w14:paraId="187042D3" w14:textId="77777777" w:rsidR="00DA395D" w:rsidRPr="005935D8" w:rsidRDefault="00DA395D" w:rsidP="00DA395D">
            <w:pPr>
              <w:jc w:val="center"/>
              <w:rPr>
                <w:lang w:eastAsia="en-US"/>
              </w:rPr>
            </w:pPr>
          </w:p>
        </w:tc>
        <w:tc>
          <w:tcPr>
            <w:tcW w:w="580" w:type="pct"/>
            <w:shd w:val="clear" w:color="auto" w:fill="auto"/>
            <w:vAlign w:val="center"/>
            <w:hideMark/>
          </w:tcPr>
          <w:p w14:paraId="25C0513A" w14:textId="77777777" w:rsidR="00DA395D" w:rsidRPr="005935D8" w:rsidRDefault="00DA395D" w:rsidP="00DA395D">
            <w:pPr>
              <w:jc w:val="center"/>
              <w:rPr>
                <w:lang w:eastAsia="en-US"/>
              </w:rPr>
            </w:pPr>
          </w:p>
        </w:tc>
        <w:tc>
          <w:tcPr>
            <w:tcW w:w="504" w:type="pct"/>
            <w:vMerge w:val="restart"/>
            <w:shd w:val="clear" w:color="auto" w:fill="auto"/>
            <w:vAlign w:val="center"/>
            <w:hideMark/>
          </w:tcPr>
          <w:p w14:paraId="5DF8D6DD" w14:textId="77777777" w:rsidR="00DA395D" w:rsidRPr="005935D8" w:rsidRDefault="00DA395D" w:rsidP="00DA395D">
            <w:pPr>
              <w:jc w:val="center"/>
              <w:rPr>
                <w:lang w:eastAsia="en-US"/>
              </w:rPr>
            </w:pPr>
          </w:p>
        </w:tc>
        <w:tc>
          <w:tcPr>
            <w:tcW w:w="580" w:type="pct"/>
            <w:shd w:val="clear" w:color="auto" w:fill="auto"/>
            <w:vAlign w:val="center"/>
            <w:hideMark/>
          </w:tcPr>
          <w:p w14:paraId="2E57D05A" w14:textId="77777777" w:rsidR="00DA395D" w:rsidRPr="005935D8" w:rsidRDefault="00DA395D" w:rsidP="00DA395D">
            <w:pPr>
              <w:jc w:val="center"/>
              <w:rPr>
                <w:lang w:eastAsia="en-US"/>
              </w:rPr>
            </w:pPr>
          </w:p>
        </w:tc>
        <w:tc>
          <w:tcPr>
            <w:tcW w:w="579" w:type="pct"/>
            <w:gridSpan w:val="3"/>
            <w:shd w:val="clear" w:color="auto" w:fill="auto"/>
            <w:vAlign w:val="center"/>
            <w:hideMark/>
          </w:tcPr>
          <w:p w14:paraId="79E0CE08" w14:textId="77777777" w:rsidR="00DA395D" w:rsidRPr="005935D8" w:rsidRDefault="00DA395D" w:rsidP="00DA395D">
            <w:pPr>
              <w:jc w:val="center"/>
              <w:rPr>
                <w:lang w:eastAsia="en-US"/>
              </w:rPr>
            </w:pPr>
          </w:p>
        </w:tc>
      </w:tr>
      <w:tr w:rsidR="00DA395D" w:rsidRPr="009A6CAD" w14:paraId="1F584725"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62E27144" w14:textId="77777777" w:rsidR="00DA395D" w:rsidRPr="005935D8" w:rsidRDefault="00DA395D" w:rsidP="00DA395D">
            <w:pPr>
              <w:rPr>
                <w:lang w:eastAsia="en-US"/>
              </w:rPr>
            </w:pPr>
            <w:r w:rsidRPr="005935D8">
              <w:rPr>
                <w:lang w:eastAsia="en-US"/>
              </w:rPr>
              <w:t>5.1. valsts pamatbudžets</w:t>
            </w:r>
          </w:p>
        </w:tc>
        <w:tc>
          <w:tcPr>
            <w:tcW w:w="573" w:type="pct"/>
            <w:gridSpan w:val="2"/>
            <w:vMerge/>
            <w:shd w:val="clear" w:color="auto" w:fill="auto"/>
            <w:vAlign w:val="center"/>
            <w:hideMark/>
          </w:tcPr>
          <w:p w14:paraId="242031D8" w14:textId="77777777" w:rsidR="00DA395D" w:rsidRPr="005935D8" w:rsidRDefault="00DA395D" w:rsidP="00DA395D">
            <w:pPr>
              <w:jc w:val="center"/>
              <w:rPr>
                <w:lang w:eastAsia="en-US"/>
              </w:rPr>
            </w:pPr>
          </w:p>
        </w:tc>
        <w:tc>
          <w:tcPr>
            <w:tcW w:w="579" w:type="pct"/>
            <w:gridSpan w:val="2"/>
            <w:shd w:val="clear" w:color="auto" w:fill="auto"/>
            <w:vAlign w:val="center"/>
            <w:hideMark/>
          </w:tcPr>
          <w:p w14:paraId="0224F3C7" w14:textId="77777777" w:rsidR="00DA395D" w:rsidRPr="005935D8" w:rsidRDefault="00DA395D" w:rsidP="00DA395D">
            <w:pPr>
              <w:jc w:val="center"/>
              <w:rPr>
                <w:lang w:eastAsia="en-US"/>
              </w:rPr>
            </w:pPr>
          </w:p>
        </w:tc>
        <w:tc>
          <w:tcPr>
            <w:tcW w:w="504" w:type="pct"/>
            <w:vMerge/>
            <w:shd w:val="clear" w:color="auto" w:fill="auto"/>
            <w:vAlign w:val="center"/>
            <w:hideMark/>
          </w:tcPr>
          <w:p w14:paraId="5EA8D7A2" w14:textId="77777777" w:rsidR="00DA395D" w:rsidRPr="005935D8" w:rsidRDefault="00DA395D" w:rsidP="00DA395D">
            <w:pPr>
              <w:jc w:val="center"/>
              <w:rPr>
                <w:lang w:eastAsia="en-US"/>
              </w:rPr>
            </w:pPr>
          </w:p>
        </w:tc>
        <w:tc>
          <w:tcPr>
            <w:tcW w:w="580" w:type="pct"/>
            <w:shd w:val="clear" w:color="auto" w:fill="auto"/>
            <w:vAlign w:val="center"/>
            <w:hideMark/>
          </w:tcPr>
          <w:p w14:paraId="0E65407E" w14:textId="77777777" w:rsidR="00DA395D" w:rsidRPr="005935D8" w:rsidRDefault="00DA395D" w:rsidP="00DA395D">
            <w:pPr>
              <w:jc w:val="center"/>
              <w:rPr>
                <w:lang w:eastAsia="en-US"/>
              </w:rPr>
            </w:pPr>
          </w:p>
        </w:tc>
        <w:tc>
          <w:tcPr>
            <w:tcW w:w="504" w:type="pct"/>
            <w:vMerge/>
            <w:shd w:val="clear" w:color="auto" w:fill="auto"/>
            <w:vAlign w:val="center"/>
            <w:hideMark/>
          </w:tcPr>
          <w:p w14:paraId="5D67D5B3" w14:textId="77777777" w:rsidR="00DA395D" w:rsidRPr="005935D8" w:rsidRDefault="00DA395D" w:rsidP="00DA395D">
            <w:pPr>
              <w:jc w:val="center"/>
              <w:rPr>
                <w:lang w:eastAsia="en-US"/>
              </w:rPr>
            </w:pPr>
          </w:p>
        </w:tc>
        <w:tc>
          <w:tcPr>
            <w:tcW w:w="580" w:type="pct"/>
            <w:shd w:val="clear" w:color="auto" w:fill="auto"/>
            <w:vAlign w:val="center"/>
            <w:hideMark/>
          </w:tcPr>
          <w:p w14:paraId="737E0925" w14:textId="77777777" w:rsidR="00DA395D" w:rsidRPr="005935D8" w:rsidRDefault="00DA395D" w:rsidP="00DA395D">
            <w:pPr>
              <w:jc w:val="center"/>
              <w:rPr>
                <w:lang w:eastAsia="en-US"/>
              </w:rPr>
            </w:pPr>
          </w:p>
        </w:tc>
        <w:tc>
          <w:tcPr>
            <w:tcW w:w="579" w:type="pct"/>
            <w:gridSpan w:val="3"/>
            <w:shd w:val="clear" w:color="auto" w:fill="auto"/>
            <w:vAlign w:val="center"/>
            <w:hideMark/>
          </w:tcPr>
          <w:p w14:paraId="4531B778" w14:textId="77777777" w:rsidR="00DA395D" w:rsidRPr="005935D8" w:rsidRDefault="00DA395D" w:rsidP="00DA395D">
            <w:pPr>
              <w:jc w:val="center"/>
              <w:rPr>
                <w:lang w:eastAsia="en-US"/>
              </w:rPr>
            </w:pPr>
          </w:p>
        </w:tc>
      </w:tr>
      <w:tr w:rsidR="00DA395D" w:rsidRPr="009A6CAD" w14:paraId="0C8D77ED"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18AE1409" w14:textId="77777777" w:rsidR="00DA395D" w:rsidRPr="005935D8" w:rsidRDefault="00DA395D" w:rsidP="00DA395D">
            <w:pPr>
              <w:rPr>
                <w:lang w:eastAsia="en-US"/>
              </w:rPr>
            </w:pPr>
            <w:r w:rsidRPr="005935D8">
              <w:rPr>
                <w:lang w:eastAsia="en-US"/>
              </w:rPr>
              <w:t>5.2. speciālais budžets</w:t>
            </w:r>
          </w:p>
        </w:tc>
        <w:tc>
          <w:tcPr>
            <w:tcW w:w="573" w:type="pct"/>
            <w:gridSpan w:val="2"/>
            <w:vMerge/>
            <w:shd w:val="clear" w:color="auto" w:fill="auto"/>
            <w:vAlign w:val="center"/>
            <w:hideMark/>
          </w:tcPr>
          <w:p w14:paraId="69435C95" w14:textId="77777777" w:rsidR="00DA395D" w:rsidRPr="005935D8" w:rsidRDefault="00DA395D" w:rsidP="00DA395D">
            <w:pPr>
              <w:jc w:val="center"/>
              <w:rPr>
                <w:lang w:eastAsia="en-US"/>
              </w:rPr>
            </w:pPr>
          </w:p>
        </w:tc>
        <w:tc>
          <w:tcPr>
            <w:tcW w:w="579" w:type="pct"/>
            <w:gridSpan w:val="2"/>
            <w:shd w:val="clear" w:color="auto" w:fill="auto"/>
            <w:vAlign w:val="center"/>
            <w:hideMark/>
          </w:tcPr>
          <w:p w14:paraId="5843ACA0" w14:textId="77777777" w:rsidR="00DA395D" w:rsidRPr="005935D8" w:rsidRDefault="00DA395D" w:rsidP="00DA395D">
            <w:pPr>
              <w:jc w:val="center"/>
              <w:rPr>
                <w:lang w:eastAsia="en-US"/>
              </w:rPr>
            </w:pPr>
          </w:p>
        </w:tc>
        <w:tc>
          <w:tcPr>
            <w:tcW w:w="504" w:type="pct"/>
            <w:vMerge/>
            <w:shd w:val="clear" w:color="auto" w:fill="auto"/>
            <w:vAlign w:val="center"/>
            <w:hideMark/>
          </w:tcPr>
          <w:p w14:paraId="37425090" w14:textId="77777777" w:rsidR="00DA395D" w:rsidRPr="005935D8" w:rsidRDefault="00DA395D" w:rsidP="00DA395D">
            <w:pPr>
              <w:jc w:val="center"/>
              <w:rPr>
                <w:lang w:eastAsia="en-US"/>
              </w:rPr>
            </w:pPr>
          </w:p>
        </w:tc>
        <w:tc>
          <w:tcPr>
            <w:tcW w:w="580" w:type="pct"/>
            <w:shd w:val="clear" w:color="auto" w:fill="auto"/>
            <w:vAlign w:val="center"/>
            <w:hideMark/>
          </w:tcPr>
          <w:p w14:paraId="0619875F" w14:textId="77777777" w:rsidR="00DA395D" w:rsidRPr="005935D8" w:rsidRDefault="00DA395D" w:rsidP="00DA395D">
            <w:pPr>
              <w:jc w:val="center"/>
              <w:rPr>
                <w:lang w:eastAsia="en-US"/>
              </w:rPr>
            </w:pPr>
          </w:p>
        </w:tc>
        <w:tc>
          <w:tcPr>
            <w:tcW w:w="504" w:type="pct"/>
            <w:vMerge/>
            <w:shd w:val="clear" w:color="auto" w:fill="auto"/>
            <w:vAlign w:val="center"/>
            <w:hideMark/>
          </w:tcPr>
          <w:p w14:paraId="1C6AFFEF" w14:textId="77777777" w:rsidR="00DA395D" w:rsidRPr="005935D8" w:rsidRDefault="00DA395D" w:rsidP="00DA395D">
            <w:pPr>
              <w:jc w:val="center"/>
              <w:rPr>
                <w:lang w:eastAsia="en-US"/>
              </w:rPr>
            </w:pPr>
          </w:p>
        </w:tc>
        <w:tc>
          <w:tcPr>
            <w:tcW w:w="580" w:type="pct"/>
            <w:shd w:val="clear" w:color="auto" w:fill="auto"/>
            <w:vAlign w:val="center"/>
            <w:hideMark/>
          </w:tcPr>
          <w:p w14:paraId="4FE9450C" w14:textId="77777777" w:rsidR="00DA395D" w:rsidRPr="005935D8" w:rsidRDefault="00DA395D" w:rsidP="00DA395D">
            <w:pPr>
              <w:jc w:val="center"/>
              <w:rPr>
                <w:lang w:eastAsia="en-US"/>
              </w:rPr>
            </w:pPr>
          </w:p>
        </w:tc>
        <w:tc>
          <w:tcPr>
            <w:tcW w:w="579" w:type="pct"/>
            <w:gridSpan w:val="3"/>
            <w:shd w:val="clear" w:color="auto" w:fill="auto"/>
            <w:vAlign w:val="center"/>
            <w:hideMark/>
          </w:tcPr>
          <w:p w14:paraId="430AB34D" w14:textId="77777777" w:rsidR="00DA395D" w:rsidRPr="005935D8" w:rsidRDefault="00DA395D" w:rsidP="00DA395D">
            <w:pPr>
              <w:jc w:val="center"/>
              <w:rPr>
                <w:lang w:eastAsia="en-US"/>
              </w:rPr>
            </w:pPr>
          </w:p>
        </w:tc>
      </w:tr>
      <w:tr w:rsidR="00DA395D" w:rsidRPr="009A6CAD" w14:paraId="4CC7C36F"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2A3E889B" w14:textId="77777777" w:rsidR="00DA395D" w:rsidRPr="005935D8" w:rsidRDefault="00DA395D" w:rsidP="00DA395D">
            <w:pPr>
              <w:rPr>
                <w:lang w:eastAsia="en-US"/>
              </w:rPr>
            </w:pPr>
            <w:r w:rsidRPr="005935D8">
              <w:rPr>
                <w:lang w:eastAsia="en-US"/>
              </w:rPr>
              <w:t>5.3. pašvaldību budžets</w:t>
            </w:r>
          </w:p>
        </w:tc>
        <w:tc>
          <w:tcPr>
            <w:tcW w:w="573" w:type="pct"/>
            <w:gridSpan w:val="2"/>
            <w:vMerge/>
            <w:shd w:val="clear" w:color="auto" w:fill="auto"/>
            <w:vAlign w:val="center"/>
            <w:hideMark/>
          </w:tcPr>
          <w:p w14:paraId="3C0B5D0E" w14:textId="77777777" w:rsidR="00DA395D" w:rsidRPr="005935D8" w:rsidRDefault="00DA395D" w:rsidP="00DA395D">
            <w:pPr>
              <w:jc w:val="center"/>
              <w:rPr>
                <w:lang w:eastAsia="en-US"/>
              </w:rPr>
            </w:pPr>
          </w:p>
        </w:tc>
        <w:tc>
          <w:tcPr>
            <w:tcW w:w="579" w:type="pct"/>
            <w:gridSpan w:val="2"/>
            <w:shd w:val="clear" w:color="auto" w:fill="auto"/>
            <w:vAlign w:val="center"/>
            <w:hideMark/>
          </w:tcPr>
          <w:p w14:paraId="1AFDA526" w14:textId="77777777" w:rsidR="00DA395D" w:rsidRPr="005935D8" w:rsidRDefault="00DA395D" w:rsidP="00DA395D">
            <w:pPr>
              <w:jc w:val="center"/>
              <w:rPr>
                <w:lang w:eastAsia="en-US"/>
              </w:rPr>
            </w:pPr>
          </w:p>
        </w:tc>
        <w:tc>
          <w:tcPr>
            <w:tcW w:w="504" w:type="pct"/>
            <w:vMerge/>
            <w:shd w:val="clear" w:color="auto" w:fill="auto"/>
            <w:vAlign w:val="center"/>
            <w:hideMark/>
          </w:tcPr>
          <w:p w14:paraId="0FB56C16" w14:textId="77777777" w:rsidR="00DA395D" w:rsidRPr="005935D8" w:rsidRDefault="00DA395D" w:rsidP="00DA395D">
            <w:pPr>
              <w:jc w:val="center"/>
              <w:rPr>
                <w:lang w:eastAsia="en-US"/>
              </w:rPr>
            </w:pPr>
          </w:p>
        </w:tc>
        <w:tc>
          <w:tcPr>
            <w:tcW w:w="580" w:type="pct"/>
            <w:shd w:val="clear" w:color="auto" w:fill="auto"/>
            <w:vAlign w:val="center"/>
            <w:hideMark/>
          </w:tcPr>
          <w:p w14:paraId="3E005432" w14:textId="77777777" w:rsidR="00DA395D" w:rsidRPr="005935D8" w:rsidRDefault="00DA395D" w:rsidP="00DA395D">
            <w:pPr>
              <w:jc w:val="center"/>
              <w:rPr>
                <w:lang w:eastAsia="en-US"/>
              </w:rPr>
            </w:pPr>
          </w:p>
        </w:tc>
        <w:tc>
          <w:tcPr>
            <w:tcW w:w="504" w:type="pct"/>
            <w:vMerge/>
            <w:shd w:val="clear" w:color="auto" w:fill="auto"/>
            <w:vAlign w:val="center"/>
            <w:hideMark/>
          </w:tcPr>
          <w:p w14:paraId="2DAAD197" w14:textId="77777777" w:rsidR="00DA395D" w:rsidRPr="005935D8" w:rsidRDefault="00DA395D" w:rsidP="00DA395D">
            <w:pPr>
              <w:jc w:val="center"/>
              <w:rPr>
                <w:lang w:eastAsia="en-US"/>
              </w:rPr>
            </w:pPr>
          </w:p>
        </w:tc>
        <w:tc>
          <w:tcPr>
            <w:tcW w:w="580" w:type="pct"/>
            <w:shd w:val="clear" w:color="auto" w:fill="auto"/>
            <w:vAlign w:val="center"/>
            <w:hideMark/>
          </w:tcPr>
          <w:p w14:paraId="0D375604" w14:textId="77777777" w:rsidR="00DA395D" w:rsidRPr="005935D8" w:rsidRDefault="00DA395D" w:rsidP="00DA395D">
            <w:pPr>
              <w:jc w:val="center"/>
              <w:rPr>
                <w:lang w:eastAsia="en-US"/>
              </w:rPr>
            </w:pPr>
          </w:p>
        </w:tc>
        <w:tc>
          <w:tcPr>
            <w:tcW w:w="579" w:type="pct"/>
            <w:gridSpan w:val="3"/>
            <w:shd w:val="clear" w:color="auto" w:fill="auto"/>
            <w:vAlign w:val="center"/>
            <w:hideMark/>
          </w:tcPr>
          <w:p w14:paraId="1EEB87DC" w14:textId="77777777" w:rsidR="00DA395D" w:rsidRPr="005935D8" w:rsidRDefault="00DA395D" w:rsidP="00DA395D">
            <w:pPr>
              <w:jc w:val="center"/>
              <w:rPr>
                <w:lang w:eastAsia="en-US"/>
              </w:rPr>
            </w:pPr>
          </w:p>
        </w:tc>
      </w:tr>
      <w:tr w:rsidR="00DA395D" w:rsidRPr="009A6CAD" w14:paraId="3883FEE0"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26A1623A" w14:textId="77777777" w:rsidR="00DA395D" w:rsidRPr="00903596" w:rsidRDefault="00DA395D" w:rsidP="00DA395D">
            <w:pPr>
              <w:rPr>
                <w:lang w:eastAsia="en-US"/>
              </w:rPr>
            </w:pPr>
            <w:r w:rsidRPr="00903596">
              <w:rPr>
                <w:lang w:eastAsia="en-US"/>
              </w:rPr>
              <w:t>6. Detalizēts ieņēmumu un izdevumu aprēķins (ja nepieciešams, detalizētu ieņēmumu un izdevumu aprēķinu var pievienot anotācijas pielikumā)</w:t>
            </w:r>
          </w:p>
        </w:tc>
        <w:tc>
          <w:tcPr>
            <w:tcW w:w="3899" w:type="pct"/>
            <w:gridSpan w:val="11"/>
            <w:vMerge w:val="restart"/>
            <w:shd w:val="clear" w:color="auto" w:fill="auto"/>
            <w:vAlign w:val="center"/>
            <w:hideMark/>
          </w:tcPr>
          <w:p w14:paraId="353637FC" w14:textId="6D83B4E6" w:rsidR="00DA395D" w:rsidRPr="00A33B9E" w:rsidRDefault="00DA395D" w:rsidP="00DA395D">
            <w:pPr>
              <w:jc w:val="both"/>
              <w:rPr>
                <w:color w:val="000000"/>
                <w:spacing w:val="-2"/>
                <w:u w:val="single"/>
                <w:shd w:val="clear" w:color="auto" w:fill="FFFFFF"/>
              </w:rPr>
            </w:pPr>
            <w:r w:rsidRPr="00A33B9E">
              <w:rPr>
                <w:color w:val="000000"/>
                <w:spacing w:val="-2"/>
                <w:u w:val="single"/>
                <w:shd w:val="clear" w:color="auto" w:fill="FFFFFF"/>
              </w:rPr>
              <w:t>Fiskālā ietekme uz valsts budžeta ieņēmumiem no apgrieztās jeb reversās PVN maksāšanas kārtības piemērošanas izmaiņām.</w:t>
            </w:r>
          </w:p>
          <w:p w14:paraId="7C0E9888" w14:textId="77777777" w:rsidR="00DA395D" w:rsidRPr="00A33B9E" w:rsidRDefault="00DA395D" w:rsidP="00DA395D">
            <w:pPr>
              <w:jc w:val="both"/>
              <w:rPr>
                <w:color w:val="000000"/>
                <w:spacing w:val="-2"/>
                <w:shd w:val="clear" w:color="auto" w:fill="FFFFFF"/>
              </w:rPr>
            </w:pPr>
          </w:p>
          <w:p w14:paraId="56FE9F61" w14:textId="2A7ECFF9"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2018.gada 1.janvārī stājās spēkā grozījumi Pievienotās vērtības nodokļa likumā, kas noteica apgrieztās jeb reversās PVN maksāšanas kārtības piemērošanu elektrotehnikas, t.sk. sadzīves elektronisko iekārtu un elektriskās sadzīves aparatūras piegādēm, būvizstrādājumu un metālizstrādājumu piegādēm.</w:t>
            </w:r>
          </w:p>
          <w:p w14:paraId="01351D64" w14:textId="77777777" w:rsidR="00DA395D" w:rsidRPr="00A33B9E" w:rsidRDefault="00DA395D" w:rsidP="00DA395D">
            <w:pPr>
              <w:ind w:firstLine="401"/>
              <w:jc w:val="both"/>
              <w:rPr>
                <w:lang w:eastAsia="en-US"/>
              </w:rPr>
            </w:pPr>
            <w:r w:rsidRPr="00A33B9E">
              <w:rPr>
                <w:lang w:eastAsia="en-US"/>
              </w:rPr>
              <w:t xml:space="preserve">Kopējā fiskālā ietekme gadā uz budžeta ieņēmumiem, </w:t>
            </w:r>
            <w:r w:rsidRPr="00A33B9E">
              <w:rPr>
                <w:u w:val="single"/>
                <w:lang w:eastAsia="en-US"/>
              </w:rPr>
              <w:t>ieviešot regulējumu</w:t>
            </w:r>
            <w:r w:rsidRPr="00A33B9E">
              <w:rPr>
                <w:lang w:eastAsia="en-US"/>
              </w:rPr>
              <w:t xml:space="preserve">, tika prognozēta 64,6 milj. </w:t>
            </w:r>
            <w:proofErr w:type="spellStart"/>
            <w:r w:rsidRPr="00A33B9E">
              <w:rPr>
                <w:i/>
                <w:lang w:eastAsia="en-US"/>
              </w:rPr>
              <w:t>euro</w:t>
            </w:r>
            <w:proofErr w:type="spellEnd"/>
            <w:r w:rsidRPr="00A33B9E">
              <w:rPr>
                <w:lang w:eastAsia="en-US"/>
              </w:rPr>
              <w:t xml:space="preserve"> apmērā (no tiem PVN – 40,2 milj. </w:t>
            </w:r>
            <w:proofErr w:type="spellStart"/>
            <w:r w:rsidRPr="00A33B9E">
              <w:rPr>
                <w:i/>
                <w:lang w:eastAsia="en-US"/>
              </w:rPr>
              <w:t>euro</w:t>
            </w:r>
            <w:proofErr w:type="spellEnd"/>
            <w:r w:rsidRPr="00A33B9E">
              <w:rPr>
                <w:lang w:eastAsia="en-US"/>
              </w:rPr>
              <w:t xml:space="preserve">, savukārt darbaspēka nodokļu ieguvums būtu 24,4 milj. </w:t>
            </w:r>
            <w:proofErr w:type="spellStart"/>
            <w:r w:rsidRPr="00A33B9E">
              <w:rPr>
                <w:i/>
                <w:lang w:eastAsia="en-US"/>
              </w:rPr>
              <w:t>euro</w:t>
            </w:r>
            <w:proofErr w:type="spellEnd"/>
            <w:r w:rsidRPr="00A33B9E">
              <w:rPr>
                <w:lang w:eastAsia="en-US"/>
              </w:rPr>
              <w:t>). Darbaspēka nodokļu ieņēmumu palielinājums tika vērtēts kā atgriezeniskais efekts, ko rada aplokšņu algu samazināšanās.</w:t>
            </w:r>
          </w:p>
          <w:p w14:paraId="5AB03B43" w14:textId="77777777" w:rsidR="00DA395D" w:rsidRPr="00A33B9E" w:rsidRDefault="00DA395D" w:rsidP="00DA395D">
            <w:pPr>
              <w:jc w:val="both"/>
              <w:rPr>
                <w:lang w:eastAsia="en-US"/>
              </w:rPr>
            </w:pPr>
            <w:r w:rsidRPr="00A33B9E">
              <w:rPr>
                <w:lang w:eastAsia="en-US"/>
              </w:rPr>
              <w:lastRenderedPageBreak/>
              <w:t>Lai aprēķinātu fiskālo ietekmi uz budžeta ieņēmumiem, atceļot minēto regulējumu, tiek ņemta vērā fiskālā ietekme, kas tika aprēķināta ieviešot regulējumu.</w:t>
            </w:r>
          </w:p>
          <w:p w14:paraId="35DE4E16" w14:textId="77777777" w:rsidR="00DA395D" w:rsidRPr="00A33B9E" w:rsidRDefault="00DA395D" w:rsidP="00DA395D">
            <w:pPr>
              <w:jc w:val="both"/>
              <w:rPr>
                <w:color w:val="000000"/>
                <w:spacing w:val="-2"/>
                <w:shd w:val="clear" w:color="auto" w:fill="FFFFFF"/>
              </w:rPr>
            </w:pPr>
          </w:p>
          <w:p w14:paraId="2C66662E" w14:textId="77777777" w:rsidR="00DA395D" w:rsidRPr="00A33B9E" w:rsidRDefault="00DA395D" w:rsidP="00DA395D">
            <w:pPr>
              <w:jc w:val="both"/>
              <w:rPr>
                <w:u w:val="single"/>
              </w:rPr>
            </w:pPr>
            <w:r w:rsidRPr="00A33B9E">
              <w:rPr>
                <w:u w:val="single"/>
              </w:rPr>
              <w:t>Apgrieztās jeb reversās PVN maksāšanas kārtības piemērošana melno un krāsaino metālu pusfabrikātu piegādei.</w:t>
            </w:r>
          </w:p>
          <w:p w14:paraId="6F6AB16C" w14:textId="4A672E9D" w:rsidR="00DA395D" w:rsidRPr="00A33B9E" w:rsidRDefault="00DA395D" w:rsidP="00DA395D">
            <w:pPr>
              <w:ind w:firstLine="401"/>
              <w:jc w:val="both"/>
            </w:pPr>
            <w:r w:rsidRPr="00A33B9E">
              <w:t>No 2019.gada 1.janvāra ir piemērojama apgrieztā jeb reversā PVN maksāšanas kārtība, sašaurinot preču kategorijas un izslēdzot pakalpojumus. Apgrieztā jeb reversā PVN maksāšanas kārtība melno un krāsaino metālu piegādei ir ieviešama uz ierobežotu laika periodu, t.i., līdz 2022.gada 30.jūnijam.</w:t>
            </w:r>
          </w:p>
          <w:p w14:paraId="6B257DB5" w14:textId="50742A81" w:rsidR="00DA395D" w:rsidRPr="00A33B9E" w:rsidRDefault="00DA395D" w:rsidP="00DA395D">
            <w:pPr>
              <w:ind w:firstLine="401"/>
              <w:jc w:val="both"/>
            </w:pPr>
            <w:r w:rsidRPr="00A33B9E">
              <w:t>Fiskālā ietekme uz valsts budžeta ieņēmumiem no apgrieztās jeb reversās PVN maksāšanas kārtības pagarināšanas iepriekšminētajām piegādēm ir aprēķināta, ņemot vērā grozījumu Pievienotās vērtības nodokļa likumā stāšanos spēkā 2019.gada 1.janvārī  un ieviešanu uz laiku līdz 2022.gada 30.jūnijam.</w:t>
            </w:r>
          </w:p>
          <w:p w14:paraId="1854842A" w14:textId="144292D7" w:rsidR="00DA395D" w:rsidRPr="00A33B9E" w:rsidRDefault="00DA395D" w:rsidP="00DA395D">
            <w:pPr>
              <w:ind w:firstLine="401"/>
              <w:jc w:val="both"/>
            </w:pPr>
            <w:r w:rsidRPr="00A33B9E">
              <w:t xml:space="preserve">Fiskālā ietekme ir aprēķināta 2019.gadam </w:t>
            </w:r>
            <w:r w:rsidRPr="00A33B9E">
              <w:rPr>
                <w:b/>
              </w:rPr>
              <w:t>-1,4</w:t>
            </w:r>
            <w:r w:rsidRPr="00A33B9E">
              <w:t xml:space="preserve"> milj. </w:t>
            </w:r>
            <w:proofErr w:type="spellStart"/>
            <w:r w:rsidRPr="00A33B9E">
              <w:rPr>
                <w:i/>
              </w:rPr>
              <w:t>euro</w:t>
            </w:r>
            <w:proofErr w:type="spellEnd"/>
            <w:r w:rsidRPr="00A33B9E">
              <w:t xml:space="preserve">, 2020.-2021 . gadam </w:t>
            </w:r>
            <w:r w:rsidRPr="00A33B9E">
              <w:rPr>
                <w:b/>
              </w:rPr>
              <w:t>-1,5</w:t>
            </w:r>
            <w:r w:rsidRPr="00A33B9E">
              <w:t xml:space="preserve"> milj. </w:t>
            </w:r>
            <w:proofErr w:type="spellStart"/>
            <w:r w:rsidRPr="00A33B9E">
              <w:rPr>
                <w:i/>
              </w:rPr>
              <w:t>euro</w:t>
            </w:r>
            <w:proofErr w:type="spellEnd"/>
            <w:r w:rsidRPr="00A33B9E">
              <w:rPr>
                <w:i/>
              </w:rPr>
              <w:t xml:space="preserve"> </w:t>
            </w:r>
            <w:r w:rsidRPr="00A33B9E">
              <w:t>katru gadu.</w:t>
            </w:r>
          </w:p>
          <w:p w14:paraId="7D5EF906" w14:textId="4BE54241" w:rsidR="00DA395D" w:rsidRPr="00A33B9E" w:rsidRDefault="00DA395D" w:rsidP="00DA395D">
            <w:pPr>
              <w:ind w:firstLine="401"/>
              <w:jc w:val="both"/>
            </w:pPr>
            <w:r w:rsidRPr="00A33B9E">
              <w:rPr>
                <w:color w:val="000000"/>
                <w:spacing w:val="-2"/>
                <w:shd w:val="clear" w:color="auto" w:fill="FFFFFF"/>
              </w:rPr>
              <w:t xml:space="preserve">Lai </w:t>
            </w:r>
            <w:r w:rsidRPr="00A33B9E">
              <w:t>aprēķinātu</w:t>
            </w:r>
            <w:r w:rsidRPr="00A33B9E">
              <w:rPr>
                <w:color w:val="000000"/>
                <w:spacing w:val="-2"/>
                <w:shd w:val="clear" w:color="auto" w:fill="FFFFFF"/>
              </w:rPr>
              <w:t xml:space="preserve"> fiskālo ietekmi, tika izvērtēti reģistrēto PVN maksātāju iesniegto PVN deklarāciju rezultāti </w:t>
            </w:r>
            <w:r w:rsidRPr="00A33B9E">
              <w:t>(aprēķinos izmantoti NACE 2.red 24. un 25.nodaļas kodi) un modelēta iespējamo rādītāju attīstība par pamatu ņemot:</w:t>
            </w:r>
          </w:p>
          <w:p w14:paraId="53F4AD73" w14:textId="77777777"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PVN deklarāciju datus par 2017.–2018.gadu;</w:t>
            </w:r>
          </w:p>
          <w:p w14:paraId="6CAEEA0B" w14:textId="59A25339"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kopējo darījumu vērtību;</w:t>
            </w:r>
          </w:p>
          <w:p w14:paraId="0D559CF6" w14:textId="77777777"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atmaksājamās un iemaksājamās PVN summas īpatsvaru kopējā darījumu vērtībā;</w:t>
            </w:r>
          </w:p>
          <w:p w14:paraId="287351AD" w14:textId="77777777"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atmaksājamās un iemaksājamās PVN summas;</w:t>
            </w:r>
          </w:p>
          <w:p w14:paraId="6B111830" w14:textId="2BB28C35"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datus par iekšzemes kopproduktu 2017-2019. gadam.</w:t>
            </w:r>
          </w:p>
          <w:p w14:paraId="02DD4444" w14:textId="77777777" w:rsidR="00DA395D" w:rsidRPr="00A33B9E" w:rsidRDefault="00DA395D" w:rsidP="00DA395D">
            <w:pPr>
              <w:jc w:val="both"/>
              <w:rPr>
                <w:color w:val="000000"/>
                <w:spacing w:val="-2"/>
                <w:u w:val="single"/>
                <w:shd w:val="clear" w:color="auto" w:fill="FFFFFF"/>
              </w:rPr>
            </w:pPr>
          </w:p>
          <w:p w14:paraId="7D90A37D" w14:textId="77777777" w:rsidR="00DA395D" w:rsidRPr="00A33B9E" w:rsidRDefault="00DA395D" w:rsidP="00DA395D">
            <w:pPr>
              <w:jc w:val="both"/>
              <w:rPr>
                <w:u w:val="single"/>
              </w:rPr>
            </w:pPr>
            <w:r w:rsidRPr="00A33B9E">
              <w:rPr>
                <w:u w:val="single"/>
              </w:rPr>
              <w:t>Apgrieztās jeb reversās PVN maksāšanas kārtības piemērošanas atcelšana būvizstrādājumu un sadzīves elektronikas piegādēm ar 2020.gada 1.janvāri.</w:t>
            </w:r>
          </w:p>
          <w:p w14:paraId="30DCFADC" w14:textId="77777777" w:rsidR="00DA395D" w:rsidRPr="00A33B9E" w:rsidRDefault="00DA395D" w:rsidP="00DA395D">
            <w:pPr>
              <w:jc w:val="both"/>
              <w:rPr>
                <w:color w:val="000000"/>
                <w:spacing w:val="-2"/>
                <w:u w:val="single"/>
                <w:shd w:val="clear" w:color="auto" w:fill="FFFFFF"/>
              </w:rPr>
            </w:pPr>
          </w:p>
          <w:p w14:paraId="28908B7C" w14:textId="77777777" w:rsidR="00DA395D" w:rsidRPr="00A33B9E" w:rsidRDefault="00DA395D" w:rsidP="00DA395D">
            <w:pPr>
              <w:ind w:firstLine="401"/>
              <w:jc w:val="both"/>
              <w:rPr>
                <w:lang w:eastAsia="en-US"/>
              </w:rPr>
            </w:pPr>
            <w:r w:rsidRPr="00A33B9E">
              <w:t>Vērtējot</w:t>
            </w:r>
            <w:r w:rsidRPr="00A33B9E">
              <w:rPr>
                <w:lang w:eastAsia="en-US"/>
              </w:rPr>
              <w:t xml:space="preserve"> indikatīvi, apgrieztās jeb reversās PVN maksāšanas kārtības būvizstrādājumu, sadzīves elektronisko iekārtu un sadzīves elektriskās aparatūras piegādēm </w:t>
            </w:r>
            <w:r w:rsidRPr="00A33B9E">
              <w:rPr>
                <w:u w:val="single"/>
                <w:lang w:eastAsia="en-US"/>
              </w:rPr>
              <w:t>atcelšanu</w:t>
            </w:r>
            <w:r w:rsidRPr="00A33B9E">
              <w:rPr>
                <w:lang w:eastAsia="en-US"/>
              </w:rPr>
              <w:t xml:space="preserve"> ar 2020.gada 1.janvāri tiktu radīta negatīva ietekme uz valsts budžeta ieņēmumiem 2020. gadā </w:t>
            </w:r>
            <w:r w:rsidRPr="00A33B9E">
              <w:rPr>
                <w:b/>
                <w:lang w:eastAsia="en-US"/>
              </w:rPr>
              <w:t>-35,3 milj</w:t>
            </w:r>
            <w:r w:rsidRPr="00A33B9E">
              <w:rPr>
                <w:lang w:eastAsia="en-US"/>
              </w:rPr>
              <w:t xml:space="preserve">. </w:t>
            </w:r>
            <w:proofErr w:type="spellStart"/>
            <w:r w:rsidRPr="00A33B9E">
              <w:rPr>
                <w:i/>
                <w:lang w:eastAsia="en-US"/>
              </w:rPr>
              <w:t>euro</w:t>
            </w:r>
            <w:proofErr w:type="spellEnd"/>
            <w:r w:rsidRPr="00A33B9E">
              <w:rPr>
                <w:lang w:eastAsia="en-US"/>
              </w:rPr>
              <w:t xml:space="preserve"> (t.sk. PVN -23,1 milj. </w:t>
            </w:r>
            <w:proofErr w:type="spellStart"/>
            <w:r w:rsidRPr="00A33B9E">
              <w:rPr>
                <w:i/>
                <w:lang w:eastAsia="en-US"/>
              </w:rPr>
              <w:t>euro</w:t>
            </w:r>
            <w:proofErr w:type="spellEnd"/>
            <w:r w:rsidRPr="00A33B9E">
              <w:rPr>
                <w:lang w:eastAsia="en-US"/>
              </w:rPr>
              <w:t xml:space="preserve">, VSAOI -8,1 milj. </w:t>
            </w:r>
            <w:proofErr w:type="spellStart"/>
            <w:r w:rsidRPr="00A33B9E">
              <w:rPr>
                <w:i/>
                <w:lang w:eastAsia="en-US"/>
              </w:rPr>
              <w:t>euro</w:t>
            </w:r>
            <w:proofErr w:type="spellEnd"/>
            <w:r w:rsidRPr="00A33B9E">
              <w:rPr>
                <w:lang w:eastAsia="en-US"/>
              </w:rPr>
              <w:t xml:space="preserve">, IIN -4,1 milj. </w:t>
            </w:r>
            <w:proofErr w:type="spellStart"/>
            <w:r w:rsidRPr="00A33B9E">
              <w:rPr>
                <w:i/>
                <w:lang w:eastAsia="en-US"/>
              </w:rPr>
              <w:t>euro</w:t>
            </w:r>
            <w:proofErr w:type="spellEnd"/>
            <w:r w:rsidRPr="00A33B9E">
              <w:rPr>
                <w:lang w:eastAsia="en-US"/>
              </w:rPr>
              <w:t>).</w:t>
            </w:r>
          </w:p>
          <w:p w14:paraId="4C43EB6A" w14:textId="1E20008A" w:rsidR="00DA395D" w:rsidRPr="00A33B9E" w:rsidRDefault="00DA395D" w:rsidP="00DA395D">
            <w:pPr>
              <w:ind w:firstLine="401"/>
              <w:jc w:val="both"/>
            </w:pPr>
            <w:r w:rsidRPr="00A33B9E">
              <w:rPr>
                <w:color w:val="000000"/>
                <w:spacing w:val="-2"/>
                <w:shd w:val="clear" w:color="auto" w:fill="FFFFFF"/>
              </w:rPr>
              <w:t xml:space="preserve">Lai aprēķinātu fiskālo ietekmi, tika izvērtēti reģistrētu PVN maksātāju iesniegto PVN deklarāciju rezultāti </w:t>
            </w:r>
            <w:r w:rsidRPr="00A33B9E">
              <w:t>(aprēķinos izmantoti NACE 2.red 41., 42., 43. un 46., 47.nodaļas kodi) un modelēta iespējamo rādītāju attīstība par pamatu ņemot:</w:t>
            </w:r>
          </w:p>
          <w:p w14:paraId="121444B7" w14:textId="77777777"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PVN deklarāciju datus par 2017.–2018.gadu;</w:t>
            </w:r>
          </w:p>
          <w:p w14:paraId="2E9CE258" w14:textId="7A205E85"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kopējo darījumu vērtību;</w:t>
            </w:r>
          </w:p>
          <w:p w14:paraId="53A416D8" w14:textId="77777777"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atmaksājamās un iemaksājamās PVN summas īpatsvaru kopējā darījumu vērtībā;</w:t>
            </w:r>
          </w:p>
          <w:p w14:paraId="590D443E" w14:textId="23BF9EDB" w:rsidR="00DA395D" w:rsidRPr="00A33B9E" w:rsidRDefault="00DA395D" w:rsidP="00DA395D">
            <w:pPr>
              <w:ind w:firstLine="401"/>
              <w:jc w:val="both"/>
              <w:rPr>
                <w:color w:val="000000"/>
                <w:spacing w:val="-2"/>
                <w:shd w:val="clear" w:color="auto" w:fill="FFFFFF"/>
              </w:rPr>
            </w:pPr>
            <w:r w:rsidRPr="00A33B9E">
              <w:rPr>
                <w:color w:val="000000"/>
                <w:spacing w:val="-2"/>
                <w:shd w:val="clear" w:color="auto" w:fill="FFFFFF"/>
              </w:rPr>
              <w:t>- atmaksājamās un iemaksājamās PVN summas.</w:t>
            </w:r>
          </w:p>
          <w:p w14:paraId="31667391" w14:textId="11AF6A45" w:rsidR="00DA395D" w:rsidRPr="00A33B9E" w:rsidRDefault="00DA395D" w:rsidP="00DA395D">
            <w:pPr>
              <w:ind w:firstLine="401"/>
              <w:jc w:val="both"/>
              <w:rPr>
                <w:snapToGrid w:val="0"/>
              </w:rPr>
            </w:pPr>
            <w:r w:rsidRPr="00A33B9E">
              <w:rPr>
                <w:snapToGrid w:val="0"/>
              </w:rPr>
              <w:t xml:space="preserve">Ar 2020.gada 1.janvāri atceļot ieviesto apgrieztās jeb reversās PVN maksāšanas kārtības piemērošanu </w:t>
            </w:r>
            <w:r w:rsidRPr="00A33B9E">
              <w:rPr>
                <w:color w:val="000000"/>
                <w:spacing w:val="-2"/>
                <w:shd w:val="clear" w:color="auto" w:fill="FFFFFF"/>
              </w:rPr>
              <w:t>būvizstrādājumu</w:t>
            </w:r>
            <w:r w:rsidRPr="00A33B9E">
              <w:rPr>
                <w:snapToGrid w:val="0"/>
              </w:rPr>
              <w:t xml:space="preserve"> un sadzīves elektronikas piegādēm, sagaidāms, ka mazināsies radītais pozitīvais efekts no reverso darījumu piemērošanas minētajās nozarēs, kas </w:t>
            </w:r>
            <w:r w:rsidRPr="00A33B9E">
              <w:rPr>
                <w:snapToGrid w:val="0"/>
              </w:rPr>
              <w:lastRenderedPageBreak/>
              <w:t>savukārt var radīt daļēju ēnu ekonomikas apjomu pieaugumu šajās nozarēs.</w:t>
            </w:r>
          </w:p>
          <w:p w14:paraId="184209F0" w14:textId="6643B89F" w:rsidR="00DA395D" w:rsidRPr="00DB3D59" w:rsidRDefault="00DA395D" w:rsidP="00DA395D">
            <w:pPr>
              <w:ind w:firstLine="401"/>
              <w:jc w:val="both"/>
              <w:rPr>
                <w:color w:val="000000"/>
                <w:spacing w:val="-2"/>
                <w:sz w:val="18"/>
                <w:szCs w:val="18"/>
                <w:shd w:val="clear" w:color="auto" w:fill="FFFFFF"/>
              </w:rPr>
            </w:pPr>
            <w:r w:rsidRPr="00A33B9E">
              <w:rPr>
                <w:color w:val="000000"/>
                <w:spacing w:val="-2"/>
                <w:shd w:val="clear" w:color="auto" w:fill="FFFFFF"/>
              </w:rPr>
              <w:t>Fiskālā ieguvuma novērtējums no apgrieztās jeb reversās PVN maksāšanas kārtības ieviešanas minētajām piegādēm ir indikatīvs.</w:t>
            </w:r>
          </w:p>
        </w:tc>
      </w:tr>
      <w:tr w:rsidR="00DA395D" w:rsidRPr="009A6CAD" w14:paraId="229F5316"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3AD5A42D" w14:textId="77777777" w:rsidR="00DA395D" w:rsidRPr="00903596" w:rsidRDefault="00DA395D" w:rsidP="00DA395D">
            <w:pPr>
              <w:rPr>
                <w:lang w:eastAsia="en-US"/>
              </w:rPr>
            </w:pPr>
            <w:r w:rsidRPr="00903596">
              <w:rPr>
                <w:lang w:eastAsia="en-US"/>
              </w:rPr>
              <w:t>6.1. detalizēts ieņēmumu aprēķins</w:t>
            </w:r>
          </w:p>
        </w:tc>
        <w:tc>
          <w:tcPr>
            <w:tcW w:w="3899" w:type="pct"/>
            <w:gridSpan w:val="11"/>
            <w:vMerge/>
            <w:shd w:val="clear" w:color="auto" w:fill="auto"/>
            <w:vAlign w:val="center"/>
            <w:hideMark/>
          </w:tcPr>
          <w:p w14:paraId="31083328" w14:textId="77777777" w:rsidR="00DA395D" w:rsidRPr="00903596" w:rsidRDefault="00DA395D" w:rsidP="00DA395D">
            <w:pPr>
              <w:jc w:val="center"/>
              <w:rPr>
                <w:lang w:eastAsia="en-US"/>
              </w:rPr>
            </w:pPr>
          </w:p>
        </w:tc>
      </w:tr>
      <w:tr w:rsidR="00DA395D" w:rsidRPr="009A6CAD" w14:paraId="7835EF33"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55432664" w14:textId="77777777" w:rsidR="00DA395D" w:rsidRPr="00903596" w:rsidRDefault="00DA395D" w:rsidP="00DA395D">
            <w:pPr>
              <w:rPr>
                <w:lang w:eastAsia="en-US"/>
              </w:rPr>
            </w:pPr>
            <w:r w:rsidRPr="00903596">
              <w:rPr>
                <w:lang w:eastAsia="en-US"/>
              </w:rPr>
              <w:lastRenderedPageBreak/>
              <w:t>6.2. detalizēts izdevumu aprēķins</w:t>
            </w:r>
          </w:p>
        </w:tc>
        <w:tc>
          <w:tcPr>
            <w:tcW w:w="3899" w:type="pct"/>
            <w:gridSpan w:val="11"/>
            <w:vMerge/>
            <w:shd w:val="clear" w:color="auto" w:fill="auto"/>
            <w:vAlign w:val="center"/>
            <w:hideMark/>
          </w:tcPr>
          <w:p w14:paraId="0C24BB66" w14:textId="77777777" w:rsidR="00DA395D" w:rsidRPr="00903596" w:rsidRDefault="00DA395D" w:rsidP="00DA395D">
            <w:pPr>
              <w:jc w:val="center"/>
              <w:rPr>
                <w:lang w:eastAsia="en-US"/>
              </w:rPr>
            </w:pPr>
          </w:p>
        </w:tc>
      </w:tr>
      <w:tr w:rsidR="00DA395D" w:rsidRPr="009A6CAD" w14:paraId="71F34F0F"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48266BBE" w14:textId="77777777" w:rsidR="00DA395D" w:rsidRPr="00903596" w:rsidRDefault="00DA395D" w:rsidP="00DA395D">
            <w:pPr>
              <w:rPr>
                <w:lang w:eastAsia="en-US"/>
              </w:rPr>
            </w:pPr>
            <w:r w:rsidRPr="00903596">
              <w:rPr>
                <w:lang w:eastAsia="en-US"/>
              </w:rPr>
              <w:lastRenderedPageBreak/>
              <w:t>7. Amata vietu skaita izmaiņas</w:t>
            </w:r>
          </w:p>
        </w:tc>
        <w:tc>
          <w:tcPr>
            <w:tcW w:w="3899" w:type="pct"/>
            <w:gridSpan w:val="11"/>
            <w:shd w:val="clear" w:color="auto" w:fill="auto"/>
            <w:hideMark/>
          </w:tcPr>
          <w:p w14:paraId="05002760" w14:textId="20CAFBE0" w:rsidR="00DA395D" w:rsidRPr="00903596" w:rsidRDefault="00DA395D" w:rsidP="00DA395D">
            <w:pPr>
              <w:rPr>
                <w:lang w:eastAsia="en-US"/>
              </w:rPr>
            </w:pPr>
            <w:r>
              <w:rPr>
                <w:lang w:eastAsia="en-US"/>
              </w:rPr>
              <w:t>Projekts šo jomu neskar.</w:t>
            </w:r>
          </w:p>
        </w:tc>
      </w:tr>
      <w:tr w:rsidR="00DA395D" w:rsidRPr="009A6CAD" w14:paraId="091FB169" w14:textId="77777777" w:rsidTr="00DA395D">
        <w:tblPrEx>
          <w:tblCellMar>
            <w:top w:w="28" w:type="dxa"/>
            <w:left w:w="28" w:type="dxa"/>
            <w:bottom w:w="28" w:type="dxa"/>
            <w:right w:w="28" w:type="dxa"/>
          </w:tblCellMar>
        </w:tblPrEx>
        <w:trPr>
          <w:cantSplit/>
        </w:trPr>
        <w:tc>
          <w:tcPr>
            <w:tcW w:w="1101" w:type="pct"/>
            <w:gridSpan w:val="4"/>
            <w:shd w:val="clear" w:color="auto" w:fill="auto"/>
            <w:hideMark/>
          </w:tcPr>
          <w:p w14:paraId="1E2CF3B4" w14:textId="77777777" w:rsidR="00DA395D" w:rsidRPr="00903596" w:rsidRDefault="00DA395D" w:rsidP="00DA395D">
            <w:pPr>
              <w:rPr>
                <w:lang w:eastAsia="en-US"/>
              </w:rPr>
            </w:pPr>
            <w:r w:rsidRPr="00903596">
              <w:rPr>
                <w:lang w:eastAsia="en-US"/>
              </w:rPr>
              <w:t>8. Cita informācija</w:t>
            </w:r>
          </w:p>
        </w:tc>
        <w:tc>
          <w:tcPr>
            <w:tcW w:w="3899" w:type="pct"/>
            <w:gridSpan w:val="11"/>
            <w:shd w:val="clear" w:color="auto" w:fill="auto"/>
            <w:hideMark/>
          </w:tcPr>
          <w:p w14:paraId="7AB83D97" w14:textId="5845F3D8" w:rsidR="00DA395D" w:rsidRPr="00DB3D59" w:rsidRDefault="00DA395D" w:rsidP="00DA395D">
            <w:pPr>
              <w:jc w:val="both"/>
              <w:rPr>
                <w:lang w:eastAsia="en-US"/>
              </w:rPr>
            </w:pPr>
          </w:p>
        </w:tc>
      </w:tr>
      <w:tr w:rsidR="00DA395D" w:rsidRPr="009A6CAD" w14:paraId="4BAFEF5D" w14:textId="77777777" w:rsidTr="00A33B9E">
        <w:trPr>
          <w:cantSplit/>
        </w:trPr>
        <w:tc>
          <w:tcPr>
            <w:tcW w:w="5000" w:type="pct"/>
            <w:gridSpan w:val="15"/>
            <w:vAlign w:val="center"/>
            <w:hideMark/>
          </w:tcPr>
          <w:p w14:paraId="1FE5BDD2" w14:textId="77777777" w:rsidR="00DA395D" w:rsidRPr="00903596" w:rsidRDefault="00DA395D" w:rsidP="00DA395D">
            <w:pPr>
              <w:jc w:val="center"/>
              <w:rPr>
                <w:b/>
                <w:bCs/>
              </w:rPr>
            </w:pPr>
            <w:r w:rsidRPr="00903596">
              <w:rPr>
                <w:b/>
                <w:bCs/>
              </w:rPr>
              <w:t>IV. Tiesību akta projekta ietekme uz spēkā esošo tiesību normu sistēmu</w:t>
            </w:r>
          </w:p>
        </w:tc>
      </w:tr>
      <w:tr w:rsidR="00DA395D" w:rsidRPr="009A6CAD" w14:paraId="2EC1E930" w14:textId="77777777" w:rsidTr="00DA395D">
        <w:trPr>
          <w:cantSplit/>
        </w:trPr>
        <w:tc>
          <w:tcPr>
            <w:tcW w:w="247" w:type="pct"/>
            <w:gridSpan w:val="2"/>
            <w:hideMark/>
          </w:tcPr>
          <w:p w14:paraId="377EA6F7" w14:textId="77777777" w:rsidR="00DA395D" w:rsidRPr="00903596" w:rsidRDefault="00DA395D" w:rsidP="00DA395D">
            <w:pPr>
              <w:jc w:val="center"/>
            </w:pPr>
            <w:r w:rsidRPr="00903596">
              <w:t>1.</w:t>
            </w:r>
          </w:p>
        </w:tc>
        <w:tc>
          <w:tcPr>
            <w:tcW w:w="1427" w:type="pct"/>
            <w:gridSpan w:val="4"/>
            <w:hideMark/>
          </w:tcPr>
          <w:p w14:paraId="10D825F4" w14:textId="77777777" w:rsidR="00DA395D" w:rsidRPr="00903596" w:rsidRDefault="00DA395D" w:rsidP="00DA395D">
            <w:r w:rsidRPr="00903596">
              <w:t>Saistītie tiesību aktu projekti</w:t>
            </w:r>
          </w:p>
        </w:tc>
        <w:tc>
          <w:tcPr>
            <w:tcW w:w="3326" w:type="pct"/>
            <w:gridSpan w:val="9"/>
            <w:hideMark/>
          </w:tcPr>
          <w:p w14:paraId="54788638" w14:textId="32C66FEE" w:rsidR="00DA395D" w:rsidRPr="00903596" w:rsidRDefault="00DA395D" w:rsidP="00DA395D">
            <w:pPr>
              <w:jc w:val="both"/>
            </w:pPr>
            <w:r>
              <w:t>Finanšu ministrija nodrošina grozījumu izstrādi Ministru kabineta 2013.gada 3.janvāra noteikumos Nr.17 “</w:t>
            </w:r>
            <w:r w:rsidRPr="00903596">
              <w:t>Pievienotās vērtības nodokļa likuma normu piemērošanas kārtība un atsevišķas prasības pievienotās vērtības nodokļa maksāšanai un administrēšanai</w:t>
            </w:r>
            <w:r>
              <w:t xml:space="preserve">”, pārņemot Direktīvas 2017/2455 1.panta 4.punktu, precizējot noteikumu </w:t>
            </w:r>
            <w:r w:rsidRPr="00930CA8">
              <w:t xml:space="preserve">7.pielikumā </w:t>
            </w:r>
            <w:r>
              <w:t>preču kategorijas, kurām no 2019.gada 1.janvāra ir piemērojama apgrieztā jeb reversā PVN maksāšanas kārtība saskaņā ar Pievienotās vērtības nodokļa likuma 143.</w:t>
            </w:r>
            <w:r w:rsidRPr="00930CA8">
              <w:rPr>
                <w:vertAlign w:val="superscript"/>
              </w:rPr>
              <w:t>4</w:t>
            </w:r>
            <w:r>
              <w:t> pantu, kā arī ar 2020.gada 1.janvāri izslēdzot noteikumu 8.pielikumu.</w:t>
            </w:r>
          </w:p>
        </w:tc>
      </w:tr>
      <w:tr w:rsidR="00DA395D" w:rsidRPr="009A6CAD" w14:paraId="39D642A8" w14:textId="77777777" w:rsidTr="00DA395D">
        <w:trPr>
          <w:cantSplit/>
        </w:trPr>
        <w:tc>
          <w:tcPr>
            <w:tcW w:w="247" w:type="pct"/>
            <w:gridSpan w:val="2"/>
            <w:hideMark/>
          </w:tcPr>
          <w:p w14:paraId="601B9DEB" w14:textId="77777777" w:rsidR="00DA395D" w:rsidRPr="00903596" w:rsidRDefault="00DA395D" w:rsidP="00DA395D">
            <w:pPr>
              <w:jc w:val="center"/>
            </w:pPr>
            <w:r w:rsidRPr="00903596">
              <w:t>2.</w:t>
            </w:r>
          </w:p>
        </w:tc>
        <w:tc>
          <w:tcPr>
            <w:tcW w:w="1427" w:type="pct"/>
            <w:gridSpan w:val="4"/>
            <w:hideMark/>
          </w:tcPr>
          <w:p w14:paraId="1E862527" w14:textId="77777777" w:rsidR="00DA395D" w:rsidRPr="00903596" w:rsidRDefault="00DA395D" w:rsidP="00DA395D">
            <w:r w:rsidRPr="00903596">
              <w:t>Atbildīgā institūcija</w:t>
            </w:r>
          </w:p>
        </w:tc>
        <w:tc>
          <w:tcPr>
            <w:tcW w:w="3326" w:type="pct"/>
            <w:gridSpan w:val="9"/>
            <w:hideMark/>
          </w:tcPr>
          <w:p w14:paraId="374DAC42" w14:textId="67F2FCBC" w:rsidR="00DA395D" w:rsidRPr="00903596" w:rsidRDefault="00DA395D" w:rsidP="00DA395D">
            <w:r w:rsidRPr="00903596">
              <w:t>Finanšu ministrija</w:t>
            </w:r>
          </w:p>
        </w:tc>
      </w:tr>
      <w:tr w:rsidR="00DA395D" w:rsidRPr="009A6CAD" w14:paraId="5242BED0" w14:textId="77777777" w:rsidTr="00DA395D">
        <w:trPr>
          <w:cantSplit/>
        </w:trPr>
        <w:tc>
          <w:tcPr>
            <w:tcW w:w="247" w:type="pct"/>
            <w:gridSpan w:val="2"/>
            <w:hideMark/>
          </w:tcPr>
          <w:p w14:paraId="6BC80956" w14:textId="77777777" w:rsidR="00DA395D" w:rsidRPr="00903596" w:rsidRDefault="00DA395D" w:rsidP="00DA395D">
            <w:pPr>
              <w:jc w:val="center"/>
            </w:pPr>
            <w:r w:rsidRPr="00903596">
              <w:t>3.</w:t>
            </w:r>
          </w:p>
        </w:tc>
        <w:tc>
          <w:tcPr>
            <w:tcW w:w="1427" w:type="pct"/>
            <w:gridSpan w:val="4"/>
            <w:hideMark/>
          </w:tcPr>
          <w:p w14:paraId="741B0E11" w14:textId="77777777" w:rsidR="00DA395D" w:rsidRPr="00903596" w:rsidRDefault="00DA395D" w:rsidP="00DA395D">
            <w:r w:rsidRPr="00903596">
              <w:t>Cita informācija</w:t>
            </w:r>
          </w:p>
        </w:tc>
        <w:tc>
          <w:tcPr>
            <w:tcW w:w="3326" w:type="pct"/>
            <w:gridSpan w:val="9"/>
            <w:hideMark/>
          </w:tcPr>
          <w:p w14:paraId="4CF79CAF" w14:textId="39AB89AE" w:rsidR="00DA395D" w:rsidRPr="00903596" w:rsidRDefault="00DA395D" w:rsidP="00DA395D">
            <w:r w:rsidRPr="00903596">
              <w:t>Nav</w:t>
            </w:r>
            <w:r>
              <w:t>.</w:t>
            </w:r>
          </w:p>
        </w:tc>
      </w:tr>
      <w:tr w:rsidR="00DA395D" w:rsidRPr="009A6CAD" w14:paraId="3901470D" w14:textId="77777777" w:rsidTr="00DA395D">
        <w:trPr>
          <w:gridAfter w:val="2"/>
          <w:wAfter w:w="30" w:type="pct"/>
          <w:cantSplit/>
        </w:trPr>
        <w:tc>
          <w:tcPr>
            <w:tcW w:w="4970" w:type="pct"/>
            <w:gridSpan w:val="13"/>
            <w:vAlign w:val="center"/>
            <w:hideMark/>
          </w:tcPr>
          <w:p w14:paraId="2370C9FA" w14:textId="77777777" w:rsidR="00DA395D" w:rsidRPr="00903596" w:rsidRDefault="00DA395D" w:rsidP="00DA395D">
            <w:pPr>
              <w:jc w:val="center"/>
              <w:rPr>
                <w:b/>
                <w:bCs/>
              </w:rPr>
            </w:pPr>
            <w:r w:rsidRPr="00903596">
              <w:rPr>
                <w:b/>
                <w:bCs/>
              </w:rPr>
              <w:t>V. Tiesību akta projekta atbilstība Latvijas Republikas starptautiskajām saistībām</w:t>
            </w:r>
          </w:p>
        </w:tc>
      </w:tr>
      <w:tr w:rsidR="00DA395D" w:rsidRPr="009A6CAD" w14:paraId="26A1AC68" w14:textId="77777777" w:rsidTr="00DA395D">
        <w:trPr>
          <w:gridAfter w:val="2"/>
          <w:wAfter w:w="30" w:type="pct"/>
          <w:cantSplit/>
        </w:trPr>
        <w:tc>
          <w:tcPr>
            <w:tcW w:w="304" w:type="pct"/>
            <w:gridSpan w:val="3"/>
            <w:hideMark/>
          </w:tcPr>
          <w:p w14:paraId="010F7F4A" w14:textId="77777777" w:rsidR="00DA395D" w:rsidRPr="00903596" w:rsidRDefault="00DA395D" w:rsidP="00DA395D">
            <w:pPr>
              <w:jc w:val="center"/>
            </w:pPr>
            <w:r w:rsidRPr="00903596">
              <w:t>1.</w:t>
            </w:r>
          </w:p>
        </w:tc>
        <w:tc>
          <w:tcPr>
            <w:tcW w:w="1434" w:type="pct"/>
            <w:gridSpan w:val="4"/>
            <w:hideMark/>
          </w:tcPr>
          <w:p w14:paraId="4A92EAE3" w14:textId="77777777" w:rsidR="00DA395D" w:rsidRPr="00903596" w:rsidRDefault="00DA395D" w:rsidP="00DA395D">
            <w:r w:rsidRPr="00903596">
              <w:t>Saistības pret Eiropas Savienību</w:t>
            </w:r>
          </w:p>
        </w:tc>
        <w:tc>
          <w:tcPr>
            <w:tcW w:w="3232" w:type="pct"/>
            <w:gridSpan w:val="6"/>
            <w:hideMark/>
          </w:tcPr>
          <w:p w14:paraId="2F55101F" w14:textId="18E175A9" w:rsidR="00DA395D" w:rsidRDefault="00DA395D" w:rsidP="00DA395D">
            <w:pPr>
              <w:jc w:val="both"/>
            </w:pPr>
            <w:r w:rsidRPr="00903596">
              <w:t>Ar likumprojektu tiek</w:t>
            </w:r>
            <w:r>
              <w:t>:</w:t>
            </w:r>
          </w:p>
          <w:p w14:paraId="57E37099" w14:textId="01C0D0C9" w:rsidR="00DA395D" w:rsidRDefault="00DA395D" w:rsidP="00DA395D">
            <w:pPr>
              <w:pStyle w:val="ListParagraph"/>
              <w:numPr>
                <w:ilvl w:val="0"/>
                <w:numId w:val="2"/>
              </w:numPr>
              <w:jc w:val="both"/>
            </w:pPr>
            <w:r>
              <w:t xml:space="preserve">pārņemta </w:t>
            </w:r>
            <w:r w:rsidRPr="00201A82">
              <w:t>Padomes 2016.gada 27.jūnija direktīv</w:t>
            </w:r>
            <w:r>
              <w:t>a (ES)</w:t>
            </w:r>
            <w:r w:rsidRPr="00201A82">
              <w:t xml:space="preserve"> 2016/1065, ar ko attiecībā uz </w:t>
            </w:r>
            <w:proofErr w:type="spellStart"/>
            <w:r w:rsidRPr="00201A82">
              <w:t>vaučeriem</w:t>
            </w:r>
            <w:proofErr w:type="spellEnd"/>
            <w:r w:rsidRPr="00201A82">
              <w:t xml:space="preserve"> piemērojamo režīmu groza Direktīvu 2006/112/EK</w:t>
            </w:r>
            <w:r>
              <w:t>;</w:t>
            </w:r>
          </w:p>
          <w:p w14:paraId="35C78821" w14:textId="78AD6D77" w:rsidR="00DA395D" w:rsidRDefault="00DA395D" w:rsidP="00DA395D">
            <w:pPr>
              <w:pStyle w:val="ListParagraph"/>
              <w:numPr>
                <w:ilvl w:val="0"/>
                <w:numId w:val="2"/>
              </w:numPr>
              <w:jc w:val="both"/>
            </w:pPr>
            <w:r>
              <w:t xml:space="preserve">pārņemta </w:t>
            </w:r>
            <w:r w:rsidRPr="000C5394">
              <w:t xml:space="preserve">Padomes </w:t>
            </w:r>
            <w:r>
              <w:t>2</w:t>
            </w:r>
            <w:r w:rsidRPr="00201A82">
              <w:t xml:space="preserve">017.gada 5.decembra direktīva </w:t>
            </w:r>
            <w:r>
              <w:t xml:space="preserve">(ES) </w:t>
            </w:r>
            <w:r w:rsidRPr="00201A82">
              <w:t xml:space="preserve">2017/2455, ar ko groza Direktīvu 2006/112/EK un Direktīvas 2009/132/EK attiecībā uz konkrētām pievienotās vērtības nodokļa saistībām pakalpojumu sniegšanā un preču </w:t>
            </w:r>
            <w:proofErr w:type="spellStart"/>
            <w:r w:rsidRPr="00201A82">
              <w:t>tālpārdošanā</w:t>
            </w:r>
            <w:proofErr w:type="spellEnd"/>
            <w:r>
              <w:t>;</w:t>
            </w:r>
          </w:p>
          <w:p w14:paraId="1C3133EC" w14:textId="17D6114A" w:rsidR="00DA395D" w:rsidRPr="00DC01CF" w:rsidRDefault="00DA395D" w:rsidP="00DA395D">
            <w:pPr>
              <w:pStyle w:val="ListParagraph"/>
              <w:numPr>
                <w:ilvl w:val="0"/>
                <w:numId w:val="2"/>
              </w:numPr>
              <w:jc w:val="both"/>
              <w:rPr>
                <w:sz w:val="23"/>
                <w:szCs w:val="23"/>
              </w:rPr>
            </w:pPr>
            <w:r>
              <w:t>pārņemts Padomes 2006.gada 28.novembra direktīvas 2006/112/EK par kopējo pievienotās vērtības nodokļa sistēmu 199.a panta 1.punkta “j” apakšpunkts daļā par</w:t>
            </w:r>
            <w:r w:rsidRPr="00DB2E20">
              <w:rPr>
                <w:sz w:val="23"/>
                <w:szCs w:val="23"/>
              </w:rPr>
              <w:t xml:space="preserve"> apgrieztās jeb reversās PVN maksāšanas kārtības piemērošanu melno un krāsaino metālu pusfabrikātu piegādei.</w:t>
            </w:r>
          </w:p>
        </w:tc>
      </w:tr>
      <w:tr w:rsidR="00DA395D" w:rsidRPr="009A6CAD" w14:paraId="5A9206BA" w14:textId="77777777" w:rsidTr="00DA395D">
        <w:trPr>
          <w:gridAfter w:val="2"/>
          <w:wAfter w:w="30" w:type="pct"/>
          <w:cantSplit/>
          <w:trHeight w:val="902"/>
        </w:trPr>
        <w:tc>
          <w:tcPr>
            <w:tcW w:w="304" w:type="pct"/>
            <w:gridSpan w:val="3"/>
            <w:hideMark/>
          </w:tcPr>
          <w:p w14:paraId="235FCE70" w14:textId="77777777" w:rsidR="00DA395D" w:rsidRPr="00903596" w:rsidRDefault="00DA395D" w:rsidP="00DA395D">
            <w:pPr>
              <w:jc w:val="center"/>
            </w:pPr>
            <w:r w:rsidRPr="00903596">
              <w:t>2.</w:t>
            </w:r>
          </w:p>
        </w:tc>
        <w:tc>
          <w:tcPr>
            <w:tcW w:w="1434" w:type="pct"/>
            <w:gridSpan w:val="4"/>
            <w:hideMark/>
          </w:tcPr>
          <w:p w14:paraId="2D7F66CF" w14:textId="77777777" w:rsidR="00DA395D" w:rsidRPr="00903596" w:rsidRDefault="00DA395D" w:rsidP="00DA395D">
            <w:r w:rsidRPr="00903596">
              <w:t>Citas starptautiskās saistības</w:t>
            </w:r>
          </w:p>
        </w:tc>
        <w:tc>
          <w:tcPr>
            <w:tcW w:w="3232" w:type="pct"/>
            <w:gridSpan w:val="6"/>
            <w:hideMark/>
          </w:tcPr>
          <w:p w14:paraId="7E549D38" w14:textId="77777777" w:rsidR="00DA395D" w:rsidRDefault="00DA395D" w:rsidP="00DA395D">
            <w:pPr>
              <w:jc w:val="both"/>
            </w:pPr>
            <w:r>
              <w:t>2017.</w:t>
            </w:r>
            <w:r w:rsidRPr="00644A6C">
              <w:t>gada 21.septembr</w:t>
            </w:r>
            <w:r>
              <w:t>a EST</w:t>
            </w:r>
            <w:r w:rsidRPr="00201A82">
              <w:t xml:space="preserve"> spriedum</w:t>
            </w:r>
            <w:r>
              <w:t>s</w:t>
            </w:r>
            <w:r w:rsidRPr="00201A82">
              <w:t xml:space="preserve"> lietā C-326/15 DNB Banka</w:t>
            </w:r>
            <w:r>
              <w:t xml:space="preserve"> attiecībā uz Direktīvas 2006/112/EK 132.panta 1.punkta “f” apakšpunkta interpretāciju.</w:t>
            </w:r>
          </w:p>
          <w:p w14:paraId="53861831" w14:textId="77777777" w:rsidR="00DA395D" w:rsidRDefault="00DA395D" w:rsidP="00DA395D">
            <w:pPr>
              <w:jc w:val="both"/>
            </w:pPr>
          </w:p>
          <w:p w14:paraId="61CE58F4" w14:textId="77777777" w:rsidR="00DA395D" w:rsidRDefault="00DA395D" w:rsidP="00DA395D">
            <w:pPr>
              <w:jc w:val="both"/>
            </w:pPr>
          </w:p>
          <w:p w14:paraId="7532FCA5" w14:textId="77777777" w:rsidR="00DA395D" w:rsidRDefault="00DA395D" w:rsidP="00DA395D">
            <w:pPr>
              <w:jc w:val="both"/>
            </w:pPr>
          </w:p>
          <w:p w14:paraId="316092AA" w14:textId="77777777" w:rsidR="00DA395D" w:rsidRDefault="00DA395D" w:rsidP="00DA395D">
            <w:pPr>
              <w:jc w:val="both"/>
            </w:pPr>
          </w:p>
          <w:p w14:paraId="2A38017E" w14:textId="77777777" w:rsidR="00DA395D" w:rsidRDefault="00DA395D" w:rsidP="00DA395D">
            <w:pPr>
              <w:jc w:val="both"/>
            </w:pPr>
          </w:p>
          <w:p w14:paraId="0B97D34E" w14:textId="18379E3A" w:rsidR="00DA395D" w:rsidRPr="00903596" w:rsidRDefault="00DA395D" w:rsidP="00DA395D">
            <w:pPr>
              <w:jc w:val="both"/>
            </w:pPr>
          </w:p>
        </w:tc>
      </w:tr>
      <w:tr w:rsidR="00DA395D" w:rsidRPr="009A6CAD" w14:paraId="7587C407" w14:textId="77777777" w:rsidTr="00DA395D">
        <w:trPr>
          <w:gridAfter w:val="2"/>
          <w:wAfter w:w="30" w:type="pct"/>
          <w:cantSplit/>
        </w:trPr>
        <w:tc>
          <w:tcPr>
            <w:tcW w:w="304" w:type="pct"/>
            <w:gridSpan w:val="3"/>
            <w:hideMark/>
          </w:tcPr>
          <w:p w14:paraId="2F18F649" w14:textId="77777777" w:rsidR="00DA395D" w:rsidRPr="00903596" w:rsidRDefault="00DA395D" w:rsidP="00DA395D">
            <w:pPr>
              <w:jc w:val="center"/>
            </w:pPr>
            <w:r w:rsidRPr="00903596">
              <w:t>3.</w:t>
            </w:r>
          </w:p>
        </w:tc>
        <w:tc>
          <w:tcPr>
            <w:tcW w:w="1434" w:type="pct"/>
            <w:gridSpan w:val="4"/>
            <w:hideMark/>
          </w:tcPr>
          <w:p w14:paraId="6BAD0F1B" w14:textId="77777777" w:rsidR="00DA395D" w:rsidRPr="00903596" w:rsidRDefault="00DA395D" w:rsidP="00DA395D">
            <w:r w:rsidRPr="00903596">
              <w:t>Cita informācija</w:t>
            </w:r>
          </w:p>
        </w:tc>
        <w:tc>
          <w:tcPr>
            <w:tcW w:w="3232" w:type="pct"/>
            <w:gridSpan w:val="6"/>
            <w:hideMark/>
          </w:tcPr>
          <w:p w14:paraId="69296EAD" w14:textId="47FD71E8" w:rsidR="00DA395D" w:rsidRPr="00903596" w:rsidRDefault="00DA395D" w:rsidP="00DA395D">
            <w:r w:rsidRPr="00903596">
              <w:t>Nav</w:t>
            </w:r>
          </w:p>
        </w:tc>
      </w:tr>
    </w:tbl>
    <w:p w14:paraId="27A4CA2A" w14:textId="2F912EF5" w:rsidR="00D71392" w:rsidRPr="00903596" w:rsidRDefault="00D71392" w:rsidP="000B35BE">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0"/>
        <w:gridCol w:w="259"/>
        <w:gridCol w:w="809"/>
        <w:gridCol w:w="238"/>
        <w:gridCol w:w="1589"/>
        <w:gridCol w:w="219"/>
        <w:gridCol w:w="568"/>
        <w:gridCol w:w="294"/>
        <w:gridCol w:w="1224"/>
        <w:gridCol w:w="129"/>
        <w:gridCol w:w="2765"/>
        <w:gridCol w:w="12"/>
      </w:tblGrid>
      <w:tr w:rsidR="00BD5588" w:rsidRPr="009A6CAD" w14:paraId="35841EFC" w14:textId="77777777" w:rsidTr="0009200A">
        <w:trPr>
          <w:cantSplit/>
        </w:trPr>
        <w:tc>
          <w:tcPr>
            <w:tcW w:w="5000" w:type="pct"/>
            <w:gridSpan w:val="12"/>
            <w:vAlign w:val="center"/>
            <w:hideMark/>
          </w:tcPr>
          <w:p w14:paraId="41FA2C59" w14:textId="77777777" w:rsidR="00BD5588" w:rsidRPr="00903596" w:rsidRDefault="00BD5588" w:rsidP="00122EEB">
            <w:pPr>
              <w:jc w:val="center"/>
              <w:rPr>
                <w:b/>
                <w:bCs/>
              </w:rPr>
            </w:pPr>
            <w:r w:rsidRPr="00903596">
              <w:rPr>
                <w:b/>
                <w:bCs/>
              </w:rPr>
              <w:t>1. tabula</w:t>
            </w:r>
            <w:r w:rsidRPr="00903596">
              <w:rPr>
                <w:b/>
                <w:bCs/>
              </w:rPr>
              <w:br/>
              <w:t>Tiesību akta projekta atbilstība ES tiesību aktiem</w:t>
            </w:r>
          </w:p>
        </w:tc>
      </w:tr>
      <w:tr w:rsidR="00BD5588" w:rsidRPr="005E29E1" w14:paraId="64C32A34" w14:textId="77777777" w:rsidTr="0009200A">
        <w:trPr>
          <w:cantSplit/>
        </w:trPr>
        <w:tc>
          <w:tcPr>
            <w:tcW w:w="892" w:type="pct"/>
            <w:gridSpan w:val="4"/>
            <w:hideMark/>
          </w:tcPr>
          <w:p w14:paraId="28A57C6B" w14:textId="77777777" w:rsidR="00BD5588" w:rsidRPr="00903596" w:rsidRDefault="00BD5588" w:rsidP="00122EEB">
            <w:r w:rsidRPr="00903596">
              <w:t>Attiecīgā ES tiesību akta datums, numurs un nosaukums</w:t>
            </w:r>
          </w:p>
        </w:tc>
        <w:tc>
          <w:tcPr>
            <w:tcW w:w="4108" w:type="pct"/>
            <w:gridSpan w:val="8"/>
            <w:hideMark/>
          </w:tcPr>
          <w:p w14:paraId="4F5A4BEF" w14:textId="304D56C2" w:rsidR="007D3188" w:rsidRPr="005E29E1" w:rsidRDefault="00E6009A" w:rsidP="004E2568">
            <w:pPr>
              <w:pStyle w:val="ListParagraph"/>
              <w:numPr>
                <w:ilvl w:val="0"/>
                <w:numId w:val="3"/>
              </w:numPr>
              <w:jc w:val="both"/>
            </w:pPr>
            <w:r w:rsidRPr="005E29E1">
              <w:t>Padomes 2016.gada 27</w:t>
            </w:r>
            <w:r w:rsidR="007D3188" w:rsidRPr="005E29E1">
              <w:t>.</w:t>
            </w:r>
            <w:r w:rsidRPr="005E29E1">
              <w:t>jūnija direktīva</w:t>
            </w:r>
            <w:r w:rsidR="00F62385">
              <w:t xml:space="preserve"> (ES)</w:t>
            </w:r>
            <w:r w:rsidR="007D3188" w:rsidRPr="005E29E1">
              <w:t xml:space="preserve"> 20</w:t>
            </w:r>
            <w:r w:rsidRPr="005E29E1">
              <w:t>1</w:t>
            </w:r>
            <w:r w:rsidR="007D3188" w:rsidRPr="005E29E1">
              <w:t>6/1</w:t>
            </w:r>
            <w:r w:rsidRPr="005E29E1">
              <w:t xml:space="preserve">065, ar ko attiecībā uz </w:t>
            </w:r>
            <w:proofErr w:type="spellStart"/>
            <w:r w:rsidRPr="005E29E1">
              <w:t>vaučeriem</w:t>
            </w:r>
            <w:proofErr w:type="spellEnd"/>
            <w:r w:rsidRPr="005E29E1">
              <w:t xml:space="preserve"> piemērojamo režīmu groza Direktīvu 2006/112/EK</w:t>
            </w:r>
            <w:r w:rsidR="005E29E1" w:rsidRPr="005E29E1">
              <w:t>;</w:t>
            </w:r>
          </w:p>
          <w:p w14:paraId="1C6CA076" w14:textId="220612F1" w:rsidR="009E26A1" w:rsidRDefault="00F22AF6" w:rsidP="00B452AE">
            <w:pPr>
              <w:pStyle w:val="ListParagraph"/>
              <w:numPr>
                <w:ilvl w:val="0"/>
                <w:numId w:val="3"/>
              </w:numPr>
              <w:jc w:val="both"/>
            </w:pPr>
            <w:r w:rsidRPr="005E29E1">
              <w:t>Padomes 2017.gada 5.decembra direktīva</w:t>
            </w:r>
            <w:r w:rsidR="00F62385">
              <w:t xml:space="preserve"> (ES) </w:t>
            </w:r>
            <w:r w:rsidRPr="005E29E1">
              <w:t xml:space="preserve"> 2017/2455, ar ko groza Direktīvu 2006/112/EK un Direktīvu 2009/132/EK attiecībā uz konkrētām pievienotās vērtības nodokļa saistībām pakalpojumu sniegšanā un preču </w:t>
            </w:r>
            <w:proofErr w:type="spellStart"/>
            <w:r w:rsidRPr="005E29E1">
              <w:t>tālpārdošanā</w:t>
            </w:r>
            <w:proofErr w:type="spellEnd"/>
            <w:r w:rsidR="009E26A1">
              <w:t>;</w:t>
            </w:r>
          </w:p>
          <w:p w14:paraId="2BEE01AE" w14:textId="370A6BFF" w:rsidR="001447CB" w:rsidRPr="00B452AE" w:rsidRDefault="009E26A1" w:rsidP="004E2568">
            <w:pPr>
              <w:pStyle w:val="ListParagraph"/>
              <w:numPr>
                <w:ilvl w:val="0"/>
                <w:numId w:val="3"/>
              </w:numPr>
              <w:jc w:val="both"/>
            </w:pPr>
            <w:r>
              <w:t>Padomes 2006.gada 28.novembra direktīva 2006/112/EK par kopējo pievienotās vērtības nodokļa sistēmu</w:t>
            </w:r>
            <w:r w:rsidR="005E29E1" w:rsidRPr="005E29E1">
              <w:t>.</w:t>
            </w:r>
          </w:p>
        </w:tc>
      </w:tr>
      <w:tr w:rsidR="00634440" w:rsidRPr="009A6CAD" w14:paraId="0099FBCF" w14:textId="77777777" w:rsidTr="0009200A">
        <w:trPr>
          <w:cantSplit/>
        </w:trPr>
        <w:tc>
          <w:tcPr>
            <w:tcW w:w="892" w:type="pct"/>
            <w:gridSpan w:val="4"/>
            <w:vAlign w:val="center"/>
            <w:hideMark/>
          </w:tcPr>
          <w:p w14:paraId="2E36FD5C" w14:textId="77777777" w:rsidR="00BD5588" w:rsidRPr="00903596" w:rsidRDefault="00BD5588" w:rsidP="00122EEB">
            <w:pPr>
              <w:jc w:val="center"/>
            </w:pPr>
            <w:r w:rsidRPr="00903596">
              <w:t>A</w:t>
            </w:r>
          </w:p>
        </w:tc>
        <w:tc>
          <w:tcPr>
            <w:tcW w:w="964" w:type="pct"/>
            <w:vAlign w:val="center"/>
            <w:hideMark/>
          </w:tcPr>
          <w:p w14:paraId="0EA27E8D" w14:textId="77777777" w:rsidR="00BD5588" w:rsidRPr="00903596" w:rsidRDefault="00BD5588" w:rsidP="00122EEB">
            <w:pPr>
              <w:jc w:val="center"/>
            </w:pPr>
            <w:r w:rsidRPr="00903596">
              <w:t>B</w:t>
            </w:r>
          </w:p>
        </w:tc>
        <w:tc>
          <w:tcPr>
            <w:tcW w:w="1372" w:type="pct"/>
            <w:gridSpan w:val="4"/>
            <w:vAlign w:val="center"/>
            <w:hideMark/>
          </w:tcPr>
          <w:p w14:paraId="0ADDAFAF" w14:textId="77777777" w:rsidR="00BD5588" w:rsidRPr="00903596" w:rsidRDefault="00BD5588" w:rsidP="00122EEB">
            <w:pPr>
              <w:jc w:val="center"/>
            </w:pPr>
            <w:r w:rsidRPr="00903596">
              <w:t>C</w:t>
            </w:r>
          </w:p>
        </w:tc>
        <w:tc>
          <w:tcPr>
            <w:tcW w:w="1772" w:type="pct"/>
            <w:gridSpan w:val="3"/>
            <w:vAlign w:val="center"/>
            <w:hideMark/>
          </w:tcPr>
          <w:p w14:paraId="75A9727C" w14:textId="77777777" w:rsidR="00BD5588" w:rsidRPr="00903596" w:rsidRDefault="00BD5588" w:rsidP="00122EEB">
            <w:pPr>
              <w:jc w:val="center"/>
            </w:pPr>
            <w:r w:rsidRPr="00903596">
              <w:t>D</w:t>
            </w:r>
          </w:p>
        </w:tc>
      </w:tr>
      <w:tr w:rsidR="00B02B2A" w:rsidRPr="009A6CAD" w14:paraId="0192BE00" w14:textId="77777777" w:rsidTr="0009200A">
        <w:trPr>
          <w:cantSplit/>
        </w:trPr>
        <w:tc>
          <w:tcPr>
            <w:tcW w:w="5000" w:type="pct"/>
            <w:gridSpan w:val="12"/>
            <w:vAlign w:val="center"/>
          </w:tcPr>
          <w:p w14:paraId="48806AEC" w14:textId="5B878595" w:rsidR="00B02B2A" w:rsidRPr="00903596" w:rsidRDefault="00B02B2A" w:rsidP="00122EEB">
            <w:pPr>
              <w:jc w:val="center"/>
            </w:pPr>
            <w:r w:rsidRPr="00D77580">
              <w:t>Direktīvas 2016/1065 1.pants</w:t>
            </w:r>
          </w:p>
        </w:tc>
      </w:tr>
      <w:tr w:rsidR="00634440" w:rsidRPr="009A6CAD" w14:paraId="645B0314" w14:textId="77777777" w:rsidTr="0009200A">
        <w:trPr>
          <w:cantSplit/>
        </w:trPr>
        <w:tc>
          <w:tcPr>
            <w:tcW w:w="892" w:type="pct"/>
            <w:gridSpan w:val="4"/>
            <w:tcBorders>
              <w:top w:val="outset" w:sz="6" w:space="0" w:color="auto"/>
              <w:left w:val="outset" w:sz="6" w:space="0" w:color="auto"/>
              <w:bottom w:val="outset" w:sz="6" w:space="0" w:color="auto"/>
              <w:right w:val="outset" w:sz="6" w:space="0" w:color="auto"/>
            </w:tcBorders>
            <w:hideMark/>
          </w:tcPr>
          <w:p w14:paraId="2E5DD1F2" w14:textId="791C97EA" w:rsidR="00B02B2A" w:rsidRPr="00F22AF6" w:rsidRDefault="00070F98" w:rsidP="00DC227A">
            <w:r w:rsidRPr="00070F98">
              <w:t xml:space="preserve">Direktīvas 2016/1065 </w:t>
            </w:r>
            <w:r w:rsidR="001F1E2A" w:rsidRPr="001F1E2A">
              <w:t>1.panta 1.punk</w:t>
            </w:r>
            <w:r w:rsidR="001F1E2A">
              <w:t>ts</w:t>
            </w:r>
            <w:r w:rsidR="002C2564">
              <w:t xml:space="preserve"> attiecībā uz 30.a panta 1</w:t>
            </w:r>
            <w:r w:rsidR="002C2564" w:rsidRPr="002C2564">
              <w:t>.punkta pārņemšanu</w:t>
            </w:r>
            <w:r w:rsidR="001F1E2A">
              <w:t xml:space="preserve"> </w:t>
            </w:r>
          </w:p>
        </w:tc>
        <w:tc>
          <w:tcPr>
            <w:tcW w:w="964" w:type="pct"/>
            <w:tcBorders>
              <w:top w:val="outset" w:sz="6" w:space="0" w:color="auto"/>
              <w:left w:val="outset" w:sz="6" w:space="0" w:color="auto"/>
              <w:bottom w:val="outset" w:sz="6" w:space="0" w:color="auto"/>
              <w:right w:val="outset" w:sz="6" w:space="0" w:color="auto"/>
            </w:tcBorders>
            <w:hideMark/>
          </w:tcPr>
          <w:p w14:paraId="604C0F06" w14:textId="360E436D" w:rsidR="00CA7D51" w:rsidRPr="00F22AF6" w:rsidRDefault="00070F98">
            <w:pPr>
              <w:jc w:val="center"/>
            </w:pPr>
            <w:r>
              <w:t xml:space="preserve">Likumprojekta 1.pants (Pievienotās vērtības nodokļa likuma </w:t>
            </w:r>
            <w:r w:rsidR="00BC7C82" w:rsidRPr="00F22AF6">
              <w:t>1</w:t>
            </w:r>
            <w:r w:rsidR="00B02B2A" w:rsidRPr="00F22AF6">
              <w:t xml:space="preserve">.panta </w:t>
            </w:r>
            <w:r w:rsidR="008463E7">
              <w:t>32</w:t>
            </w:r>
            <w:r w:rsidR="00CA7D51">
              <w:t>.</w:t>
            </w:r>
            <w:r w:rsidR="00B02B2A" w:rsidRPr="00F22AF6">
              <w:t>punkts</w:t>
            </w:r>
            <w:r w:rsidR="00DC227A">
              <w:t>)</w:t>
            </w:r>
          </w:p>
        </w:tc>
        <w:tc>
          <w:tcPr>
            <w:tcW w:w="1372" w:type="pct"/>
            <w:gridSpan w:val="4"/>
            <w:tcBorders>
              <w:top w:val="outset" w:sz="6" w:space="0" w:color="auto"/>
              <w:left w:val="outset" w:sz="6" w:space="0" w:color="auto"/>
              <w:bottom w:val="outset" w:sz="6" w:space="0" w:color="auto"/>
              <w:right w:val="outset" w:sz="6" w:space="0" w:color="auto"/>
            </w:tcBorders>
            <w:hideMark/>
          </w:tcPr>
          <w:p w14:paraId="60E943EA" w14:textId="69B02602" w:rsidR="00B02B2A" w:rsidRPr="00F22AF6" w:rsidRDefault="00B02B2A" w:rsidP="00B02B2A">
            <w:pPr>
              <w:jc w:val="center"/>
            </w:pPr>
            <w:r w:rsidRPr="00F22AF6">
              <w:t xml:space="preserve">Ieviests pilnībā </w:t>
            </w:r>
          </w:p>
        </w:tc>
        <w:tc>
          <w:tcPr>
            <w:tcW w:w="1772" w:type="pct"/>
            <w:gridSpan w:val="3"/>
            <w:tcBorders>
              <w:top w:val="outset" w:sz="6" w:space="0" w:color="auto"/>
              <w:left w:val="outset" w:sz="6" w:space="0" w:color="auto"/>
              <w:bottom w:val="outset" w:sz="6" w:space="0" w:color="auto"/>
              <w:right w:val="outset" w:sz="6" w:space="0" w:color="auto"/>
            </w:tcBorders>
            <w:hideMark/>
          </w:tcPr>
          <w:p w14:paraId="6FDF4B5C" w14:textId="46AF3067" w:rsidR="00B02B2A" w:rsidRPr="00F22AF6" w:rsidRDefault="00B02B2A" w:rsidP="00B02B2A">
            <w:pPr>
              <w:jc w:val="center"/>
            </w:pPr>
            <w:r w:rsidRPr="00F22AF6">
              <w:t>Likumprojekts neparedz stingrākas prasības</w:t>
            </w:r>
          </w:p>
        </w:tc>
      </w:tr>
      <w:tr w:rsidR="00634440" w:rsidRPr="009A6CAD" w14:paraId="35C9F16D" w14:textId="77777777" w:rsidTr="0009200A">
        <w:trPr>
          <w:cantSplit/>
        </w:trPr>
        <w:tc>
          <w:tcPr>
            <w:tcW w:w="892" w:type="pct"/>
            <w:gridSpan w:val="4"/>
            <w:hideMark/>
          </w:tcPr>
          <w:p w14:paraId="1291FD72" w14:textId="58FCF6B3" w:rsidR="001F1E2A" w:rsidRPr="00F22AF6" w:rsidRDefault="00070F98">
            <w:pPr>
              <w:rPr>
                <w:highlight w:val="yellow"/>
              </w:rPr>
            </w:pPr>
            <w:r w:rsidRPr="00070F98">
              <w:t xml:space="preserve">Direktīvas 2016/1065 </w:t>
            </w:r>
            <w:r w:rsidR="008463E7" w:rsidRPr="008463E7">
              <w:t>1.panta 1.punkts</w:t>
            </w:r>
            <w:r w:rsidR="002C2564">
              <w:t xml:space="preserve"> attiecībā uz 30.a </w:t>
            </w:r>
            <w:r w:rsidR="002C2564" w:rsidRPr="002C2564">
              <w:t>panta 2.punkta pārņemšanu</w:t>
            </w:r>
            <w:r w:rsidR="008463E7" w:rsidRPr="008463E7">
              <w:t xml:space="preserve"> </w:t>
            </w:r>
          </w:p>
        </w:tc>
        <w:tc>
          <w:tcPr>
            <w:tcW w:w="964" w:type="pct"/>
            <w:hideMark/>
          </w:tcPr>
          <w:p w14:paraId="05B4B677" w14:textId="68EFE690" w:rsidR="00BD5588" w:rsidRPr="00F22AF6" w:rsidRDefault="00070F98" w:rsidP="0077592A">
            <w:pPr>
              <w:jc w:val="center"/>
              <w:rPr>
                <w:highlight w:val="yellow"/>
              </w:rPr>
            </w:pPr>
            <w:r w:rsidRPr="00070F98">
              <w:t xml:space="preserve">Likumprojekta 1.pants (Pievienotās vērtības nodokļa likuma </w:t>
            </w:r>
            <w:r w:rsidR="008463E7">
              <w:t>1.panta 33</w:t>
            </w:r>
            <w:r w:rsidR="008463E7" w:rsidRPr="008463E7">
              <w:t>.punkts</w:t>
            </w:r>
            <w:r>
              <w:t>)</w:t>
            </w:r>
          </w:p>
        </w:tc>
        <w:tc>
          <w:tcPr>
            <w:tcW w:w="1372" w:type="pct"/>
            <w:gridSpan w:val="4"/>
            <w:hideMark/>
          </w:tcPr>
          <w:p w14:paraId="00C8A19E" w14:textId="054A3B6D" w:rsidR="001F1E2A" w:rsidRPr="00F22AF6" w:rsidRDefault="001F1E2A" w:rsidP="00B452AE">
            <w:pPr>
              <w:jc w:val="center"/>
              <w:rPr>
                <w:highlight w:val="yellow"/>
              </w:rPr>
            </w:pPr>
            <w:r w:rsidRPr="001F1E2A">
              <w:t>Ieviests pilnībā</w:t>
            </w:r>
          </w:p>
        </w:tc>
        <w:tc>
          <w:tcPr>
            <w:tcW w:w="1772" w:type="pct"/>
            <w:gridSpan w:val="3"/>
            <w:hideMark/>
          </w:tcPr>
          <w:p w14:paraId="2BECC839" w14:textId="0BD67F45" w:rsidR="001F1E2A" w:rsidRPr="00F22AF6" w:rsidRDefault="001F1E2A" w:rsidP="00B452AE">
            <w:pPr>
              <w:jc w:val="center"/>
              <w:rPr>
                <w:highlight w:val="yellow"/>
              </w:rPr>
            </w:pPr>
            <w:r w:rsidRPr="001F1E2A">
              <w:t>Likumprojekts neparedz stingrākas prasības</w:t>
            </w:r>
          </w:p>
        </w:tc>
      </w:tr>
      <w:tr w:rsidR="00634440" w:rsidRPr="009A6CAD" w14:paraId="04819470" w14:textId="77777777" w:rsidTr="0009200A">
        <w:trPr>
          <w:cantSplit/>
        </w:trPr>
        <w:tc>
          <w:tcPr>
            <w:tcW w:w="892" w:type="pct"/>
            <w:gridSpan w:val="4"/>
          </w:tcPr>
          <w:p w14:paraId="33BA4C1D" w14:textId="7B911341" w:rsidR="008463E7" w:rsidRPr="008463E7" w:rsidRDefault="00070F98">
            <w:r w:rsidRPr="00070F98">
              <w:t xml:space="preserve">Direktīvas 2016/1065 </w:t>
            </w:r>
            <w:r w:rsidR="008463E7" w:rsidRPr="008463E7">
              <w:t>1.panta 1.punkts</w:t>
            </w:r>
            <w:r w:rsidR="002C2564">
              <w:t xml:space="preserve"> attiecībā uz 30.a panta 3</w:t>
            </w:r>
            <w:r w:rsidR="002C2564" w:rsidRPr="002C2564">
              <w:t>.punkta pārņemšanu</w:t>
            </w:r>
            <w:r w:rsidR="008463E7" w:rsidRPr="008463E7">
              <w:t xml:space="preserve"> </w:t>
            </w:r>
          </w:p>
        </w:tc>
        <w:tc>
          <w:tcPr>
            <w:tcW w:w="964" w:type="pct"/>
          </w:tcPr>
          <w:p w14:paraId="0D06BCFF" w14:textId="35829CB6" w:rsidR="008463E7" w:rsidRDefault="00070F98" w:rsidP="008463E7">
            <w:pPr>
              <w:jc w:val="center"/>
            </w:pPr>
            <w:r w:rsidRPr="00070F98">
              <w:t xml:space="preserve">Likumprojekta 1.pants (Pievienotās vērtības nodokļa likuma </w:t>
            </w:r>
            <w:r w:rsidR="008463E7">
              <w:t>1.panta 31</w:t>
            </w:r>
            <w:r w:rsidR="008463E7" w:rsidRPr="008463E7">
              <w:t>.punkts</w:t>
            </w:r>
            <w:r>
              <w:t>)</w:t>
            </w:r>
          </w:p>
        </w:tc>
        <w:tc>
          <w:tcPr>
            <w:tcW w:w="1372" w:type="pct"/>
            <w:gridSpan w:val="4"/>
          </w:tcPr>
          <w:p w14:paraId="568D288D" w14:textId="53F9E186" w:rsidR="008463E7" w:rsidRPr="00F22AF6" w:rsidDel="008463E7" w:rsidRDefault="008463E7" w:rsidP="008463E7">
            <w:pPr>
              <w:jc w:val="center"/>
              <w:rPr>
                <w:highlight w:val="yellow"/>
              </w:rPr>
            </w:pPr>
            <w:r w:rsidRPr="008463E7">
              <w:t>Ieviests pilnībā</w:t>
            </w:r>
          </w:p>
        </w:tc>
        <w:tc>
          <w:tcPr>
            <w:tcW w:w="1772" w:type="pct"/>
            <w:gridSpan w:val="3"/>
          </w:tcPr>
          <w:p w14:paraId="00597F9F" w14:textId="35C06578" w:rsidR="008463E7" w:rsidRPr="00F22AF6" w:rsidDel="008463E7" w:rsidRDefault="008463E7" w:rsidP="008463E7">
            <w:pPr>
              <w:jc w:val="center"/>
              <w:rPr>
                <w:highlight w:val="yellow"/>
              </w:rPr>
            </w:pPr>
            <w:r w:rsidRPr="008463E7">
              <w:t>Likumprojekts neparedz stingrākas prasības</w:t>
            </w:r>
          </w:p>
        </w:tc>
      </w:tr>
      <w:tr w:rsidR="000928FD" w:rsidRPr="009A6CAD" w14:paraId="5FBD2CD7" w14:textId="77777777" w:rsidTr="0009200A">
        <w:trPr>
          <w:cantSplit/>
        </w:trPr>
        <w:tc>
          <w:tcPr>
            <w:tcW w:w="892" w:type="pct"/>
            <w:gridSpan w:val="4"/>
          </w:tcPr>
          <w:p w14:paraId="44D22DAE" w14:textId="079CA9D7" w:rsidR="000928FD" w:rsidRPr="00070F98" w:rsidRDefault="000928FD" w:rsidP="000928FD">
            <w:r w:rsidRPr="00FC1BA2">
              <w:t>Direktīvas 2016/1065 1.panta 1.punkts</w:t>
            </w:r>
            <w:r>
              <w:t xml:space="preserve"> attiecībā uz 30</w:t>
            </w:r>
            <w:r w:rsidRPr="00136A83">
              <w:t>.</w:t>
            </w:r>
            <w:r>
              <w:t>b panta</w:t>
            </w:r>
            <w:r w:rsidRPr="00136A83">
              <w:t xml:space="preserve"> pārņemšanu</w:t>
            </w:r>
          </w:p>
        </w:tc>
        <w:tc>
          <w:tcPr>
            <w:tcW w:w="964" w:type="pct"/>
          </w:tcPr>
          <w:p w14:paraId="6CFD4B53" w14:textId="77777777" w:rsidR="000928FD" w:rsidRDefault="000928FD" w:rsidP="000928FD">
            <w:pPr>
              <w:jc w:val="center"/>
            </w:pPr>
            <w:r>
              <w:t>Likumprojekta 2</w:t>
            </w:r>
            <w:r w:rsidRPr="00CD3A43">
              <w:t>.pants (Pievienotās vērtības nodokļa likuma</w:t>
            </w:r>
          </w:p>
          <w:p w14:paraId="4E2F55EF" w14:textId="4C3F9B20" w:rsidR="000928FD" w:rsidRPr="00070F98" w:rsidRDefault="000928FD" w:rsidP="000928FD">
            <w:pPr>
              <w:jc w:val="center"/>
            </w:pPr>
            <w:r>
              <w:t>12.</w:t>
            </w:r>
            <w:r w:rsidRPr="008959C5">
              <w:rPr>
                <w:vertAlign w:val="superscript"/>
              </w:rPr>
              <w:t>1</w:t>
            </w:r>
            <w:r>
              <w:t>pants)</w:t>
            </w:r>
          </w:p>
        </w:tc>
        <w:tc>
          <w:tcPr>
            <w:tcW w:w="1372" w:type="pct"/>
            <w:gridSpan w:val="4"/>
          </w:tcPr>
          <w:p w14:paraId="090096FB" w14:textId="3F2EEAB9" w:rsidR="000928FD" w:rsidRPr="008463E7" w:rsidRDefault="000928FD" w:rsidP="000928FD">
            <w:pPr>
              <w:jc w:val="center"/>
            </w:pPr>
            <w:r w:rsidRPr="00FC1BA2">
              <w:t>Ieviests pilnībā</w:t>
            </w:r>
          </w:p>
        </w:tc>
        <w:tc>
          <w:tcPr>
            <w:tcW w:w="1772" w:type="pct"/>
            <w:gridSpan w:val="3"/>
          </w:tcPr>
          <w:p w14:paraId="76ACD6E6" w14:textId="05EF9BB8" w:rsidR="000928FD" w:rsidRPr="008463E7" w:rsidRDefault="000928FD" w:rsidP="000928FD">
            <w:pPr>
              <w:jc w:val="center"/>
            </w:pPr>
            <w:r w:rsidRPr="00FC1BA2">
              <w:t>Likumprojekts neparedz stingrākas prasības</w:t>
            </w:r>
          </w:p>
        </w:tc>
      </w:tr>
      <w:tr w:rsidR="000928FD" w:rsidRPr="009A6CAD" w14:paraId="4783D331" w14:textId="77777777" w:rsidTr="0009200A">
        <w:trPr>
          <w:cantSplit/>
        </w:trPr>
        <w:tc>
          <w:tcPr>
            <w:tcW w:w="892" w:type="pct"/>
            <w:gridSpan w:val="4"/>
            <w:tcBorders>
              <w:top w:val="outset" w:sz="6" w:space="0" w:color="auto"/>
              <w:left w:val="outset" w:sz="6" w:space="0" w:color="auto"/>
              <w:bottom w:val="outset" w:sz="6" w:space="0" w:color="auto"/>
              <w:right w:val="outset" w:sz="6" w:space="0" w:color="auto"/>
            </w:tcBorders>
          </w:tcPr>
          <w:p w14:paraId="1B294719" w14:textId="202C4F16" w:rsidR="000928FD" w:rsidRPr="00F22AF6" w:rsidRDefault="000928FD" w:rsidP="000928FD">
            <w:r w:rsidRPr="004B1E1D">
              <w:t xml:space="preserve">Direktīvas 2016/1065 </w:t>
            </w:r>
            <w:r>
              <w:t xml:space="preserve">1.panta 2.punkts </w:t>
            </w:r>
          </w:p>
        </w:tc>
        <w:tc>
          <w:tcPr>
            <w:tcW w:w="964" w:type="pct"/>
            <w:tcBorders>
              <w:top w:val="outset" w:sz="6" w:space="0" w:color="auto"/>
              <w:left w:val="outset" w:sz="6" w:space="0" w:color="auto"/>
              <w:bottom w:val="outset" w:sz="6" w:space="0" w:color="auto"/>
              <w:right w:val="outset" w:sz="6" w:space="0" w:color="auto"/>
            </w:tcBorders>
          </w:tcPr>
          <w:p w14:paraId="19994DBF" w14:textId="3FBD03F6" w:rsidR="000928FD" w:rsidRPr="00F22AF6" w:rsidRDefault="000928FD" w:rsidP="000928FD">
            <w:pPr>
              <w:jc w:val="center"/>
            </w:pPr>
            <w:r>
              <w:t>Likumprojekta 5</w:t>
            </w:r>
            <w:r w:rsidRPr="00CD3A43">
              <w:t xml:space="preserve">.pants (Pievienotās vērtības nodokļa likuma </w:t>
            </w:r>
            <w:r>
              <w:t>37</w:t>
            </w:r>
            <w:r w:rsidRPr="00F22AF6">
              <w:t>.</w:t>
            </w:r>
            <w:r w:rsidRPr="00F22AF6">
              <w:rPr>
                <w:vertAlign w:val="superscript"/>
              </w:rPr>
              <w:t>1</w:t>
            </w:r>
            <w:r>
              <w:t>pant</w:t>
            </w:r>
            <w:r w:rsidRPr="00F22AF6">
              <w:t>s</w:t>
            </w:r>
            <w:r>
              <w:t>)</w:t>
            </w:r>
          </w:p>
        </w:tc>
        <w:tc>
          <w:tcPr>
            <w:tcW w:w="1372" w:type="pct"/>
            <w:gridSpan w:val="4"/>
            <w:tcBorders>
              <w:top w:val="outset" w:sz="6" w:space="0" w:color="auto"/>
              <w:left w:val="outset" w:sz="6" w:space="0" w:color="auto"/>
              <w:bottom w:val="outset" w:sz="6" w:space="0" w:color="auto"/>
              <w:right w:val="outset" w:sz="6" w:space="0" w:color="auto"/>
            </w:tcBorders>
          </w:tcPr>
          <w:p w14:paraId="29484CB0" w14:textId="791A361B" w:rsidR="000928FD" w:rsidRPr="00F22AF6" w:rsidRDefault="000928FD" w:rsidP="000928FD">
            <w:pPr>
              <w:jc w:val="center"/>
            </w:pPr>
            <w:r w:rsidRPr="00F22AF6">
              <w:t>Ieviests pilnībā</w:t>
            </w:r>
          </w:p>
        </w:tc>
        <w:tc>
          <w:tcPr>
            <w:tcW w:w="1772" w:type="pct"/>
            <w:gridSpan w:val="3"/>
            <w:tcBorders>
              <w:top w:val="outset" w:sz="6" w:space="0" w:color="auto"/>
              <w:left w:val="outset" w:sz="6" w:space="0" w:color="auto"/>
              <w:bottom w:val="outset" w:sz="6" w:space="0" w:color="auto"/>
              <w:right w:val="outset" w:sz="6" w:space="0" w:color="auto"/>
            </w:tcBorders>
          </w:tcPr>
          <w:p w14:paraId="55B2CD89" w14:textId="20BA028D" w:rsidR="000928FD" w:rsidRPr="00F22AF6" w:rsidRDefault="000928FD" w:rsidP="000928FD">
            <w:pPr>
              <w:jc w:val="center"/>
            </w:pPr>
            <w:r w:rsidRPr="00F22AF6">
              <w:t>Likumprojekts neparedz stingrākas prasības</w:t>
            </w:r>
          </w:p>
        </w:tc>
      </w:tr>
      <w:tr w:rsidR="000928FD" w:rsidRPr="009A6CAD" w14:paraId="68D8EA5B" w14:textId="77777777" w:rsidTr="0009200A">
        <w:trPr>
          <w:cantSplit/>
        </w:trPr>
        <w:tc>
          <w:tcPr>
            <w:tcW w:w="892" w:type="pct"/>
            <w:gridSpan w:val="4"/>
            <w:tcBorders>
              <w:top w:val="outset" w:sz="6" w:space="0" w:color="auto"/>
              <w:left w:val="outset" w:sz="6" w:space="0" w:color="auto"/>
              <w:bottom w:val="outset" w:sz="6" w:space="0" w:color="auto"/>
              <w:right w:val="outset" w:sz="6" w:space="0" w:color="auto"/>
            </w:tcBorders>
          </w:tcPr>
          <w:p w14:paraId="4513A4D5" w14:textId="5EE2B863" w:rsidR="000928FD" w:rsidRDefault="000928FD" w:rsidP="000928FD">
            <w:r w:rsidRPr="004B1E1D">
              <w:lastRenderedPageBreak/>
              <w:t xml:space="preserve">Direktīvas 2016/1065 </w:t>
            </w:r>
            <w:r>
              <w:t>1</w:t>
            </w:r>
            <w:r w:rsidRPr="00B452AE">
              <w:rPr>
                <w:color w:val="FF0000"/>
              </w:rPr>
              <w:t>.</w:t>
            </w:r>
            <w:r>
              <w:t xml:space="preserve">panta 3.punkts </w:t>
            </w:r>
          </w:p>
        </w:tc>
        <w:tc>
          <w:tcPr>
            <w:tcW w:w="964" w:type="pct"/>
            <w:tcBorders>
              <w:top w:val="outset" w:sz="6" w:space="0" w:color="auto"/>
              <w:left w:val="outset" w:sz="6" w:space="0" w:color="auto"/>
              <w:bottom w:val="outset" w:sz="6" w:space="0" w:color="auto"/>
              <w:right w:val="outset" w:sz="6" w:space="0" w:color="auto"/>
            </w:tcBorders>
          </w:tcPr>
          <w:p w14:paraId="1DA76B34" w14:textId="3AD7F275" w:rsidR="000928FD" w:rsidRDefault="000928FD" w:rsidP="000928FD">
            <w:pPr>
              <w:jc w:val="center"/>
            </w:pPr>
            <w:r w:rsidRPr="00CD3A43">
              <w:t xml:space="preserve">Likumprojekta </w:t>
            </w:r>
            <w:r w:rsidR="00D25637">
              <w:t>21</w:t>
            </w:r>
            <w:r w:rsidRPr="00CD3A43">
              <w:t xml:space="preserve">.pants (Pievienotās vērtības nodokļa likuma </w:t>
            </w:r>
            <w:r>
              <w:t>pārejas noteikumu 32.punkts)</w:t>
            </w:r>
          </w:p>
        </w:tc>
        <w:tc>
          <w:tcPr>
            <w:tcW w:w="1372" w:type="pct"/>
            <w:gridSpan w:val="4"/>
            <w:tcBorders>
              <w:top w:val="outset" w:sz="6" w:space="0" w:color="auto"/>
              <w:left w:val="outset" w:sz="6" w:space="0" w:color="auto"/>
              <w:bottom w:val="outset" w:sz="6" w:space="0" w:color="auto"/>
              <w:right w:val="outset" w:sz="6" w:space="0" w:color="auto"/>
            </w:tcBorders>
          </w:tcPr>
          <w:p w14:paraId="3AC86BFA" w14:textId="10825D51" w:rsidR="000928FD" w:rsidRPr="009A6CAD" w:rsidRDefault="000928FD" w:rsidP="000928FD">
            <w:pPr>
              <w:jc w:val="center"/>
            </w:pPr>
            <w:r w:rsidRPr="003C08F5">
              <w:t>Ieviests pilnībā</w:t>
            </w:r>
          </w:p>
        </w:tc>
        <w:tc>
          <w:tcPr>
            <w:tcW w:w="1772" w:type="pct"/>
            <w:gridSpan w:val="3"/>
            <w:tcBorders>
              <w:top w:val="outset" w:sz="6" w:space="0" w:color="auto"/>
              <w:left w:val="outset" w:sz="6" w:space="0" w:color="auto"/>
              <w:bottom w:val="outset" w:sz="6" w:space="0" w:color="auto"/>
              <w:right w:val="outset" w:sz="6" w:space="0" w:color="auto"/>
            </w:tcBorders>
          </w:tcPr>
          <w:p w14:paraId="35E3379A" w14:textId="636D1A90" w:rsidR="000928FD" w:rsidRPr="009A6CAD" w:rsidRDefault="000928FD" w:rsidP="000928FD">
            <w:pPr>
              <w:jc w:val="center"/>
            </w:pPr>
            <w:r w:rsidRPr="003C08F5">
              <w:t>Likumprojekts neparedz stingrākas prasības</w:t>
            </w:r>
          </w:p>
        </w:tc>
      </w:tr>
      <w:tr w:rsidR="000928FD" w:rsidRPr="009A6CAD" w14:paraId="199E7F38" w14:textId="77777777" w:rsidTr="0009200A">
        <w:trPr>
          <w:cantSplit/>
        </w:trPr>
        <w:tc>
          <w:tcPr>
            <w:tcW w:w="892" w:type="pct"/>
            <w:gridSpan w:val="4"/>
            <w:hideMark/>
          </w:tcPr>
          <w:p w14:paraId="1F3FA2DA" w14:textId="77777777" w:rsidR="000928FD" w:rsidRPr="00F22AF6" w:rsidRDefault="000928FD" w:rsidP="000928FD">
            <w:r w:rsidRPr="00F22AF6">
              <w:t>Kā ir izmantota ES tiesību aktā paredzētā rīcības brīvība dalībvalstij pārņemt vai ieviest noteiktas ES tiesību akta normas? Kādēļ?</w:t>
            </w:r>
          </w:p>
        </w:tc>
        <w:tc>
          <w:tcPr>
            <w:tcW w:w="4108" w:type="pct"/>
            <w:gridSpan w:val="8"/>
            <w:hideMark/>
          </w:tcPr>
          <w:p w14:paraId="6757427C" w14:textId="764B683F" w:rsidR="000928FD" w:rsidRPr="00F22AF6" w:rsidRDefault="000928FD" w:rsidP="000928FD">
            <w:r w:rsidRPr="00F22AF6">
              <w:t>Projekts šo jomu neskar.</w:t>
            </w:r>
          </w:p>
        </w:tc>
      </w:tr>
      <w:tr w:rsidR="000928FD" w:rsidRPr="009A6CAD" w14:paraId="0624FC89" w14:textId="77777777" w:rsidTr="0009200A">
        <w:trPr>
          <w:cantSplit/>
        </w:trPr>
        <w:tc>
          <w:tcPr>
            <w:tcW w:w="892" w:type="pct"/>
            <w:gridSpan w:val="4"/>
            <w:hideMark/>
          </w:tcPr>
          <w:p w14:paraId="70833798" w14:textId="77777777" w:rsidR="000928FD" w:rsidRPr="00FD57A5" w:rsidRDefault="000928FD" w:rsidP="000928FD">
            <w:r w:rsidRPr="00FD57A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8" w:type="pct"/>
            <w:gridSpan w:val="8"/>
            <w:hideMark/>
          </w:tcPr>
          <w:p w14:paraId="74F8C185" w14:textId="71A1FFEF" w:rsidR="000928FD" w:rsidRPr="00FD57A5" w:rsidRDefault="000928FD" w:rsidP="000928FD">
            <w:pPr>
              <w:jc w:val="both"/>
            </w:pPr>
            <w:r w:rsidRPr="004D28F0">
              <w:t>Projekts šo jomu neskar.</w:t>
            </w:r>
          </w:p>
        </w:tc>
      </w:tr>
      <w:tr w:rsidR="000928FD" w:rsidRPr="009A6CAD" w14:paraId="7B2D1E88" w14:textId="77777777" w:rsidTr="0009200A">
        <w:trPr>
          <w:cantSplit/>
        </w:trPr>
        <w:tc>
          <w:tcPr>
            <w:tcW w:w="892" w:type="pct"/>
            <w:gridSpan w:val="4"/>
            <w:hideMark/>
          </w:tcPr>
          <w:p w14:paraId="53F8D8ED" w14:textId="77777777" w:rsidR="000928FD" w:rsidRPr="00FD57A5" w:rsidRDefault="000928FD" w:rsidP="000928FD">
            <w:r w:rsidRPr="00FD57A5">
              <w:t>Cita informācija</w:t>
            </w:r>
          </w:p>
        </w:tc>
        <w:tc>
          <w:tcPr>
            <w:tcW w:w="4108" w:type="pct"/>
            <w:gridSpan w:val="8"/>
            <w:hideMark/>
          </w:tcPr>
          <w:p w14:paraId="0CA6EF0B" w14:textId="386E16EA" w:rsidR="000928FD" w:rsidRPr="00FD57A5" w:rsidRDefault="000928FD" w:rsidP="000928FD">
            <w:pPr>
              <w:jc w:val="both"/>
            </w:pPr>
            <w:r>
              <w:t>Nav</w:t>
            </w:r>
          </w:p>
        </w:tc>
      </w:tr>
      <w:tr w:rsidR="000928FD" w:rsidRPr="009A6CAD" w14:paraId="09CE4222" w14:textId="77777777" w:rsidTr="0009200A">
        <w:trPr>
          <w:cantSplit/>
        </w:trPr>
        <w:tc>
          <w:tcPr>
            <w:tcW w:w="5000" w:type="pct"/>
            <w:gridSpan w:val="12"/>
            <w:vAlign w:val="center"/>
          </w:tcPr>
          <w:p w14:paraId="5C5A2870" w14:textId="097D37F7" w:rsidR="000928FD" w:rsidRPr="00FD57A5" w:rsidRDefault="000928FD" w:rsidP="000928FD">
            <w:pPr>
              <w:jc w:val="center"/>
            </w:pPr>
            <w:r w:rsidRPr="00903596">
              <w:t xml:space="preserve">Direktīvas </w:t>
            </w:r>
            <w:r>
              <w:t>2017/2455</w:t>
            </w:r>
            <w:r w:rsidRPr="00903596">
              <w:t xml:space="preserve"> 1.pants</w:t>
            </w:r>
          </w:p>
        </w:tc>
      </w:tr>
      <w:tr w:rsidR="000928FD" w:rsidRPr="009A6CAD" w14:paraId="5A2C5659" w14:textId="77777777" w:rsidTr="0009200A">
        <w:trPr>
          <w:cantSplit/>
        </w:trPr>
        <w:tc>
          <w:tcPr>
            <w:tcW w:w="892" w:type="pct"/>
            <w:gridSpan w:val="4"/>
          </w:tcPr>
          <w:p w14:paraId="69702C6C" w14:textId="23D8C0D2" w:rsidR="000928FD" w:rsidRDefault="000928FD" w:rsidP="000928FD">
            <w:pPr>
              <w:ind w:left="57"/>
            </w:pPr>
            <w:r w:rsidRPr="00903596">
              <w:lastRenderedPageBreak/>
              <w:t xml:space="preserve">Direktīvas </w:t>
            </w:r>
            <w:r>
              <w:t xml:space="preserve">2017/2455 </w:t>
            </w:r>
            <w:r w:rsidRPr="00FD57A5">
              <w:t>1.panta 1.punkt</w:t>
            </w:r>
            <w:r>
              <w:t>s attiecībā uz 58.panta 2.punkta pārņemšanu</w:t>
            </w:r>
          </w:p>
          <w:p w14:paraId="73C2BBA5" w14:textId="4257F974" w:rsidR="000928FD" w:rsidRPr="00FD57A5" w:rsidRDefault="000928FD" w:rsidP="000928FD">
            <w:pPr>
              <w:ind w:left="57"/>
            </w:pPr>
          </w:p>
        </w:tc>
        <w:tc>
          <w:tcPr>
            <w:tcW w:w="1088" w:type="pct"/>
            <w:gridSpan w:val="2"/>
          </w:tcPr>
          <w:p w14:paraId="0BE4E79C" w14:textId="288B9146" w:rsidR="000928FD" w:rsidRDefault="000928FD" w:rsidP="000928FD">
            <w:pPr>
              <w:jc w:val="center"/>
            </w:pPr>
            <w:r>
              <w:t>Likumprojekta 3.pants</w:t>
            </w:r>
          </w:p>
          <w:p w14:paraId="10A5A759" w14:textId="3FFB8613" w:rsidR="000928FD" w:rsidRDefault="000928FD" w:rsidP="000928FD">
            <w:pPr>
              <w:jc w:val="center"/>
              <w:rPr>
                <w:highlight w:val="yellow"/>
              </w:rPr>
            </w:pPr>
            <w:r>
              <w:t xml:space="preserve">(Pievienotās vērtības nodokļa likuma </w:t>
            </w:r>
            <w:r w:rsidRPr="00FD57A5">
              <w:t>27.panta trešā daļa</w:t>
            </w:r>
            <w:r>
              <w:t>)</w:t>
            </w:r>
          </w:p>
        </w:tc>
        <w:tc>
          <w:tcPr>
            <w:tcW w:w="1316" w:type="pct"/>
            <w:gridSpan w:val="4"/>
          </w:tcPr>
          <w:p w14:paraId="0A743AD7" w14:textId="77777777" w:rsidR="000928FD" w:rsidRPr="00FD57A5" w:rsidRDefault="000928FD" w:rsidP="000928FD">
            <w:pPr>
              <w:jc w:val="center"/>
            </w:pPr>
            <w:r w:rsidRPr="00FD57A5">
              <w:t>Ieviests pilnībā</w:t>
            </w:r>
          </w:p>
          <w:p w14:paraId="3E11C54B" w14:textId="77777777" w:rsidR="000928FD" w:rsidRPr="00FD57A5" w:rsidRDefault="000928FD" w:rsidP="000928FD">
            <w:pPr>
              <w:jc w:val="center"/>
            </w:pPr>
          </w:p>
        </w:tc>
        <w:tc>
          <w:tcPr>
            <w:tcW w:w="1703" w:type="pct"/>
            <w:gridSpan w:val="2"/>
          </w:tcPr>
          <w:p w14:paraId="4ACA9E6B" w14:textId="5DE6C74E" w:rsidR="000928FD" w:rsidRPr="00FD57A5" w:rsidRDefault="000928FD" w:rsidP="000928FD">
            <w:pPr>
              <w:jc w:val="center"/>
            </w:pPr>
            <w:r w:rsidRPr="00FD57A5">
              <w:t>Likumprojekts neparedz sting</w:t>
            </w:r>
            <w:r>
              <w:t>r</w:t>
            </w:r>
            <w:r w:rsidRPr="00FD57A5">
              <w:t>ākas prasības</w:t>
            </w:r>
          </w:p>
        </w:tc>
      </w:tr>
      <w:tr w:rsidR="000928FD" w:rsidRPr="009A6CAD" w14:paraId="3413181A" w14:textId="002E9939" w:rsidTr="0009200A">
        <w:trPr>
          <w:cantSplit/>
        </w:trPr>
        <w:tc>
          <w:tcPr>
            <w:tcW w:w="892" w:type="pct"/>
            <w:gridSpan w:val="4"/>
          </w:tcPr>
          <w:p w14:paraId="0990E6D6" w14:textId="4D69F3B5" w:rsidR="000928FD" w:rsidRDefault="000928FD" w:rsidP="000928FD">
            <w:pPr>
              <w:ind w:left="57"/>
            </w:pPr>
            <w:r w:rsidRPr="00903596">
              <w:t xml:space="preserve">Direktīvas </w:t>
            </w:r>
            <w:r>
              <w:t>2017/2455</w:t>
            </w:r>
            <w:r w:rsidRPr="00AB47A1">
              <w:t xml:space="preserve"> 1.panta 1.punkts </w:t>
            </w:r>
            <w:r>
              <w:t>attiecībā uz 58.panta 3.punkta pārņemšanu</w:t>
            </w:r>
          </w:p>
          <w:p w14:paraId="23B54B68" w14:textId="4E3262FD" w:rsidR="000928FD" w:rsidRPr="00FD57A5" w:rsidRDefault="000928FD" w:rsidP="000928FD">
            <w:pPr>
              <w:ind w:left="57"/>
            </w:pPr>
          </w:p>
        </w:tc>
        <w:tc>
          <w:tcPr>
            <w:tcW w:w="1088" w:type="pct"/>
            <w:gridSpan w:val="2"/>
          </w:tcPr>
          <w:p w14:paraId="24591AC0" w14:textId="0D50F536" w:rsidR="000928FD" w:rsidRDefault="000928FD" w:rsidP="000928FD">
            <w:pPr>
              <w:jc w:val="center"/>
            </w:pPr>
            <w:r>
              <w:t>Likumprojekta 3.pants</w:t>
            </w:r>
          </w:p>
          <w:p w14:paraId="7D1AA70D" w14:textId="71B6ED51" w:rsidR="000928FD" w:rsidRPr="00FD57A5" w:rsidRDefault="000928FD" w:rsidP="000928FD">
            <w:pPr>
              <w:jc w:val="center"/>
            </w:pPr>
            <w:r>
              <w:t>(Pievienotās vērtības nodokļa likuma 27.panta ceturtā daļa)</w:t>
            </w:r>
          </w:p>
        </w:tc>
        <w:tc>
          <w:tcPr>
            <w:tcW w:w="1316" w:type="pct"/>
            <w:gridSpan w:val="4"/>
          </w:tcPr>
          <w:p w14:paraId="66C01B46" w14:textId="4333205B" w:rsidR="000928FD" w:rsidRPr="00FD57A5" w:rsidRDefault="000928FD" w:rsidP="000928FD">
            <w:pPr>
              <w:jc w:val="center"/>
            </w:pPr>
            <w:r w:rsidRPr="00FD57A5">
              <w:t>Ieviests pilnībā</w:t>
            </w:r>
          </w:p>
          <w:p w14:paraId="02878880" w14:textId="1B6D1003" w:rsidR="000928FD" w:rsidRPr="00FD57A5" w:rsidRDefault="000928FD" w:rsidP="000928FD">
            <w:pPr>
              <w:jc w:val="center"/>
            </w:pPr>
          </w:p>
        </w:tc>
        <w:tc>
          <w:tcPr>
            <w:tcW w:w="1703" w:type="pct"/>
            <w:gridSpan w:val="2"/>
          </w:tcPr>
          <w:p w14:paraId="248C43D5" w14:textId="61B43084" w:rsidR="000928FD" w:rsidRPr="00FD57A5" w:rsidRDefault="000928FD" w:rsidP="000928FD">
            <w:pPr>
              <w:jc w:val="center"/>
            </w:pPr>
            <w:r w:rsidRPr="00FD57A5">
              <w:t>Likumprojekts neparedz sting</w:t>
            </w:r>
            <w:r>
              <w:t>r</w:t>
            </w:r>
            <w:r w:rsidRPr="00FD57A5">
              <w:t>ākas prasības</w:t>
            </w:r>
          </w:p>
        </w:tc>
      </w:tr>
      <w:tr w:rsidR="000928FD" w:rsidRPr="009A6CAD" w14:paraId="1FDDE6FB" w14:textId="06BCB4F4" w:rsidTr="0009200A">
        <w:trPr>
          <w:cantSplit/>
        </w:trPr>
        <w:tc>
          <w:tcPr>
            <w:tcW w:w="892" w:type="pct"/>
            <w:gridSpan w:val="4"/>
          </w:tcPr>
          <w:p w14:paraId="2F65DA21" w14:textId="74B7422A" w:rsidR="000928FD" w:rsidRDefault="000928FD" w:rsidP="000928FD">
            <w:pPr>
              <w:ind w:left="57"/>
            </w:pPr>
            <w:r w:rsidRPr="00903596">
              <w:t xml:space="preserve">Direktīvas </w:t>
            </w:r>
            <w:r>
              <w:t>2017/2455</w:t>
            </w:r>
            <w:r w:rsidRPr="00AB47A1">
              <w:t xml:space="preserve"> 1.panta 1.punkts </w:t>
            </w:r>
            <w:r>
              <w:t>attiecībā uz 58.panta 4.punkta pārņemšanu</w:t>
            </w:r>
          </w:p>
          <w:p w14:paraId="21C76130" w14:textId="1C247D49" w:rsidR="000928FD" w:rsidRPr="00FD57A5" w:rsidRDefault="000928FD" w:rsidP="000928FD">
            <w:pPr>
              <w:ind w:left="57"/>
            </w:pPr>
          </w:p>
        </w:tc>
        <w:tc>
          <w:tcPr>
            <w:tcW w:w="1088" w:type="pct"/>
            <w:gridSpan w:val="2"/>
          </w:tcPr>
          <w:p w14:paraId="656156C9" w14:textId="75DBD6BB" w:rsidR="000928FD" w:rsidRDefault="000928FD" w:rsidP="000928FD">
            <w:pPr>
              <w:jc w:val="center"/>
            </w:pPr>
            <w:r>
              <w:t>Likumprojekta 3.pants</w:t>
            </w:r>
          </w:p>
          <w:p w14:paraId="78E82E6C" w14:textId="15358183" w:rsidR="000928FD" w:rsidRPr="00FD57A5" w:rsidRDefault="000928FD" w:rsidP="000928FD">
            <w:pPr>
              <w:jc w:val="center"/>
            </w:pPr>
            <w:r>
              <w:t>(Pievienotās vērtības nodokļa likuma 27.panta piektā daļa)</w:t>
            </w:r>
          </w:p>
        </w:tc>
        <w:tc>
          <w:tcPr>
            <w:tcW w:w="1316" w:type="pct"/>
            <w:gridSpan w:val="4"/>
          </w:tcPr>
          <w:p w14:paraId="12BB0EA6" w14:textId="77E1C024" w:rsidR="000928FD" w:rsidRPr="00FD57A5" w:rsidRDefault="000928FD" w:rsidP="000928FD">
            <w:pPr>
              <w:jc w:val="center"/>
            </w:pPr>
            <w:r w:rsidRPr="00FD57A5">
              <w:t>Ieviests pilnībā</w:t>
            </w:r>
          </w:p>
          <w:p w14:paraId="7E49EA14" w14:textId="2A95213C" w:rsidR="000928FD" w:rsidRPr="00FD57A5" w:rsidRDefault="000928FD" w:rsidP="000928FD">
            <w:pPr>
              <w:jc w:val="center"/>
            </w:pPr>
          </w:p>
        </w:tc>
        <w:tc>
          <w:tcPr>
            <w:tcW w:w="1703" w:type="pct"/>
            <w:gridSpan w:val="2"/>
          </w:tcPr>
          <w:p w14:paraId="74A6036A" w14:textId="175FD775" w:rsidR="000928FD" w:rsidRPr="00FD57A5" w:rsidRDefault="000928FD" w:rsidP="000928FD">
            <w:pPr>
              <w:jc w:val="center"/>
            </w:pPr>
            <w:r w:rsidRPr="00FD57A5">
              <w:t>Likumprojekts neparedz sting</w:t>
            </w:r>
            <w:r>
              <w:t>r</w:t>
            </w:r>
            <w:r w:rsidRPr="00FD57A5">
              <w:t>ākas prasības</w:t>
            </w:r>
          </w:p>
        </w:tc>
      </w:tr>
      <w:tr w:rsidR="000928FD" w:rsidRPr="009A6CAD" w14:paraId="37FF5234" w14:textId="77777777" w:rsidTr="0009200A">
        <w:trPr>
          <w:cantSplit/>
        </w:trPr>
        <w:tc>
          <w:tcPr>
            <w:tcW w:w="892" w:type="pct"/>
            <w:gridSpan w:val="4"/>
          </w:tcPr>
          <w:p w14:paraId="1ED54E99" w14:textId="3572362D" w:rsidR="000928FD" w:rsidRDefault="000928FD" w:rsidP="000928FD">
            <w:pPr>
              <w:ind w:left="57"/>
            </w:pPr>
            <w:r w:rsidRPr="00903596">
              <w:t xml:space="preserve">Direktīvas </w:t>
            </w:r>
            <w:r>
              <w:t>2017/2455</w:t>
            </w:r>
            <w:r w:rsidRPr="00657B66">
              <w:t xml:space="preserve"> 1.panta 2.punkts </w:t>
            </w:r>
            <w:r>
              <w:t>attiecībā uz 219.a panta 2.punkta “b” apakšpunkta pārņemšanu</w:t>
            </w:r>
          </w:p>
          <w:p w14:paraId="570EA786" w14:textId="53C036E8" w:rsidR="000928FD" w:rsidRPr="00AB47A1" w:rsidRDefault="000928FD" w:rsidP="000928FD">
            <w:pPr>
              <w:ind w:left="57"/>
            </w:pPr>
          </w:p>
        </w:tc>
        <w:tc>
          <w:tcPr>
            <w:tcW w:w="1088" w:type="pct"/>
            <w:gridSpan w:val="2"/>
          </w:tcPr>
          <w:p w14:paraId="4202EF51" w14:textId="79952BFE" w:rsidR="000928FD" w:rsidRDefault="000928FD" w:rsidP="000928FD">
            <w:pPr>
              <w:jc w:val="center"/>
            </w:pPr>
            <w:r>
              <w:t>Likumprojekta 1</w:t>
            </w:r>
            <w:r w:rsidR="00D25637">
              <w:t>5</w:t>
            </w:r>
            <w:r>
              <w:t>.pants</w:t>
            </w:r>
          </w:p>
          <w:p w14:paraId="683D9F10" w14:textId="100750BB" w:rsidR="000928FD" w:rsidRPr="00A953C4" w:rsidRDefault="000928FD" w:rsidP="000928FD">
            <w:pPr>
              <w:jc w:val="center"/>
              <w:rPr>
                <w:highlight w:val="yellow"/>
              </w:rPr>
            </w:pPr>
            <w:r>
              <w:t xml:space="preserve">(Pievienotās vērtības nodokļa likuma </w:t>
            </w:r>
            <w:r w:rsidRPr="00A953C4">
              <w:t xml:space="preserve">128.panta </w:t>
            </w:r>
            <w:r>
              <w:t>ceturtā</w:t>
            </w:r>
            <w:r w:rsidRPr="00A953C4">
              <w:t xml:space="preserve"> daļa</w:t>
            </w:r>
            <w:r>
              <w:t>)</w:t>
            </w:r>
          </w:p>
        </w:tc>
        <w:tc>
          <w:tcPr>
            <w:tcW w:w="1316" w:type="pct"/>
            <w:gridSpan w:val="4"/>
          </w:tcPr>
          <w:p w14:paraId="74BE9246" w14:textId="77777777" w:rsidR="000928FD" w:rsidRPr="00FD57A5" w:rsidRDefault="000928FD" w:rsidP="000928FD">
            <w:pPr>
              <w:jc w:val="center"/>
            </w:pPr>
            <w:r w:rsidRPr="00FD57A5">
              <w:t>Ieviests pilnībā</w:t>
            </w:r>
          </w:p>
          <w:p w14:paraId="1F0C0B6C" w14:textId="77777777" w:rsidR="000928FD" w:rsidRPr="00FD57A5" w:rsidRDefault="000928FD" w:rsidP="000928FD">
            <w:pPr>
              <w:jc w:val="center"/>
            </w:pPr>
          </w:p>
        </w:tc>
        <w:tc>
          <w:tcPr>
            <w:tcW w:w="1703" w:type="pct"/>
            <w:gridSpan w:val="2"/>
          </w:tcPr>
          <w:p w14:paraId="2C1EE336" w14:textId="4C468E44" w:rsidR="000928FD" w:rsidRPr="00FD57A5" w:rsidRDefault="000928FD" w:rsidP="000928FD">
            <w:pPr>
              <w:jc w:val="center"/>
            </w:pPr>
            <w:r w:rsidRPr="00FD57A5">
              <w:t>Likumprojekts neparedz sting</w:t>
            </w:r>
            <w:r>
              <w:t>r</w:t>
            </w:r>
            <w:r w:rsidRPr="00FD57A5">
              <w:t>ākas prasības</w:t>
            </w:r>
          </w:p>
        </w:tc>
      </w:tr>
      <w:tr w:rsidR="000928FD" w:rsidRPr="009A6CAD" w14:paraId="1AA1A5DC" w14:textId="77777777" w:rsidTr="0009200A">
        <w:trPr>
          <w:cantSplit/>
        </w:trPr>
        <w:tc>
          <w:tcPr>
            <w:tcW w:w="892" w:type="pct"/>
            <w:gridSpan w:val="4"/>
          </w:tcPr>
          <w:p w14:paraId="6E1635A7" w14:textId="6AC5B2B2" w:rsidR="000928FD" w:rsidRDefault="000928FD" w:rsidP="000928FD">
            <w:pPr>
              <w:ind w:left="57"/>
            </w:pPr>
            <w:r w:rsidRPr="00903596">
              <w:t xml:space="preserve">Direktīvas </w:t>
            </w:r>
            <w:r>
              <w:t>2017/2455</w:t>
            </w:r>
            <w:r w:rsidRPr="00892730">
              <w:t xml:space="preserve"> 1.panta </w:t>
            </w:r>
            <w:r>
              <w:t>3</w:t>
            </w:r>
            <w:r w:rsidRPr="00892730">
              <w:t xml:space="preserve">.punkts </w:t>
            </w:r>
          </w:p>
          <w:p w14:paraId="09319ADF" w14:textId="4FCEDAF3" w:rsidR="000928FD" w:rsidRPr="00657B66" w:rsidRDefault="000928FD" w:rsidP="000928FD">
            <w:pPr>
              <w:ind w:left="57"/>
            </w:pPr>
          </w:p>
        </w:tc>
        <w:tc>
          <w:tcPr>
            <w:tcW w:w="1088" w:type="pct"/>
            <w:gridSpan w:val="2"/>
          </w:tcPr>
          <w:p w14:paraId="5A73AA21" w14:textId="3D654795" w:rsidR="000928FD" w:rsidRDefault="000928FD" w:rsidP="000928FD">
            <w:pPr>
              <w:jc w:val="center"/>
            </w:pPr>
            <w:r>
              <w:t>Likumprojekta 1</w:t>
            </w:r>
            <w:r w:rsidR="00D25637">
              <w:t>7</w:t>
            </w:r>
            <w:r>
              <w:t>.pants</w:t>
            </w:r>
          </w:p>
          <w:p w14:paraId="4F0F1655" w14:textId="0F73553F" w:rsidR="000928FD" w:rsidRPr="00A953C4" w:rsidRDefault="000928FD" w:rsidP="000928FD">
            <w:pPr>
              <w:jc w:val="center"/>
            </w:pPr>
            <w:r>
              <w:t>(Pievienotās vērtības nodokļa likuma 140.</w:t>
            </w:r>
            <w:r w:rsidRPr="00905376">
              <w:rPr>
                <w:vertAlign w:val="superscript"/>
              </w:rPr>
              <w:t>1</w:t>
            </w:r>
            <w:r>
              <w:t> panta pirmās daļas 4.punkts)</w:t>
            </w:r>
          </w:p>
        </w:tc>
        <w:tc>
          <w:tcPr>
            <w:tcW w:w="1316" w:type="pct"/>
            <w:gridSpan w:val="4"/>
          </w:tcPr>
          <w:p w14:paraId="35C16F66" w14:textId="77777777" w:rsidR="000928FD" w:rsidRPr="00FD57A5" w:rsidRDefault="000928FD" w:rsidP="000928FD">
            <w:pPr>
              <w:jc w:val="center"/>
            </w:pPr>
            <w:r w:rsidRPr="00FD57A5">
              <w:t>Ieviests pilnībā</w:t>
            </w:r>
          </w:p>
          <w:p w14:paraId="10D892FF" w14:textId="77777777" w:rsidR="000928FD" w:rsidRPr="00FD57A5" w:rsidRDefault="000928FD" w:rsidP="000928FD">
            <w:pPr>
              <w:jc w:val="center"/>
            </w:pPr>
          </w:p>
        </w:tc>
        <w:tc>
          <w:tcPr>
            <w:tcW w:w="1703" w:type="pct"/>
            <w:gridSpan w:val="2"/>
          </w:tcPr>
          <w:p w14:paraId="5F8C0B7D" w14:textId="030AA228" w:rsidR="000928FD" w:rsidRPr="00FD57A5" w:rsidRDefault="000928FD" w:rsidP="000928FD">
            <w:pPr>
              <w:jc w:val="center"/>
            </w:pPr>
            <w:r w:rsidRPr="00FD57A5">
              <w:t>Likumprojekts neparedz sting</w:t>
            </w:r>
            <w:r>
              <w:t>r</w:t>
            </w:r>
            <w:r w:rsidRPr="00FD57A5">
              <w:t>ākas prasības</w:t>
            </w:r>
          </w:p>
        </w:tc>
      </w:tr>
      <w:tr w:rsidR="00A33B9E" w:rsidRPr="009A6CAD" w14:paraId="5C06FBFE" w14:textId="77777777" w:rsidTr="0009200A">
        <w:trPr>
          <w:cantSplit/>
        </w:trPr>
        <w:tc>
          <w:tcPr>
            <w:tcW w:w="892" w:type="pct"/>
            <w:gridSpan w:val="4"/>
          </w:tcPr>
          <w:p w14:paraId="43412A91" w14:textId="76026E81" w:rsidR="00A33B9E" w:rsidRPr="00903596" w:rsidRDefault="00A33B9E" w:rsidP="000928FD">
            <w:pPr>
              <w:ind w:left="57"/>
            </w:pPr>
            <w:r>
              <w:lastRenderedPageBreak/>
              <w:t>Cita informācija</w:t>
            </w:r>
          </w:p>
        </w:tc>
        <w:tc>
          <w:tcPr>
            <w:tcW w:w="4108" w:type="pct"/>
            <w:gridSpan w:val="8"/>
          </w:tcPr>
          <w:p w14:paraId="5BC7DCEF" w14:textId="0D2B5287" w:rsidR="00A33B9E" w:rsidRDefault="00A33B9E" w:rsidP="00A33B9E">
            <w:pPr>
              <w:ind w:left="57"/>
              <w:jc w:val="both"/>
            </w:pPr>
            <w:r>
              <w:t xml:space="preserve">No 2019.gada 1.janvāra Direktīvas 2006/112/EK 58.pants tiek izteikts jaunā redakcijā, spēkā esošā panta redakciju pārveidojot par 58.panta 1.punktu un papildinot ar 2.-6.punktu. Ņemot vērā, ka ar 2014.gada 1.oktobri Direktīvas 2006/112/EK 58.panta nosacījumi ir pārņemti Pievienotās vērtības nodokļa likuma 27.panta pirmajā un otrajā daļā, tad </w:t>
            </w:r>
            <w:r w:rsidRPr="00903596">
              <w:t xml:space="preserve">Direktīvas </w:t>
            </w:r>
            <w:r>
              <w:t xml:space="preserve">2017/2455 </w:t>
            </w:r>
            <w:r w:rsidRPr="00FD57A5">
              <w:t>1.panta 1.punkt</w:t>
            </w:r>
            <w:r>
              <w:t xml:space="preserve">s daļā par Direktīvas 2006/112/EK 58.panta 1.punkta nosacījumu pārņemšanu ir jau ieviests Pievienotās vērtības nodokļa likumā. Tā kā VID nodrošina reģistrētu PVN maksātāju uzraudzību nodokļu administrēšanas pasākumu ietvaros, kas izriet no VID deleģētajām funkcijām, Direktīvas 2017/2455 1.panta 1.punkts daļā par Direktīvas 2006/112/EK 58.panta 5.punkta pārņemšanu nav jāpārņem Pievienotās vērtības nodokļa likuma regulējumā. Savukārt Direktīvas 2017/2455 1.panta 1.punkts daļā par Direktīvas 2006/112/EK 58.panta 6.punkta pārņemšanu nav jāpārņem pēc būtības, jo Latvijā no 2014.gada oficiāls maksāšanas līdzeklis ir </w:t>
            </w:r>
            <w:proofErr w:type="spellStart"/>
            <w:r w:rsidRPr="005C24A0">
              <w:rPr>
                <w:i/>
              </w:rPr>
              <w:t>euro</w:t>
            </w:r>
            <w:proofErr w:type="spellEnd"/>
            <w:r>
              <w:t>.</w:t>
            </w:r>
          </w:p>
          <w:p w14:paraId="2413B171" w14:textId="77777777" w:rsidR="00A33B9E" w:rsidRDefault="00A33B9E" w:rsidP="00A33B9E">
            <w:pPr>
              <w:ind w:left="57"/>
              <w:jc w:val="both"/>
            </w:pPr>
            <w:r>
              <w:t>No 2019.gada 1.janvāra Direktīvas 2006/112/EK 219.a pants tiek izteikts jaunā redakcijā, pārveidojot spēkā esošā panta struktūru un papildinot ar jaunu nosacījumu, kas iekļauts šā panta 2.punkta “b” apakšpunktā. Ņemot vērā, ka no 2014.gada 1.oktobra  Direktīvas 2006/112/EK 219.a panta 1.punkta nosacījumi ir pārņemti Pievienotās vērtības nodokļa likuma 128.panta pirmajā daļā, Direktīvas 2006/112/EK 219.a panta 2.punkta “a” apakšpunkta nosacījumi ir pārņemti Pievienotās vērtības nodokļa likuma128.panta otrās daļas 1.punktā, Direktīvas 2006/112/EK 219.a panta2.punkta “b” apakšpunkta nosacījumi</w:t>
            </w:r>
            <w:r w:rsidR="0009200A">
              <w:t xml:space="preserve"> ir pārņemti Pievienotās vērtības nodokļa likuma 128.panta otrās daļas 2.punktā, un Direktīvas 2006/112/EK 219.a panta 2.punkta “a” apakšpunkta otrā daļa ir pārņemta Pievienotās vērtības nodokļa likuma 128.panta trešajā daļā, tad Direktīvas 2017/2455 1.panta 2.punkts daļā par Direktīvas 2006/112/EK 219.a panta 1.punktu, 2.punkta “a” apakšpunktu un 3.punktu ir jau ieviests Pievienotās vērtības nodokļa likumā.</w:t>
            </w:r>
          </w:p>
          <w:p w14:paraId="54552C1F" w14:textId="77777777" w:rsidR="0009200A" w:rsidRDefault="0009200A" w:rsidP="00A33B9E">
            <w:pPr>
              <w:ind w:left="57"/>
              <w:jc w:val="both"/>
            </w:pPr>
          </w:p>
          <w:p w14:paraId="56AA1B42" w14:textId="77777777" w:rsidR="0009200A" w:rsidRDefault="0009200A" w:rsidP="00A33B9E">
            <w:pPr>
              <w:ind w:left="57"/>
              <w:jc w:val="both"/>
            </w:pPr>
          </w:p>
          <w:p w14:paraId="3390EA7F" w14:textId="77777777" w:rsidR="0009200A" w:rsidRDefault="0009200A" w:rsidP="00A33B9E">
            <w:pPr>
              <w:ind w:left="57"/>
              <w:jc w:val="both"/>
            </w:pPr>
          </w:p>
          <w:p w14:paraId="679EB9B1" w14:textId="77777777" w:rsidR="0009200A" w:rsidRDefault="0009200A" w:rsidP="00A33B9E">
            <w:pPr>
              <w:ind w:left="57"/>
              <w:jc w:val="both"/>
            </w:pPr>
          </w:p>
          <w:p w14:paraId="4111D7DE" w14:textId="77777777" w:rsidR="0009200A" w:rsidRDefault="0009200A" w:rsidP="00A33B9E">
            <w:pPr>
              <w:ind w:left="57"/>
              <w:jc w:val="both"/>
            </w:pPr>
          </w:p>
          <w:p w14:paraId="24EFC0F1" w14:textId="77777777" w:rsidR="0009200A" w:rsidRDefault="0009200A" w:rsidP="00A33B9E">
            <w:pPr>
              <w:ind w:left="57"/>
              <w:jc w:val="both"/>
            </w:pPr>
          </w:p>
          <w:p w14:paraId="55735438" w14:textId="77777777" w:rsidR="0009200A" w:rsidRDefault="0009200A" w:rsidP="00A33B9E">
            <w:pPr>
              <w:ind w:left="57"/>
              <w:jc w:val="both"/>
            </w:pPr>
          </w:p>
          <w:p w14:paraId="33D6569A" w14:textId="77777777" w:rsidR="0009200A" w:rsidRDefault="0009200A" w:rsidP="00A33B9E">
            <w:pPr>
              <w:ind w:left="57"/>
              <w:jc w:val="both"/>
            </w:pPr>
          </w:p>
          <w:p w14:paraId="536C9E47" w14:textId="77777777" w:rsidR="0009200A" w:rsidRDefault="0009200A" w:rsidP="00A33B9E">
            <w:pPr>
              <w:ind w:left="57"/>
              <w:jc w:val="both"/>
            </w:pPr>
          </w:p>
          <w:p w14:paraId="4BEC9336" w14:textId="77777777" w:rsidR="0009200A" w:rsidRDefault="0009200A" w:rsidP="00A33B9E">
            <w:pPr>
              <w:ind w:left="57"/>
              <w:jc w:val="both"/>
            </w:pPr>
          </w:p>
          <w:p w14:paraId="4359F9F8" w14:textId="77777777" w:rsidR="0009200A" w:rsidRDefault="0009200A" w:rsidP="00A33B9E">
            <w:pPr>
              <w:ind w:left="57"/>
              <w:jc w:val="both"/>
            </w:pPr>
          </w:p>
          <w:p w14:paraId="0A009FCD" w14:textId="77777777" w:rsidR="0009200A" w:rsidRDefault="0009200A" w:rsidP="00A33B9E">
            <w:pPr>
              <w:ind w:left="57"/>
              <w:jc w:val="both"/>
            </w:pPr>
          </w:p>
          <w:p w14:paraId="375D5A35" w14:textId="77777777" w:rsidR="0009200A" w:rsidRDefault="0009200A" w:rsidP="00A33B9E">
            <w:pPr>
              <w:ind w:left="57"/>
              <w:jc w:val="both"/>
            </w:pPr>
          </w:p>
          <w:p w14:paraId="4A3D4B60" w14:textId="77777777" w:rsidR="0009200A" w:rsidRDefault="0009200A" w:rsidP="00A33B9E">
            <w:pPr>
              <w:ind w:left="57"/>
              <w:jc w:val="both"/>
            </w:pPr>
          </w:p>
          <w:p w14:paraId="72ACC45B" w14:textId="77777777" w:rsidR="0009200A" w:rsidRDefault="0009200A" w:rsidP="0009200A">
            <w:pPr>
              <w:jc w:val="both"/>
            </w:pPr>
          </w:p>
          <w:p w14:paraId="1CE7EC18" w14:textId="77777777" w:rsidR="0009200A" w:rsidRDefault="0009200A" w:rsidP="0009200A">
            <w:pPr>
              <w:jc w:val="both"/>
            </w:pPr>
          </w:p>
          <w:p w14:paraId="0D3C9247" w14:textId="77777777" w:rsidR="0009200A" w:rsidRDefault="0009200A" w:rsidP="0009200A">
            <w:pPr>
              <w:jc w:val="both"/>
            </w:pPr>
          </w:p>
          <w:p w14:paraId="7FBE9553" w14:textId="77777777" w:rsidR="0009200A" w:rsidRDefault="0009200A" w:rsidP="0009200A">
            <w:pPr>
              <w:jc w:val="both"/>
            </w:pPr>
          </w:p>
          <w:p w14:paraId="7E7F4570" w14:textId="77777777" w:rsidR="0009200A" w:rsidRDefault="0009200A" w:rsidP="0009200A">
            <w:pPr>
              <w:jc w:val="both"/>
            </w:pPr>
          </w:p>
          <w:p w14:paraId="7EA6B1FC" w14:textId="7108ED2A" w:rsidR="0009200A" w:rsidRPr="00FD57A5" w:rsidRDefault="0009200A" w:rsidP="0009200A">
            <w:pPr>
              <w:jc w:val="both"/>
            </w:pPr>
          </w:p>
        </w:tc>
      </w:tr>
      <w:tr w:rsidR="000928FD" w:rsidRPr="009A6CAD" w14:paraId="51AFAE68" w14:textId="77777777" w:rsidTr="0009200A">
        <w:trPr>
          <w:cantSplit/>
        </w:trPr>
        <w:tc>
          <w:tcPr>
            <w:tcW w:w="892" w:type="pct"/>
            <w:gridSpan w:val="4"/>
            <w:tcBorders>
              <w:bottom w:val="single" w:sz="4" w:space="0" w:color="auto"/>
            </w:tcBorders>
          </w:tcPr>
          <w:p w14:paraId="7FE63458" w14:textId="3A569D4E" w:rsidR="000928FD" w:rsidRPr="00A953C4" w:rsidRDefault="000928FD" w:rsidP="000928FD">
            <w:pPr>
              <w:jc w:val="center"/>
            </w:pPr>
            <w:r w:rsidRPr="00A953C4">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8" w:type="pct"/>
            <w:gridSpan w:val="8"/>
            <w:tcBorders>
              <w:bottom w:val="single" w:sz="4" w:space="0" w:color="auto"/>
            </w:tcBorders>
          </w:tcPr>
          <w:p w14:paraId="116B051C" w14:textId="15B8A363" w:rsidR="000928FD" w:rsidRPr="00A953C4" w:rsidRDefault="000928FD" w:rsidP="000928FD">
            <w:r w:rsidRPr="00A953C4">
              <w:t>Projekts šo jomu neskar.</w:t>
            </w:r>
          </w:p>
        </w:tc>
      </w:tr>
      <w:tr w:rsidR="000928FD" w:rsidRPr="009A6CAD" w14:paraId="30D09BC6" w14:textId="77777777" w:rsidTr="0009200A">
        <w:trPr>
          <w:cantSplit/>
        </w:trPr>
        <w:tc>
          <w:tcPr>
            <w:tcW w:w="5000" w:type="pct"/>
            <w:gridSpan w:val="12"/>
          </w:tcPr>
          <w:p w14:paraId="511BC13A" w14:textId="22051899" w:rsidR="000928FD" w:rsidRPr="00A953C4" w:rsidRDefault="000928FD" w:rsidP="000928FD">
            <w:pPr>
              <w:jc w:val="center"/>
            </w:pPr>
            <w:r>
              <w:t>Direktīvas 2006/112/EK 132.panta 1.punkta “f” apakšpunkts</w:t>
            </w:r>
          </w:p>
        </w:tc>
      </w:tr>
      <w:tr w:rsidR="000928FD" w:rsidRPr="009A6CAD" w14:paraId="6DE9AA97" w14:textId="77777777" w:rsidTr="0009200A">
        <w:trPr>
          <w:cantSplit/>
        </w:trPr>
        <w:tc>
          <w:tcPr>
            <w:tcW w:w="892" w:type="pct"/>
            <w:gridSpan w:val="4"/>
          </w:tcPr>
          <w:p w14:paraId="70FCDDF8" w14:textId="6549A1F7" w:rsidR="000928FD" w:rsidRDefault="000928FD" w:rsidP="000928FD">
            <w:pPr>
              <w:ind w:left="57"/>
            </w:pPr>
            <w:r>
              <w:t>Direktīvas 2006/112/EK 132.panta 1.punkta “f” apakšpunkts</w:t>
            </w:r>
          </w:p>
        </w:tc>
        <w:tc>
          <w:tcPr>
            <w:tcW w:w="1088" w:type="pct"/>
            <w:gridSpan w:val="2"/>
          </w:tcPr>
          <w:p w14:paraId="7A96A01A" w14:textId="05A3103D" w:rsidR="000928FD" w:rsidRDefault="000928FD" w:rsidP="000928FD">
            <w:pPr>
              <w:jc w:val="center"/>
              <w:rPr>
                <w:spacing w:val="-2"/>
              </w:rPr>
            </w:pPr>
            <w:r>
              <w:rPr>
                <w:spacing w:val="-2"/>
              </w:rPr>
              <w:t>Likumprojekta 8.pants</w:t>
            </w:r>
          </w:p>
          <w:p w14:paraId="2FDC5B18" w14:textId="2CC31637" w:rsidR="000928FD" w:rsidRDefault="000928FD" w:rsidP="000928FD">
            <w:pPr>
              <w:jc w:val="center"/>
              <w:rPr>
                <w:spacing w:val="-2"/>
              </w:rPr>
            </w:pPr>
            <w:r>
              <w:rPr>
                <w:spacing w:val="-2"/>
              </w:rPr>
              <w:t>(Pievienotās vērtības nodokļa likuma 52.</w:t>
            </w:r>
            <w:r w:rsidRPr="004E00B8">
              <w:rPr>
                <w:spacing w:val="-2"/>
                <w:vertAlign w:val="superscript"/>
              </w:rPr>
              <w:t>1</w:t>
            </w:r>
            <w:r>
              <w:rPr>
                <w:spacing w:val="-2"/>
              </w:rPr>
              <w:t> pants)</w:t>
            </w:r>
          </w:p>
        </w:tc>
        <w:tc>
          <w:tcPr>
            <w:tcW w:w="1316" w:type="pct"/>
            <w:gridSpan w:val="4"/>
          </w:tcPr>
          <w:p w14:paraId="42DEEEC4" w14:textId="77777777" w:rsidR="000928FD" w:rsidRPr="00FD57A5" w:rsidRDefault="000928FD" w:rsidP="000928FD">
            <w:pPr>
              <w:jc w:val="center"/>
            </w:pPr>
            <w:r w:rsidRPr="00FD57A5">
              <w:t>Ieviests pilnībā</w:t>
            </w:r>
          </w:p>
          <w:p w14:paraId="339F860E" w14:textId="77777777" w:rsidR="000928FD" w:rsidRPr="00FD57A5" w:rsidRDefault="000928FD" w:rsidP="000928FD">
            <w:pPr>
              <w:jc w:val="center"/>
            </w:pPr>
          </w:p>
        </w:tc>
        <w:tc>
          <w:tcPr>
            <w:tcW w:w="1703" w:type="pct"/>
            <w:gridSpan w:val="2"/>
          </w:tcPr>
          <w:p w14:paraId="09E694DD" w14:textId="5CC2A3F0" w:rsidR="000928FD" w:rsidRPr="00FD57A5" w:rsidRDefault="000928FD" w:rsidP="000928FD">
            <w:pPr>
              <w:jc w:val="center"/>
            </w:pPr>
            <w:r w:rsidRPr="00FD57A5">
              <w:t>Likumprojekts neparedz sting</w:t>
            </w:r>
            <w:r>
              <w:t>r</w:t>
            </w:r>
            <w:r w:rsidRPr="00FD57A5">
              <w:t>ākas prasības</w:t>
            </w:r>
          </w:p>
        </w:tc>
      </w:tr>
      <w:tr w:rsidR="000928FD" w:rsidRPr="009A6CAD" w14:paraId="6CDB983B" w14:textId="77777777" w:rsidTr="0009200A">
        <w:trPr>
          <w:cantSplit/>
        </w:trPr>
        <w:tc>
          <w:tcPr>
            <w:tcW w:w="892" w:type="pct"/>
            <w:gridSpan w:val="4"/>
          </w:tcPr>
          <w:p w14:paraId="7219706B" w14:textId="77777777" w:rsidR="000928FD" w:rsidRPr="00A953C4" w:rsidRDefault="000928FD" w:rsidP="000928FD">
            <w:pPr>
              <w:jc w:val="center"/>
            </w:pPr>
            <w:r w:rsidRPr="00A953C4">
              <w:t>Cita informācija</w:t>
            </w:r>
          </w:p>
        </w:tc>
        <w:tc>
          <w:tcPr>
            <w:tcW w:w="4108" w:type="pct"/>
            <w:gridSpan w:val="8"/>
          </w:tcPr>
          <w:p w14:paraId="2E116850" w14:textId="5535D4E4" w:rsidR="000928FD" w:rsidRPr="00A953C4" w:rsidRDefault="000928FD" w:rsidP="000928FD">
            <w:pPr>
              <w:jc w:val="both"/>
            </w:pPr>
            <w:r>
              <w:t>Nav.</w:t>
            </w:r>
          </w:p>
        </w:tc>
      </w:tr>
      <w:tr w:rsidR="000928FD" w:rsidRPr="009A6CAD" w14:paraId="74BCB958" w14:textId="77777777" w:rsidTr="0009200A">
        <w:trPr>
          <w:cantSplit/>
        </w:trPr>
        <w:tc>
          <w:tcPr>
            <w:tcW w:w="5000" w:type="pct"/>
            <w:gridSpan w:val="12"/>
          </w:tcPr>
          <w:p w14:paraId="013F4EBF" w14:textId="196FD032" w:rsidR="000928FD" w:rsidRPr="00A953C4" w:rsidRDefault="000928FD" w:rsidP="000928FD">
            <w:pPr>
              <w:jc w:val="center"/>
            </w:pPr>
            <w:r>
              <w:t xml:space="preserve">Direktīvas 2006/112/EK </w:t>
            </w:r>
            <w:r>
              <w:rPr>
                <w:snapToGrid w:val="0"/>
              </w:rPr>
              <w:t>199.panta 1.punkta “j</w:t>
            </w:r>
            <w:r w:rsidRPr="0047373E">
              <w:rPr>
                <w:snapToGrid w:val="0"/>
              </w:rPr>
              <w:t>” apakšpunkts</w:t>
            </w:r>
          </w:p>
        </w:tc>
      </w:tr>
      <w:tr w:rsidR="000928FD" w:rsidRPr="009A6CAD" w14:paraId="5DF057B8" w14:textId="77777777" w:rsidTr="0009200A">
        <w:trPr>
          <w:cantSplit/>
        </w:trPr>
        <w:tc>
          <w:tcPr>
            <w:tcW w:w="892" w:type="pct"/>
            <w:gridSpan w:val="4"/>
          </w:tcPr>
          <w:p w14:paraId="45C324D4" w14:textId="60804EA5" w:rsidR="000928FD" w:rsidRPr="00657B66" w:rsidRDefault="000928FD" w:rsidP="000928FD">
            <w:pPr>
              <w:ind w:left="57"/>
            </w:pPr>
            <w:r>
              <w:t>Direktīvas 2006/112/EK 199.panta 1.punkta “j” apakšpunkts</w:t>
            </w:r>
          </w:p>
        </w:tc>
        <w:tc>
          <w:tcPr>
            <w:tcW w:w="1088" w:type="pct"/>
            <w:gridSpan w:val="2"/>
          </w:tcPr>
          <w:p w14:paraId="40738434" w14:textId="4518A7BA" w:rsidR="000928FD" w:rsidRDefault="000928FD" w:rsidP="000928FD">
            <w:pPr>
              <w:jc w:val="center"/>
              <w:rPr>
                <w:spacing w:val="-2"/>
              </w:rPr>
            </w:pPr>
            <w:r>
              <w:rPr>
                <w:spacing w:val="-2"/>
              </w:rPr>
              <w:t>Likumprojekta 1</w:t>
            </w:r>
            <w:r w:rsidR="00D25637">
              <w:rPr>
                <w:spacing w:val="-2"/>
              </w:rPr>
              <w:t>9</w:t>
            </w:r>
            <w:r>
              <w:rPr>
                <w:spacing w:val="-2"/>
              </w:rPr>
              <w:t>.pants</w:t>
            </w:r>
          </w:p>
          <w:p w14:paraId="6A68A883" w14:textId="3FC356BF" w:rsidR="00963182" w:rsidRPr="00A33B9E" w:rsidRDefault="000928FD" w:rsidP="00A33B9E">
            <w:pPr>
              <w:jc w:val="center"/>
              <w:rPr>
                <w:spacing w:val="-2"/>
              </w:rPr>
            </w:pPr>
            <w:r>
              <w:rPr>
                <w:spacing w:val="-2"/>
              </w:rPr>
              <w:t>(Pievienotās vērtības nodokļa likuma 143.</w:t>
            </w:r>
            <w:r>
              <w:rPr>
                <w:spacing w:val="-2"/>
                <w:vertAlign w:val="superscript"/>
              </w:rPr>
              <w:t>4</w:t>
            </w:r>
            <w:r w:rsidR="00A33B9E">
              <w:rPr>
                <w:spacing w:val="-2"/>
              </w:rPr>
              <w:t> pants)</w:t>
            </w:r>
          </w:p>
        </w:tc>
        <w:tc>
          <w:tcPr>
            <w:tcW w:w="1316" w:type="pct"/>
            <w:gridSpan w:val="4"/>
          </w:tcPr>
          <w:p w14:paraId="4C159F14" w14:textId="0DEE89D6" w:rsidR="000928FD" w:rsidRPr="00FD57A5" w:rsidRDefault="000928FD" w:rsidP="000928FD">
            <w:pPr>
              <w:jc w:val="center"/>
            </w:pPr>
            <w:r w:rsidRPr="00FD57A5">
              <w:t xml:space="preserve">Ieviests </w:t>
            </w:r>
            <w:r>
              <w:t>pilnībā</w:t>
            </w:r>
          </w:p>
          <w:p w14:paraId="748494E9" w14:textId="77777777" w:rsidR="000928FD" w:rsidRPr="00FD57A5" w:rsidRDefault="000928FD" w:rsidP="000928FD">
            <w:pPr>
              <w:jc w:val="center"/>
            </w:pPr>
          </w:p>
        </w:tc>
        <w:tc>
          <w:tcPr>
            <w:tcW w:w="1703" w:type="pct"/>
            <w:gridSpan w:val="2"/>
          </w:tcPr>
          <w:p w14:paraId="1D5195E6" w14:textId="07E9D26D" w:rsidR="000928FD" w:rsidRPr="00FD57A5" w:rsidRDefault="000928FD" w:rsidP="000928FD">
            <w:pPr>
              <w:jc w:val="center"/>
            </w:pPr>
            <w:r w:rsidRPr="00FD57A5">
              <w:t>Likumprojekts neparedz sting</w:t>
            </w:r>
            <w:r>
              <w:t>r</w:t>
            </w:r>
            <w:r w:rsidRPr="00FD57A5">
              <w:t>ākas prasības</w:t>
            </w:r>
          </w:p>
        </w:tc>
      </w:tr>
      <w:tr w:rsidR="000928FD" w:rsidRPr="009A6CAD" w14:paraId="32CEE20F" w14:textId="77777777" w:rsidTr="0009200A">
        <w:trPr>
          <w:cantSplit/>
        </w:trPr>
        <w:tc>
          <w:tcPr>
            <w:tcW w:w="892" w:type="pct"/>
            <w:gridSpan w:val="4"/>
          </w:tcPr>
          <w:p w14:paraId="6A63E46D" w14:textId="63E7A4F2" w:rsidR="000928FD" w:rsidRPr="00A953C4" w:rsidRDefault="000928FD" w:rsidP="000928FD">
            <w:pPr>
              <w:jc w:val="center"/>
            </w:pPr>
            <w:r w:rsidRPr="00A953C4">
              <w:t>Cita informācija</w:t>
            </w:r>
          </w:p>
        </w:tc>
        <w:tc>
          <w:tcPr>
            <w:tcW w:w="4108" w:type="pct"/>
            <w:gridSpan w:val="8"/>
          </w:tcPr>
          <w:p w14:paraId="20F642CB" w14:textId="3AC46CC9" w:rsidR="000928FD" w:rsidRPr="00A7675C" w:rsidRDefault="000928FD" w:rsidP="004E2568">
            <w:pPr>
              <w:jc w:val="both"/>
              <w:rPr>
                <w:snapToGrid w:val="0"/>
              </w:rPr>
            </w:pPr>
            <w:r>
              <w:rPr>
                <w:snapToGrid w:val="0"/>
              </w:rPr>
              <w:t>Apgrieztā jeb reversā</w:t>
            </w:r>
            <w:r w:rsidRPr="00A7675C">
              <w:rPr>
                <w:snapToGrid w:val="0"/>
              </w:rPr>
              <w:t xml:space="preserve"> PVN maksāšanas </w:t>
            </w:r>
            <w:r>
              <w:rPr>
                <w:snapToGrid w:val="0"/>
              </w:rPr>
              <w:t>kārtība melno un krāsaino metālu piegādei</w:t>
            </w:r>
            <w:r w:rsidRPr="00A7675C">
              <w:rPr>
                <w:snapToGrid w:val="0"/>
              </w:rPr>
              <w:t xml:space="preserve"> ir ieviešam</w:t>
            </w:r>
            <w:r>
              <w:rPr>
                <w:snapToGrid w:val="0"/>
              </w:rPr>
              <w:t>a</w:t>
            </w:r>
            <w:r w:rsidRPr="00A7675C">
              <w:rPr>
                <w:snapToGrid w:val="0"/>
              </w:rPr>
              <w:t xml:space="preserve"> uz ierobežotu laika periodu, t.i., </w:t>
            </w:r>
            <w:r w:rsidRPr="00F9689B">
              <w:rPr>
                <w:snapToGrid w:val="0"/>
              </w:rPr>
              <w:t>līdz 2022.gada 30.jūnijam un vismaz uz diviem gadiem.</w:t>
            </w:r>
          </w:p>
          <w:p w14:paraId="7AFA08AC" w14:textId="77777777" w:rsidR="000928FD" w:rsidRDefault="000928FD" w:rsidP="004E2568">
            <w:pPr>
              <w:ind w:right="114"/>
              <w:jc w:val="both"/>
              <w:rPr>
                <w:snapToGrid w:val="0"/>
              </w:rPr>
            </w:pPr>
            <w:r w:rsidRPr="00A7675C">
              <w:rPr>
                <w:snapToGrid w:val="0"/>
              </w:rPr>
              <w:t>Latvijai par</w:t>
            </w:r>
            <w:r>
              <w:rPr>
                <w:snapToGrid w:val="0"/>
              </w:rPr>
              <w:t xml:space="preserve"> apgrieztās jeb reversās PVN maksāšanas kārtības piemērošanu melno un krāsaino metālu piegādei ir jāinformē EK</w:t>
            </w:r>
            <w:r w:rsidRPr="00A7675C">
              <w:rPr>
                <w:snapToGrid w:val="0"/>
              </w:rPr>
              <w:t>.</w:t>
            </w:r>
          </w:p>
          <w:p w14:paraId="153F272F" w14:textId="7B30EF5B" w:rsidR="00500C5F" w:rsidRPr="00A953C4" w:rsidRDefault="00500C5F" w:rsidP="00A33B9E">
            <w:pPr>
              <w:ind w:right="114"/>
              <w:jc w:val="both"/>
            </w:pPr>
          </w:p>
        </w:tc>
      </w:tr>
      <w:tr w:rsidR="000928FD" w:rsidRPr="009A6CAD" w14:paraId="523FDD37" w14:textId="77777777" w:rsidTr="0009200A">
        <w:trPr>
          <w:cantSplit/>
        </w:trPr>
        <w:tc>
          <w:tcPr>
            <w:tcW w:w="5000" w:type="pct"/>
            <w:gridSpan w:val="12"/>
            <w:vAlign w:val="center"/>
            <w:hideMark/>
          </w:tcPr>
          <w:p w14:paraId="56457EE8" w14:textId="77777777" w:rsidR="00C23BC3" w:rsidRDefault="000928FD" w:rsidP="00C23BC3">
            <w:pPr>
              <w:jc w:val="center"/>
              <w:rPr>
                <w:b/>
                <w:bCs/>
              </w:rPr>
            </w:pPr>
            <w:r w:rsidRPr="00A953C4">
              <w:rPr>
                <w:b/>
                <w:bCs/>
              </w:rPr>
              <w:t>2. tabula</w:t>
            </w:r>
            <w:r w:rsidRPr="00A953C4">
              <w:rPr>
                <w:b/>
                <w:bCs/>
              </w:rPr>
              <w:br/>
              <w:t>Ar tiesību akta projektu izpildītās vai uzņemtās saistības, kas izriet no starptautiskajiem tiesību aktiem vai starptautiskas institūcijas vai organizācijas dokumentiem.</w:t>
            </w:r>
            <w:r w:rsidRPr="00A953C4">
              <w:rPr>
                <w:b/>
                <w:bCs/>
              </w:rPr>
              <w:br/>
              <w:t>Pasākumi šo saistību izpildei</w:t>
            </w:r>
          </w:p>
          <w:p w14:paraId="0CF947B0" w14:textId="6DCFC1AA" w:rsidR="00C23BC3" w:rsidRPr="00A953C4" w:rsidRDefault="00C23BC3" w:rsidP="00C23BC3">
            <w:pPr>
              <w:jc w:val="center"/>
              <w:rPr>
                <w:b/>
                <w:bCs/>
              </w:rPr>
            </w:pPr>
          </w:p>
        </w:tc>
      </w:tr>
      <w:tr w:rsidR="000928FD" w:rsidRPr="009A6CAD" w14:paraId="6BC86080" w14:textId="77777777" w:rsidTr="0009200A">
        <w:trPr>
          <w:cantSplit/>
        </w:trPr>
        <w:tc>
          <w:tcPr>
            <w:tcW w:w="892" w:type="pct"/>
            <w:gridSpan w:val="4"/>
            <w:hideMark/>
          </w:tcPr>
          <w:p w14:paraId="2ADD2173" w14:textId="77777777" w:rsidR="000928FD" w:rsidRDefault="000928FD" w:rsidP="000928FD">
            <w:r w:rsidRPr="00A953C4">
              <w:lastRenderedPageBreak/>
              <w:t>Attiecīgā starptautiskā tiesību akta vai starptautiskas institūcijas vai organizācijas dokumenta (turpmāk – starptautiskais dokuments) datums, numurs un nosaukums</w:t>
            </w:r>
          </w:p>
          <w:p w14:paraId="77165C3F" w14:textId="41BA8069" w:rsidR="00963182" w:rsidRPr="00A953C4" w:rsidRDefault="00963182" w:rsidP="000928FD"/>
        </w:tc>
        <w:tc>
          <w:tcPr>
            <w:tcW w:w="4108" w:type="pct"/>
            <w:gridSpan w:val="8"/>
            <w:hideMark/>
          </w:tcPr>
          <w:p w14:paraId="2FDDD1DA" w14:textId="0E697C5D" w:rsidR="000928FD" w:rsidRPr="00A953C4" w:rsidRDefault="000928FD" w:rsidP="000928FD">
            <w:r w:rsidRPr="00A953C4">
              <w:t>Projekts šo jomu neskar.</w:t>
            </w:r>
          </w:p>
        </w:tc>
      </w:tr>
      <w:tr w:rsidR="000928FD" w:rsidRPr="009A6CAD" w14:paraId="5376362A" w14:textId="77777777" w:rsidTr="0009200A">
        <w:trPr>
          <w:cantSplit/>
        </w:trPr>
        <w:tc>
          <w:tcPr>
            <w:tcW w:w="892" w:type="pct"/>
            <w:gridSpan w:val="4"/>
            <w:vAlign w:val="center"/>
            <w:hideMark/>
          </w:tcPr>
          <w:p w14:paraId="012AF335" w14:textId="77777777" w:rsidR="000928FD" w:rsidRPr="00A953C4" w:rsidRDefault="000928FD" w:rsidP="000928FD">
            <w:pPr>
              <w:jc w:val="center"/>
            </w:pPr>
            <w:r w:rsidRPr="00A953C4">
              <w:t>A</w:t>
            </w:r>
          </w:p>
        </w:tc>
        <w:tc>
          <w:tcPr>
            <w:tcW w:w="1596" w:type="pct"/>
            <w:gridSpan w:val="4"/>
            <w:vAlign w:val="center"/>
            <w:hideMark/>
          </w:tcPr>
          <w:p w14:paraId="67C0F086" w14:textId="77777777" w:rsidR="000928FD" w:rsidRPr="00A953C4" w:rsidRDefault="000928FD" w:rsidP="000928FD">
            <w:pPr>
              <w:jc w:val="center"/>
            </w:pPr>
            <w:r w:rsidRPr="00A953C4">
              <w:t>B</w:t>
            </w:r>
          </w:p>
        </w:tc>
        <w:tc>
          <w:tcPr>
            <w:tcW w:w="2512" w:type="pct"/>
            <w:gridSpan w:val="4"/>
            <w:vAlign w:val="center"/>
            <w:hideMark/>
          </w:tcPr>
          <w:p w14:paraId="6FD82E54" w14:textId="77777777" w:rsidR="000928FD" w:rsidRPr="00A953C4" w:rsidRDefault="000928FD" w:rsidP="000928FD">
            <w:pPr>
              <w:jc w:val="center"/>
            </w:pPr>
            <w:r w:rsidRPr="00A953C4">
              <w:t>C</w:t>
            </w:r>
          </w:p>
        </w:tc>
      </w:tr>
      <w:tr w:rsidR="000928FD" w:rsidRPr="009A6CAD" w14:paraId="4B481EFF" w14:textId="77777777" w:rsidTr="0009200A">
        <w:trPr>
          <w:cantSplit/>
        </w:trPr>
        <w:tc>
          <w:tcPr>
            <w:tcW w:w="892" w:type="pct"/>
            <w:gridSpan w:val="4"/>
            <w:hideMark/>
          </w:tcPr>
          <w:p w14:paraId="588C594A" w14:textId="77777777" w:rsidR="00963182" w:rsidRDefault="000928FD" w:rsidP="000928FD">
            <w:r w:rsidRPr="00603F7D">
              <w:t>Starptautiskās saistības (pēc būtības), kas izriet no norādītā starptautiskā dokumenta.</w:t>
            </w:r>
            <w:r w:rsidRPr="00603F7D">
              <w:br/>
              <w:t>Konkrēti veicamie pasākumi vai uzdevumi, kas nepieciešami šo starptautisko saistību izpildei</w:t>
            </w:r>
          </w:p>
          <w:p w14:paraId="7908C797" w14:textId="36222FB1" w:rsidR="00C23BC3" w:rsidRPr="00603F7D" w:rsidRDefault="00C23BC3" w:rsidP="000928FD"/>
        </w:tc>
        <w:tc>
          <w:tcPr>
            <w:tcW w:w="1596" w:type="pct"/>
            <w:gridSpan w:val="4"/>
            <w:hideMark/>
          </w:tcPr>
          <w:p w14:paraId="60DDDFFE" w14:textId="77777777" w:rsidR="000928FD" w:rsidRPr="00603F7D" w:rsidRDefault="000928FD" w:rsidP="000928FD">
            <w:r w:rsidRPr="00603F7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12" w:type="pct"/>
            <w:gridSpan w:val="4"/>
            <w:hideMark/>
          </w:tcPr>
          <w:p w14:paraId="3AE70218" w14:textId="77777777" w:rsidR="000928FD" w:rsidRPr="00603F7D" w:rsidRDefault="000928FD" w:rsidP="000928FD">
            <w:r w:rsidRPr="00603F7D">
              <w:t>Informācija par to, vai starptautiskās saistības, kas minētas šīs tabulas A ailē, tiek izpildītas pilnībā vai daļēji.</w:t>
            </w:r>
            <w:r w:rsidRPr="00603F7D">
              <w:br/>
              <w:t>Ja attiecīgās starptautiskās saistības tiek izpildītas daļēji, sniedz skaidrojumu, kā arī precīzi norāda, kad un kādā veidā starptautiskās saistības tiks izpildītas pilnībā.</w:t>
            </w:r>
            <w:r w:rsidRPr="00603F7D">
              <w:br/>
              <w:t>Norāda institūciju, kas ir atbildīga par šo saistību izpildi pilnībā</w:t>
            </w:r>
          </w:p>
        </w:tc>
      </w:tr>
      <w:tr w:rsidR="000928FD" w:rsidRPr="009A6CAD" w14:paraId="6906B30D" w14:textId="77777777" w:rsidTr="0009200A">
        <w:trPr>
          <w:cantSplit/>
        </w:trPr>
        <w:tc>
          <w:tcPr>
            <w:tcW w:w="892" w:type="pct"/>
            <w:gridSpan w:val="4"/>
            <w:hideMark/>
          </w:tcPr>
          <w:p w14:paraId="60B06225" w14:textId="77777777" w:rsidR="00963182" w:rsidRDefault="000928FD" w:rsidP="000928FD">
            <w:r w:rsidRPr="00603F7D">
              <w:t>Vai starptautiskajā dokumentā paredzētās saistības nav pretrunā ar jau esošajām Latvijas Republikas starptautiskajām saistībām</w:t>
            </w:r>
          </w:p>
          <w:p w14:paraId="77CAEB53" w14:textId="0F984C36" w:rsidR="00C23BC3" w:rsidRPr="00603F7D" w:rsidRDefault="00C23BC3" w:rsidP="000928FD"/>
        </w:tc>
        <w:tc>
          <w:tcPr>
            <w:tcW w:w="4108" w:type="pct"/>
            <w:gridSpan w:val="8"/>
            <w:hideMark/>
          </w:tcPr>
          <w:p w14:paraId="3EB2B641" w14:textId="20239643" w:rsidR="000928FD" w:rsidRPr="00603F7D" w:rsidRDefault="000928FD" w:rsidP="000928FD">
            <w:r>
              <w:t>Nav.</w:t>
            </w:r>
          </w:p>
        </w:tc>
      </w:tr>
      <w:tr w:rsidR="000928FD" w:rsidRPr="009A6CAD" w14:paraId="36236061" w14:textId="77777777" w:rsidTr="0009200A">
        <w:trPr>
          <w:cantSplit/>
        </w:trPr>
        <w:tc>
          <w:tcPr>
            <w:tcW w:w="892" w:type="pct"/>
            <w:gridSpan w:val="4"/>
            <w:hideMark/>
          </w:tcPr>
          <w:p w14:paraId="71B38B89" w14:textId="77777777" w:rsidR="000928FD" w:rsidRDefault="000928FD" w:rsidP="000928FD">
            <w:r w:rsidRPr="00603F7D">
              <w:t>Cita informācija</w:t>
            </w:r>
          </w:p>
          <w:p w14:paraId="410FF8F3" w14:textId="6D585B4D" w:rsidR="00C23BC3" w:rsidRPr="00603F7D" w:rsidRDefault="00C23BC3" w:rsidP="000928FD"/>
        </w:tc>
        <w:tc>
          <w:tcPr>
            <w:tcW w:w="4108" w:type="pct"/>
            <w:gridSpan w:val="8"/>
            <w:hideMark/>
          </w:tcPr>
          <w:p w14:paraId="1CCE6C74" w14:textId="2E404489" w:rsidR="00963182" w:rsidRPr="00603F7D" w:rsidRDefault="000928FD" w:rsidP="000928FD">
            <w:pPr>
              <w:jc w:val="both"/>
            </w:pPr>
            <w:r>
              <w:t>Nav</w:t>
            </w:r>
            <w:r w:rsidR="00C23BC3">
              <w:t>.</w:t>
            </w:r>
          </w:p>
        </w:tc>
      </w:tr>
      <w:tr w:rsidR="00BD5588" w:rsidRPr="009A6CAD" w14:paraId="3394FBA2" w14:textId="77777777" w:rsidTr="0009200A">
        <w:trPr>
          <w:gridAfter w:val="1"/>
          <w:wAfter w:w="19" w:type="pct"/>
          <w:cantSplit/>
        </w:trPr>
        <w:tc>
          <w:tcPr>
            <w:tcW w:w="4981" w:type="pct"/>
            <w:gridSpan w:val="11"/>
            <w:vAlign w:val="center"/>
            <w:hideMark/>
          </w:tcPr>
          <w:p w14:paraId="41E2C464" w14:textId="77777777" w:rsidR="00BD5588" w:rsidRPr="00603F7D" w:rsidRDefault="00BD5588" w:rsidP="00122EEB">
            <w:pPr>
              <w:jc w:val="center"/>
              <w:rPr>
                <w:b/>
                <w:bCs/>
              </w:rPr>
            </w:pPr>
            <w:r w:rsidRPr="00603F7D">
              <w:rPr>
                <w:b/>
                <w:bCs/>
              </w:rPr>
              <w:t>VI. Sabiedrības līdzdalība un komunikācijas aktivitātes</w:t>
            </w:r>
          </w:p>
        </w:tc>
      </w:tr>
      <w:tr w:rsidR="00BD5588" w:rsidRPr="009A6CAD" w14:paraId="178DA8B0" w14:textId="77777777" w:rsidTr="0009200A">
        <w:trPr>
          <w:gridAfter w:val="1"/>
          <w:wAfter w:w="19" w:type="pct"/>
          <w:cantSplit/>
        </w:trPr>
        <w:tc>
          <w:tcPr>
            <w:tcW w:w="115" w:type="pct"/>
            <w:hideMark/>
          </w:tcPr>
          <w:p w14:paraId="75863E61" w14:textId="77777777" w:rsidR="00BD5588" w:rsidRPr="00603F7D" w:rsidRDefault="00BD5588" w:rsidP="00122EEB">
            <w:pPr>
              <w:jc w:val="center"/>
            </w:pPr>
            <w:r w:rsidRPr="00603F7D">
              <w:lastRenderedPageBreak/>
              <w:t>1.</w:t>
            </w:r>
          </w:p>
        </w:tc>
        <w:tc>
          <w:tcPr>
            <w:tcW w:w="642" w:type="pct"/>
            <w:gridSpan w:val="2"/>
            <w:hideMark/>
          </w:tcPr>
          <w:p w14:paraId="3A1408D9" w14:textId="77777777" w:rsidR="00BD5588" w:rsidRPr="00603F7D" w:rsidRDefault="00BD5588" w:rsidP="00122EEB">
            <w:r w:rsidRPr="00603F7D">
              <w:t>Plānotās sabiedrības līdzdalības un komunikācijas aktivitātes saistībā ar projektu</w:t>
            </w:r>
          </w:p>
        </w:tc>
        <w:tc>
          <w:tcPr>
            <w:tcW w:w="4224" w:type="pct"/>
            <w:gridSpan w:val="8"/>
            <w:hideMark/>
          </w:tcPr>
          <w:p w14:paraId="7DCF9BF7" w14:textId="65944F58" w:rsidR="007D3188" w:rsidRDefault="004B6D4F">
            <w:pPr>
              <w:jc w:val="both"/>
            </w:pPr>
            <w:r w:rsidRPr="00B37B32">
              <w:t xml:space="preserve">Informācija par likumprojektu </w:t>
            </w:r>
            <w:r w:rsidR="008A3A38" w:rsidRPr="00B37B32">
              <w:t xml:space="preserve">2018.gada </w:t>
            </w:r>
            <w:r w:rsidR="003B1931" w:rsidRPr="00F9689B">
              <w:t>31</w:t>
            </w:r>
            <w:r w:rsidR="00704574" w:rsidRPr="00B37B32">
              <w:t>.</w:t>
            </w:r>
            <w:r w:rsidR="003B1931" w:rsidRPr="00F9689B">
              <w:t>okto</w:t>
            </w:r>
            <w:r w:rsidR="00704574" w:rsidRPr="00B37B32">
              <w:t xml:space="preserve">brī </w:t>
            </w:r>
            <w:r w:rsidRPr="00B37B32">
              <w:t xml:space="preserve">ir ievietota </w:t>
            </w:r>
            <w:r w:rsidR="00434DDA" w:rsidRPr="00B37B32">
              <w:t xml:space="preserve">Finanšu ministrijas tīmekļvietnē sadaļā “Sabiedrības līdzdalība” – “Tiesību aktu projekti” – “Nodokļu politika”. Līdz ar to sabiedrības pārstāvji varēja līdzdarboties projekta izstrādē, </w:t>
            </w:r>
            <w:proofErr w:type="spellStart"/>
            <w:r w:rsidR="00434DDA" w:rsidRPr="00B37B32">
              <w:t>rakstveidā</w:t>
            </w:r>
            <w:proofErr w:type="spellEnd"/>
            <w:r w:rsidR="00434DDA" w:rsidRPr="00B37B32">
              <w:t xml:space="preserve"> sniedzot viedokļus par projektu</w:t>
            </w:r>
            <w:r w:rsidR="00434DDA" w:rsidRPr="00B37B32" w:rsidDel="00434DDA">
              <w:t xml:space="preserve"> </w:t>
            </w:r>
            <w:r w:rsidRPr="00B37B32">
              <w:t>(</w:t>
            </w:r>
            <w:hyperlink r:id="rId10" w:anchor="project522" w:history="1">
              <w:r w:rsidR="003B1931" w:rsidRPr="00B37B32">
                <w:rPr>
                  <w:rStyle w:val="Hyperlink"/>
                </w:rPr>
                <w:t>http://www.fm.gov.lv/lv/sabiedribas_lidzdaliba/tiesibu_aktu_projekti/nodoklu_politika#project522</w:t>
              </w:r>
            </w:hyperlink>
            <w:r w:rsidRPr="00B37B32">
              <w:t xml:space="preserve">) un </w:t>
            </w:r>
            <w:r w:rsidRPr="00384768">
              <w:t>Ministru kabin</w:t>
            </w:r>
            <w:r w:rsidR="001F0ADE" w:rsidRPr="00384768">
              <w:t>eta tīmekļvietnē</w:t>
            </w:r>
            <w:r w:rsidR="009C4EBE">
              <w:t xml:space="preserve"> </w:t>
            </w:r>
            <w:hyperlink r:id="rId11" w:history="1">
              <w:r w:rsidR="009C4EBE" w:rsidRPr="00D110CD">
                <w:rPr>
                  <w:rStyle w:val="Hyperlink"/>
                </w:rPr>
                <w:t>https://www.mk.gov.lv/content/ministru-kabineta-diskusiju-dokumenti</w:t>
              </w:r>
            </w:hyperlink>
            <w:r w:rsidR="0009200A">
              <w:t xml:space="preserve"> </w:t>
            </w:r>
          </w:p>
          <w:p w14:paraId="76CFA8DA" w14:textId="278160F1" w:rsidR="00434DDA" w:rsidRPr="00603F7D" w:rsidRDefault="00434DDA">
            <w:pPr>
              <w:jc w:val="both"/>
            </w:pPr>
            <w:r w:rsidRPr="004E2568">
              <w:t>Par l</w:t>
            </w:r>
            <w:r w:rsidRPr="005A2D40">
              <w:t>ikumprojekt</w:t>
            </w:r>
            <w:r w:rsidRPr="004E2568">
              <w:t>u</w:t>
            </w:r>
            <w:r w:rsidRPr="005A2D40">
              <w:t xml:space="preserve"> tiks</w:t>
            </w:r>
            <w:r w:rsidRPr="004E2568">
              <w:t xml:space="preserve"> sniegta informācija</w:t>
            </w:r>
            <w:r w:rsidRPr="004B6D4F">
              <w:t xml:space="preserve"> Latvijas Pašvaldību savienīb</w:t>
            </w:r>
            <w:r>
              <w:t>ai</w:t>
            </w:r>
            <w:r w:rsidRPr="004B6D4F">
              <w:t>, Latvijas Brīvo arodbiedrību savienīb</w:t>
            </w:r>
            <w:r>
              <w:t>ai,</w:t>
            </w:r>
            <w:r w:rsidRPr="004B6D4F">
              <w:t xml:space="preserve"> Latvijas Darba devēju konfederācij</w:t>
            </w:r>
            <w:r>
              <w:t xml:space="preserve">ai, </w:t>
            </w:r>
            <w:r w:rsidRPr="00DA4B38">
              <w:t xml:space="preserve">Latvijas </w:t>
            </w:r>
            <w:r>
              <w:t>Nodokļu konsultantu asociācijai</w:t>
            </w:r>
            <w:r w:rsidRPr="00DA4B38">
              <w:t>, Latvijas nodok</w:t>
            </w:r>
            <w:r>
              <w:t>ļu maksātāju tiesību asociācijai</w:t>
            </w:r>
            <w:r w:rsidRPr="004B6D4F">
              <w:t xml:space="preserve">, </w:t>
            </w:r>
            <w:r w:rsidRPr="008B59F7">
              <w:t>Latvijas Nekust</w:t>
            </w:r>
            <w:r>
              <w:t>amo īpašumu darījumu asociācijai</w:t>
            </w:r>
            <w:r w:rsidRPr="008B59F7">
              <w:t>, Latvij</w:t>
            </w:r>
            <w:r>
              <w:t>as Īpašumu vērtētāju asociācijai</w:t>
            </w:r>
            <w:r w:rsidRPr="008B59F7">
              <w:t xml:space="preserve">, </w:t>
            </w:r>
            <w:r>
              <w:t xml:space="preserve">Finanšu nozares asociācijai, </w:t>
            </w:r>
            <w:r w:rsidRPr="008B59F7">
              <w:t>Latvijas Republikas</w:t>
            </w:r>
            <w:r>
              <w:t xml:space="preserve"> Grāmatvežu asociācijai un L</w:t>
            </w:r>
            <w:r w:rsidRPr="004B6D4F">
              <w:t>atvijas Tirdzniecības un rūpniecības kamer</w:t>
            </w:r>
            <w:r>
              <w:t>ai</w:t>
            </w:r>
            <w:r w:rsidRPr="004B6D4F">
              <w:t>.</w:t>
            </w:r>
          </w:p>
        </w:tc>
      </w:tr>
      <w:tr w:rsidR="00BD5588" w:rsidRPr="009A6CAD" w14:paraId="55D3171E" w14:textId="77777777" w:rsidTr="0009200A">
        <w:trPr>
          <w:gridAfter w:val="1"/>
          <w:wAfter w:w="19" w:type="pct"/>
          <w:cantSplit/>
        </w:trPr>
        <w:tc>
          <w:tcPr>
            <w:tcW w:w="115" w:type="pct"/>
            <w:hideMark/>
          </w:tcPr>
          <w:p w14:paraId="308D1439" w14:textId="77777777" w:rsidR="00BD5588" w:rsidRPr="00603F7D" w:rsidRDefault="00BD5588" w:rsidP="00122EEB">
            <w:pPr>
              <w:jc w:val="center"/>
            </w:pPr>
            <w:r w:rsidRPr="00603F7D">
              <w:t>2.</w:t>
            </w:r>
          </w:p>
        </w:tc>
        <w:tc>
          <w:tcPr>
            <w:tcW w:w="642" w:type="pct"/>
            <w:gridSpan w:val="2"/>
            <w:hideMark/>
          </w:tcPr>
          <w:p w14:paraId="2F4D8F99" w14:textId="77777777" w:rsidR="00BD5588" w:rsidRPr="00603F7D" w:rsidRDefault="00BD5588" w:rsidP="00122EEB">
            <w:r w:rsidRPr="00603F7D">
              <w:t>Sabiedrības līdzdalība projekta izstrādē</w:t>
            </w:r>
          </w:p>
        </w:tc>
        <w:tc>
          <w:tcPr>
            <w:tcW w:w="4224" w:type="pct"/>
            <w:gridSpan w:val="8"/>
            <w:hideMark/>
          </w:tcPr>
          <w:p w14:paraId="1F7E92D1" w14:textId="6A7BDDD4" w:rsidR="007D3188" w:rsidRPr="00603F7D" w:rsidRDefault="004A3CE7">
            <w:pPr>
              <w:jc w:val="both"/>
            </w:pPr>
            <w:r>
              <w:t xml:space="preserve">“Sabiedrības pārstāvji varēja līdzdarboties projekta izstrādē, </w:t>
            </w:r>
            <w:proofErr w:type="spellStart"/>
            <w:r>
              <w:t>rakstveidā</w:t>
            </w:r>
            <w:proofErr w:type="spellEnd"/>
            <w:r>
              <w:t xml:space="preserve"> sniedzot viedokļus par projektu, kas 2018.gada </w:t>
            </w:r>
            <w:r w:rsidR="003B1931">
              <w:t>31</w:t>
            </w:r>
            <w:r>
              <w:t>.</w:t>
            </w:r>
            <w:r w:rsidR="003B1931">
              <w:t>okto</w:t>
            </w:r>
            <w:r>
              <w:t xml:space="preserve">brī publicēts Finanšu ministrijas tīmekļvietnē sadaļā “Sabiedrības līdzdalība” – “Tiesību aktu projekti” – “Nodokļu politika”, adrese: </w:t>
            </w:r>
            <w:hyperlink r:id="rId12" w:anchor="project522" w:history="1">
              <w:r w:rsidR="003B1931" w:rsidRPr="00871386">
                <w:rPr>
                  <w:rStyle w:val="Hyperlink"/>
                </w:rPr>
                <w:t>http://www.fm.gov.lv/lv/sabiedribas_lidzdaliba/tiesibu_aktu_projekti/nodoklu_politika#project522</w:t>
              </w:r>
            </w:hyperlink>
            <w:r w:rsidR="003B1931">
              <w:t xml:space="preserve"> </w:t>
            </w:r>
            <w:r>
              <w:t xml:space="preserve">un Ministru kabineta tīmekļvietnē sadaļā “Valsts kanceleja” – “Sabiedrības līdzdalība”, adrese: </w:t>
            </w:r>
            <w:hyperlink r:id="rId13" w:history="1">
              <w:r w:rsidR="00384768" w:rsidRPr="00D110CD">
                <w:rPr>
                  <w:rStyle w:val="Hyperlink"/>
                </w:rPr>
                <w:t>https://www.mk.gov.lv/content/ministru-kabineta-diskusiju-dokumenti</w:t>
              </w:r>
            </w:hyperlink>
            <w:r w:rsidR="00384768">
              <w:t xml:space="preserve"> </w:t>
            </w:r>
            <w:r w:rsidR="001B705B">
              <w:t>ar aicinājumu sabiedrību līdzdarboties līdz 2018.gada 18.novembrim.</w:t>
            </w:r>
          </w:p>
        </w:tc>
      </w:tr>
      <w:tr w:rsidR="00BD5588" w:rsidRPr="009A6CAD" w14:paraId="0FECF9CC" w14:textId="77777777" w:rsidTr="0009200A">
        <w:trPr>
          <w:gridAfter w:val="1"/>
          <w:wAfter w:w="19" w:type="pct"/>
          <w:cantSplit/>
        </w:trPr>
        <w:tc>
          <w:tcPr>
            <w:tcW w:w="115" w:type="pct"/>
            <w:hideMark/>
          </w:tcPr>
          <w:p w14:paraId="1E2AC6C6" w14:textId="77777777" w:rsidR="00BD5588" w:rsidRPr="00603F7D" w:rsidRDefault="00BD5588" w:rsidP="00122EEB">
            <w:pPr>
              <w:jc w:val="center"/>
            </w:pPr>
            <w:r w:rsidRPr="00603F7D">
              <w:t>3.</w:t>
            </w:r>
          </w:p>
        </w:tc>
        <w:tc>
          <w:tcPr>
            <w:tcW w:w="642" w:type="pct"/>
            <w:gridSpan w:val="2"/>
            <w:hideMark/>
          </w:tcPr>
          <w:p w14:paraId="6A184A7B" w14:textId="77777777" w:rsidR="00BD5588" w:rsidRPr="00603F7D" w:rsidRDefault="00BD5588" w:rsidP="00122EEB">
            <w:r w:rsidRPr="00603F7D">
              <w:t>Sabiedrības līdzdalības rezultāti</w:t>
            </w:r>
          </w:p>
        </w:tc>
        <w:tc>
          <w:tcPr>
            <w:tcW w:w="4224" w:type="pct"/>
            <w:gridSpan w:val="8"/>
            <w:hideMark/>
          </w:tcPr>
          <w:p w14:paraId="40EE457F" w14:textId="1C4A231A" w:rsidR="00CB5340" w:rsidRPr="00603F7D" w:rsidRDefault="00CB5340" w:rsidP="004E2568">
            <w:pPr>
              <w:jc w:val="both"/>
            </w:pPr>
            <w:r>
              <w:t>Šobrīd nav informācijas par sabiedrības viedokli. Pēc informācijas nosūtīšanas VI sadaļas 2.punktā minētajām asociācijām, tiks veikti papildinājumi par asociāciju viedokļiem, ja tādi tiks saņemti.</w:t>
            </w:r>
          </w:p>
        </w:tc>
      </w:tr>
      <w:tr w:rsidR="00BD5588" w:rsidRPr="009A6CAD" w14:paraId="1DF5D161" w14:textId="77777777" w:rsidTr="0009200A">
        <w:trPr>
          <w:gridAfter w:val="1"/>
          <w:wAfter w:w="19" w:type="pct"/>
          <w:cantSplit/>
        </w:trPr>
        <w:tc>
          <w:tcPr>
            <w:tcW w:w="115" w:type="pct"/>
            <w:hideMark/>
          </w:tcPr>
          <w:p w14:paraId="1137C6BA" w14:textId="77777777" w:rsidR="00BD5588" w:rsidRPr="00603F7D" w:rsidRDefault="00BD5588" w:rsidP="00122EEB">
            <w:pPr>
              <w:jc w:val="center"/>
            </w:pPr>
            <w:r w:rsidRPr="00603F7D">
              <w:t>4.</w:t>
            </w:r>
          </w:p>
        </w:tc>
        <w:tc>
          <w:tcPr>
            <w:tcW w:w="642" w:type="pct"/>
            <w:gridSpan w:val="2"/>
            <w:hideMark/>
          </w:tcPr>
          <w:p w14:paraId="23CF8937" w14:textId="77777777" w:rsidR="00BD5588" w:rsidRPr="00603F7D" w:rsidRDefault="00BD5588" w:rsidP="00122EEB">
            <w:r w:rsidRPr="00603F7D">
              <w:t>Cita informācija</w:t>
            </w:r>
          </w:p>
        </w:tc>
        <w:tc>
          <w:tcPr>
            <w:tcW w:w="4224" w:type="pct"/>
            <w:gridSpan w:val="8"/>
            <w:hideMark/>
          </w:tcPr>
          <w:p w14:paraId="6BCFCCEF" w14:textId="4E4BAEF5" w:rsidR="00BD5588" w:rsidRPr="00603F7D" w:rsidRDefault="00BD5588" w:rsidP="00122EEB">
            <w:r w:rsidRPr="00603F7D">
              <w:t>Nav</w:t>
            </w:r>
            <w:r w:rsidR="004B6D4F">
              <w:t>.</w:t>
            </w:r>
          </w:p>
        </w:tc>
      </w:tr>
      <w:tr w:rsidR="00BD5588" w:rsidRPr="009A6CAD" w14:paraId="597A8DD9" w14:textId="77777777" w:rsidTr="0009200A">
        <w:trPr>
          <w:gridAfter w:val="1"/>
          <w:wAfter w:w="19" w:type="pct"/>
          <w:cantSplit/>
        </w:trPr>
        <w:tc>
          <w:tcPr>
            <w:tcW w:w="4981" w:type="pct"/>
            <w:gridSpan w:val="11"/>
            <w:vAlign w:val="center"/>
            <w:hideMark/>
          </w:tcPr>
          <w:p w14:paraId="73A9F074" w14:textId="77777777" w:rsidR="00BD5588" w:rsidRPr="00603F7D" w:rsidRDefault="00BD5588" w:rsidP="00122EEB">
            <w:pPr>
              <w:jc w:val="center"/>
              <w:rPr>
                <w:b/>
                <w:bCs/>
              </w:rPr>
            </w:pPr>
            <w:r w:rsidRPr="00603F7D">
              <w:rPr>
                <w:b/>
                <w:bCs/>
              </w:rPr>
              <w:t>VII. Tiesību akta projekta izpildes nodrošināšana un tās ietekme uz institūcijām</w:t>
            </w:r>
          </w:p>
        </w:tc>
      </w:tr>
      <w:tr w:rsidR="00BD5588" w:rsidRPr="009A6CAD" w14:paraId="16F40C7B" w14:textId="77777777" w:rsidTr="0009200A">
        <w:trPr>
          <w:gridAfter w:val="1"/>
          <w:wAfter w:w="19" w:type="pct"/>
          <w:cantSplit/>
        </w:trPr>
        <w:tc>
          <w:tcPr>
            <w:tcW w:w="265" w:type="pct"/>
            <w:gridSpan w:val="2"/>
            <w:hideMark/>
          </w:tcPr>
          <w:p w14:paraId="4DA09379" w14:textId="77777777" w:rsidR="00BD5588" w:rsidRPr="00603F7D" w:rsidRDefault="00BD5588" w:rsidP="00122EEB">
            <w:pPr>
              <w:jc w:val="center"/>
            </w:pPr>
            <w:r w:rsidRPr="00603F7D">
              <w:t>1.</w:t>
            </w:r>
          </w:p>
        </w:tc>
        <w:tc>
          <w:tcPr>
            <w:tcW w:w="2053" w:type="pct"/>
            <w:gridSpan w:val="5"/>
            <w:hideMark/>
          </w:tcPr>
          <w:p w14:paraId="24467A67" w14:textId="77777777" w:rsidR="00BD5588" w:rsidRPr="00603F7D" w:rsidRDefault="00BD5588" w:rsidP="00122EEB">
            <w:r w:rsidRPr="00603F7D">
              <w:t>Projekta izpildē iesaistītās institūcijas</w:t>
            </w:r>
          </w:p>
        </w:tc>
        <w:tc>
          <w:tcPr>
            <w:tcW w:w="2663" w:type="pct"/>
            <w:gridSpan w:val="4"/>
            <w:hideMark/>
          </w:tcPr>
          <w:p w14:paraId="15C73975" w14:textId="633163B3" w:rsidR="00617F01" w:rsidRPr="00603F7D" w:rsidRDefault="00617F01" w:rsidP="00122EEB">
            <w:r w:rsidRPr="00603F7D">
              <w:t>VID</w:t>
            </w:r>
            <w:r w:rsidR="00DB582A">
              <w:t>.</w:t>
            </w:r>
          </w:p>
        </w:tc>
      </w:tr>
      <w:tr w:rsidR="00BD5588" w:rsidRPr="009A6CAD" w14:paraId="2BD6218F" w14:textId="77777777" w:rsidTr="0009200A">
        <w:trPr>
          <w:gridAfter w:val="1"/>
          <w:wAfter w:w="19" w:type="pct"/>
          <w:cantSplit/>
        </w:trPr>
        <w:tc>
          <w:tcPr>
            <w:tcW w:w="265" w:type="pct"/>
            <w:gridSpan w:val="2"/>
            <w:hideMark/>
          </w:tcPr>
          <w:p w14:paraId="2B8F8F65" w14:textId="77777777" w:rsidR="00BD5588" w:rsidRPr="006507E9" w:rsidRDefault="00BD5588" w:rsidP="00122EEB">
            <w:pPr>
              <w:jc w:val="center"/>
            </w:pPr>
            <w:r w:rsidRPr="006507E9">
              <w:t>2.</w:t>
            </w:r>
          </w:p>
        </w:tc>
        <w:tc>
          <w:tcPr>
            <w:tcW w:w="2053" w:type="pct"/>
            <w:gridSpan w:val="5"/>
            <w:hideMark/>
          </w:tcPr>
          <w:p w14:paraId="3D7CDED2" w14:textId="77777777" w:rsidR="00BD5588" w:rsidRPr="006507E9" w:rsidRDefault="00BD5588" w:rsidP="00122EEB">
            <w:r w:rsidRPr="006507E9">
              <w:t>Projekta izpildes ietekme uz pārvaldes funkcijām un institucionālo struktūru.</w:t>
            </w:r>
            <w:r w:rsidRPr="006507E9">
              <w:br/>
              <w:t>Jaunu institūciju izveide, esošu institūciju likvidācija vai reorganizācija, to ietekme uz institūcijas cilvēkresursiem</w:t>
            </w:r>
          </w:p>
        </w:tc>
        <w:tc>
          <w:tcPr>
            <w:tcW w:w="2663" w:type="pct"/>
            <w:gridSpan w:val="4"/>
            <w:hideMark/>
          </w:tcPr>
          <w:p w14:paraId="469DB92F" w14:textId="48C995C2" w:rsidR="00DB582A" w:rsidRPr="006507E9" w:rsidRDefault="00DB582A">
            <w:pPr>
              <w:jc w:val="both"/>
            </w:pPr>
            <w:r w:rsidRPr="00DB582A">
              <w:t>Likumprojekts nemainīs pārvaldes funkcijas un institucionālo struktūru, kā arī netiks veidotas jaunas institūcijas, savukārt esošās institūcijas netiks likvidētas vai reorganizētas.</w:t>
            </w:r>
          </w:p>
        </w:tc>
      </w:tr>
      <w:tr w:rsidR="00BD5588" w:rsidRPr="009A6CAD" w14:paraId="54E26C60" w14:textId="77777777" w:rsidTr="0009200A">
        <w:trPr>
          <w:gridAfter w:val="1"/>
          <w:wAfter w:w="19" w:type="pct"/>
          <w:cantSplit/>
        </w:trPr>
        <w:tc>
          <w:tcPr>
            <w:tcW w:w="265" w:type="pct"/>
            <w:gridSpan w:val="2"/>
            <w:hideMark/>
          </w:tcPr>
          <w:p w14:paraId="50D22A7D" w14:textId="77777777" w:rsidR="00BD5588" w:rsidRPr="006507E9" w:rsidRDefault="00BD5588" w:rsidP="00122EEB">
            <w:pPr>
              <w:jc w:val="center"/>
            </w:pPr>
            <w:r w:rsidRPr="006507E9">
              <w:t>3.</w:t>
            </w:r>
          </w:p>
        </w:tc>
        <w:tc>
          <w:tcPr>
            <w:tcW w:w="2053" w:type="pct"/>
            <w:gridSpan w:val="5"/>
            <w:hideMark/>
          </w:tcPr>
          <w:p w14:paraId="29B4D873" w14:textId="77777777" w:rsidR="00BD5588" w:rsidRPr="006507E9" w:rsidRDefault="00BD5588" w:rsidP="00122EEB">
            <w:r w:rsidRPr="006507E9">
              <w:t>Cita informācija</w:t>
            </w:r>
          </w:p>
        </w:tc>
        <w:tc>
          <w:tcPr>
            <w:tcW w:w="2663" w:type="pct"/>
            <w:gridSpan w:val="4"/>
            <w:hideMark/>
          </w:tcPr>
          <w:p w14:paraId="19E081DB" w14:textId="415B2483" w:rsidR="00BD5588" w:rsidRPr="006507E9" w:rsidRDefault="00BD5588">
            <w:r w:rsidRPr="006507E9">
              <w:t>Nav</w:t>
            </w:r>
            <w:r w:rsidR="00DB582A">
              <w:t>.</w:t>
            </w:r>
          </w:p>
        </w:tc>
      </w:tr>
    </w:tbl>
    <w:p w14:paraId="0C5FE830" w14:textId="2602EC5B" w:rsidR="00614D39" w:rsidRDefault="00614D39"/>
    <w:p w14:paraId="59321ADA" w14:textId="77777777" w:rsidR="0009200A" w:rsidRDefault="0009200A"/>
    <w:p w14:paraId="51E158EA" w14:textId="1BAEF2CB" w:rsidR="00BD460A" w:rsidRPr="009A6CAD" w:rsidRDefault="00BD460A">
      <w:r>
        <w:t>Finanšu ministre</w:t>
      </w:r>
      <w:r>
        <w:tab/>
      </w:r>
      <w:r>
        <w:tab/>
      </w:r>
      <w:r>
        <w:tab/>
      </w:r>
      <w:r>
        <w:tab/>
      </w:r>
      <w:r>
        <w:tab/>
      </w:r>
      <w:r>
        <w:tab/>
        <w:t>Dana Reizniece-Ozola</w:t>
      </w:r>
    </w:p>
    <w:sectPr w:rsidR="00BD460A" w:rsidRPr="009A6CAD" w:rsidSect="00013003">
      <w:headerReference w:type="default" r:id="rId14"/>
      <w:footerReference w:type="default" r:id="rId15"/>
      <w:footerReference w:type="first" r:id="rId16"/>
      <w:pgSz w:w="11906" w:h="16838"/>
      <w:pgMar w:top="851" w:right="1800" w:bottom="56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E22A" w14:textId="77777777" w:rsidR="00DB3D59" w:rsidRDefault="00DB3D59" w:rsidP="009C3335">
      <w:r>
        <w:separator/>
      </w:r>
    </w:p>
  </w:endnote>
  <w:endnote w:type="continuationSeparator" w:id="0">
    <w:p w14:paraId="27C6CCCA" w14:textId="77777777" w:rsidR="00DB3D59" w:rsidRDefault="00DB3D59" w:rsidP="009C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D974" w14:textId="5583110B" w:rsidR="00DB3D59" w:rsidRPr="00D93EB9" w:rsidRDefault="00DB3D59" w:rsidP="00A205B1">
    <w:pPr>
      <w:pStyle w:val="Footer"/>
      <w:jc w:val="both"/>
      <w:rPr>
        <w:sz w:val="18"/>
        <w:szCs w:val="18"/>
      </w:rPr>
    </w:pPr>
    <w:r>
      <w:rPr>
        <w:sz w:val="18"/>
        <w:szCs w:val="18"/>
      </w:rPr>
      <w:t>FMAnot_PVNgroz_071118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5631" w14:textId="0E62989D" w:rsidR="00DB3D59" w:rsidRPr="00F749C6" w:rsidRDefault="00DB3D59" w:rsidP="00F749C6">
    <w:pPr>
      <w:pStyle w:val="Footer"/>
      <w:jc w:val="both"/>
      <w:rPr>
        <w:sz w:val="18"/>
        <w:szCs w:val="18"/>
      </w:rPr>
    </w:pPr>
    <w:r>
      <w:rPr>
        <w:sz w:val="18"/>
        <w:szCs w:val="18"/>
      </w:rPr>
      <w:t>FMAnot_PVNgroz_071118</w:t>
    </w:r>
    <w:r w:rsidRPr="00D93EB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0382F" w14:textId="77777777" w:rsidR="00DB3D59" w:rsidRDefault="00DB3D59" w:rsidP="009C3335">
      <w:r>
        <w:separator/>
      </w:r>
    </w:p>
  </w:footnote>
  <w:footnote w:type="continuationSeparator" w:id="0">
    <w:p w14:paraId="08CC7DE3" w14:textId="77777777" w:rsidR="00DB3D59" w:rsidRDefault="00DB3D59" w:rsidP="009C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591854"/>
      <w:docPartObj>
        <w:docPartGallery w:val="Page Numbers (Top of Page)"/>
        <w:docPartUnique/>
      </w:docPartObj>
    </w:sdtPr>
    <w:sdtEndPr>
      <w:rPr>
        <w:noProof/>
      </w:rPr>
    </w:sdtEndPr>
    <w:sdtContent>
      <w:p w14:paraId="78A2FB03" w14:textId="0DD6DD14" w:rsidR="00DB3D59" w:rsidRDefault="00DB3D59">
        <w:pPr>
          <w:pStyle w:val="Header"/>
          <w:jc w:val="center"/>
        </w:pPr>
        <w:r>
          <w:fldChar w:fldCharType="begin"/>
        </w:r>
        <w:r>
          <w:instrText xml:space="preserve"> PAGE   \* MERGEFORMAT </w:instrText>
        </w:r>
        <w:r>
          <w:fldChar w:fldCharType="separate"/>
        </w:r>
        <w:r w:rsidR="00DA395D">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E19"/>
    <w:multiLevelType w:val="hybridMultilevel"/>
    <w:tmpl w:val="60CCF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5358B2"/>
    <w:multiLevelType w:val="hybridMultilevel"/>
    <w:tmpl w:val="03622F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553366"/>
    <w:multiLevelType w:val="hybridMultilevel"/>
    <w:tmpl w:val="224C4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6840FB"/>
    <w:multiLevelType w:val="hybridMultilevel"/>
    <w:tmpl w:val="E2905D54"/>
    <w:lvl w:ilvl="0" w:tplc="04260011">
      <w:start w:val="1"/>
      <w:numFmt w:val="decimal"/>
      <w:lvlText w:val="%1)"/>
      <w:lvlJc w:val="left"/>
      <w:pPr>
        <w:ind w:left="41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5AD02DE2"/>
    <w:multiLevelType w:val="hybridMultilevel"/>
    <w:tmpl w:val="2050190E"/>
    <w:lvl w:ilvl="0" w:tplc="4E081DF6">
      <w:numFmt w:val="bullet"/>
      <w:lvlText w:val="-"/>
      <w:lvlJc w:val="left"/>
      <w:pPr>
        <w:ind w:left="435" w:hanging="360"/>
      </w:pPr>
      <w:rPr>
        <w:rFonts w:ascii="Verdana" w:eastAsia="Calibri" w:hAnsi="Verdana" w:cs="Calibri" w:hint="default"/>
        <w:color w:val="44546A"/>
      </w:rPr>
    </w:lvl>
    <w:lvl w:ilvl="1" w:tplc="BFE662A4">
      <w:start w:val="1"/>
      <w:numFmt w:val="bullet"/>
      <w:lvlText w:val="o"/>
      <w:lvlJc w:val="left"/>
      <w:pPr>
        <w:ind w:left="1155" w:hanging="360"/>
      </w:pPr>
      <w:rPr>
        <w:rFonts w:ascii="Courier New" w:hAnsi="Courier New" w:cs="Courier New" w:hint="default"/>
      </w:rPr>
    </w:lvl>
    <w:lvl w:ilvl="2" w:tplc="B0C287E8">
      <w:start w:val="1"/>
      <w:numFmt w:val="bullet"/>
      <w:lvlText w:val=""/>
      <w:lvlJc w:val="left"/>
      <w:pPr>
        <w:ind w:left="1875" w:hanging="360"/>
      </w:pPr>
      <w:rPr>
        <w:rFonts w:ascii="Wingdings" w:hAnsi="Wingdings" w:hint="default"/>
      </w:rPr>
    </w:lvl>
    <w:lvl w:ilvl="3" w:tplc="2E500A96">
      <w:start w:val="1"/>
      <w:numFmt w:val="bullet"/>
      <w:lvlText w:val=""/>
      <w:lvlJc w:val="left"/>
      <w:pPr>
        <w:ind w:left="2595" w:hanging="360"/>
      </w:pPr>
      <w:rPr>
        <w:rFonts w:ascii="Symbol" w:hAnsi="Symbol" w:hint="default"/>
      </w:rPr>
    </w:lvl>
    <w:lvl w:ilvl="4" w:tplc="78AE3D38">
      <w:start w:val="1"/>
      <w:numFmt w:val="bullet"/>
      <w:lvlText w:val="o"/>
      <w:lvlJc w:val="left"/>
      <w:pPr>
        <w:ind w:left="3315" w:hanging="360"/>
      </w:pPr>
      <w:rPr>
        <w:rFonts w:ascii="Courier New" w:hAnsi="Courier New" w:cs="Courier New" w:hint="default"/>
      </w:rPr>
    </w:lvl>
    <w:lvl w:ilvl="5" w:tplc="1EFADB66">
      <w:start w:val="1"/>
      <w:numFmt w:val="bullet"/>
      <w:lvlText w:val=""/>
      <w:lvlJc w:val="left"/>
      <w:pPr>
        <w:ind w:left="4035" w:hanging="360"/>
      </w:pPr>
      <w:rPr>
        <w:rFonts w:ascii="Wingdings" w:hAnsi="Wingdings" w:hint="default"/>
      </w:rPr>
    </w:lvl>
    <w:lvl w:ilvl="6" w:tplc="9BCA2044">
      <w:start w:val="1"/>
      <w:numFmt w:val="bullet"/>
      <w:lvlText w:val=""/>
      <w:lvlJc w:val="left"/>
      <w:pPr>
        <w:ind w:left="4755" w:hanging="360"/>
      </w:pPr>
      <w:rPr>
        <w:rFonts w:ascii="Symbol" w:hAnsi="Symbol" w:hint="default"/>
      </w:rPr>
    </w:lvl>
    <w:lvl w:ilvl="7" w:tplc="2C52BC5A">
      <w:start w:val="1"/>
      <w:numFmt w:val="bullet"/>
      <w:lvlText w:val="o"/>
      <w:lvlJc w:val="left"/>
      <w:pPr>
        <w:ind w:left="5475" w:hanging="360"/>
      </w:pPr>
      <w:rPr>
        <w:rFonts w:ascii="Courier New" w:hAnsi="Courier New" w:cs="Courier New" w:hint="default"/>
      </w:rPr>
    </w:lvl>
    <w:lvl w:ilvl="8" w:tplc="4FFAA112">
      <w:start w:val="1"/>
      <w:numFmt w:val="bullet"/>
      <w:lvlText w:val=""/>
      <w:lvlJc w:val="left"/>
      <w:pPr>
        <w:ind w:left="6195" w:hanging="360"/>
      </w:pPr>
      <w:rPr>
        <w:rFonts w:ascii="Wingdings" w:hAnsi="Wingdings" w:hint="default"/>
      </w:rPr>
    </w:lvl>
  </w:abstractNum>
  <w:abstractNum w:abstractNumId="6"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57702F"/>
    <w:multiLevelType w:val="hybridMultilevel"/>
    <w:tmpl w:val="F1527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6048"/>
    <w:rsid w:val="00007DAE"/>
    <w:rsid w:val="00013003"/>
    <w:rsid w:val="000155E9"/>
    <w:rsid w:val="000200F4"/>
    <w:rsid w:val="000202DF"/>
    <w:rsid w:val="00020308"/>
    <w:rsid w:val="000248A4"/>
    <w:rsid w:val="000313C7"/>
    <w:rsid w:val="00033A9D"/>
    <w:rsid w:val="000345DF"/>
    <w:rsid w:val="00042DA4"/>
    <w:rsid w:val="0004563E"/>
    <w:rsid w:val="00045D58"/>
    <w:rsid w:val="0004691D"/>
    <w:rsid w:val="00047983"/>
    <w:rsid w:val="000509AE"/>
    <w:rsid w:val="000534A1"/>
    <w:rsid w:val="00056020"/>
    <w:rsid w:val="00061558"/>
    <w:rsid w:val="00062A1B"/>
    <w:rsid w:val="0006654C"/>
    <w:rsid w:val="00070F98"/>
    <w:rsid w:val="000733F4"/>
    <w:rsid w:val="00077E24"/>
    <w:rsid w:val="00090D31"/>
    <w:rsid w:val="0009200A"/>
    <w:rsid w:val="000928FD"/>
    <w:rsid w:val="0009693C"/>
    <w:rsid w:val="000A6BBC"/>
    <w:rsid w:val="000B2357"/>
    <w:rsid w:val="000B35BE"/>
    <w:rsid w:val="000B5661"/>
    <w:rsid w:val="000C01F9"/>
    <w:rsid w:val="000C16B6"/>
    <w:rsid w:val="000C525D"/>
    <w:rsid w:val="000C5394"/>
    <w:rsid w:val="000D21D7"/>
    <w:rsid w:val="000E6902"/>
    <w:rsid w:val="000E6D37"/>
    <w:rsid w:val="000F02CC"/>
    <w:rsid w:val="00101951"/>
    <w:rsid w:val="0010240C"/>
    <w:rsid w:val="00102A1B"/>
    <w:rsid w:val="0011002E"/>
    <w:rsid w:val="001134C3"/>
    <w:rsid w:val="0012060E"/>
    <w:rsid w:val="00120C69"/>
    <w:rsid w:val="00122EEB"/>
    <w:rsid w:val="001245BB"/>
    <w:rsid w:val="00136A83"/>
    <w:rsid w:val="001447CB"/>
    <w:rsid w:val="001505BC"/>
    <w:rsid w:val="0016021E"/>
    <w:rsid w:val="00167FC0"/>
    <w:rsid w:val="00170835"/>
    <w:rsid w:val="00173C62"/>
    <w:rsid w:val="00176B5D"/>
    <w:rsid w:val="00181D11"/>
    <w:rsid w:val="00194CD7"/>
    <w:rsid w:val="0019700D"/>
    <w:rsid w:val="0019719A"/>
    <w:rsid w:val="001A0BFE"/>
    <w:rsid w:val="001A1078"/>
    <w:rsid w:val="001A2B8B"/>
    <w:rsid w:val="001B49EC"/>
    <w:rsid w:val="001B705B"/>
    <w:rsid w:val="001B7392"/>
    <w:rsid w:val="001C4776"/>
    <w:rsid w:val="001D65A5"/>
    <w:rsid w:val="001E5156"/>
    <w:rsid w:val="001E5AC8"/>
    <w:rsid w:val="001E67C6"/>
    <w:rsid w:val="001F0ADE"/>
    <w:rsid w:val="001F1905"/>
    <w:rsid w:val="001F1E2A"/>
    <w:rsid w:val="001F53EA"/>
    <w:rsid w:val="001F5F1E"/>
    <w:rsid w:val="00201A82"/>
    <w:rsid w:val="00205209"/>
    <w:rsid w:val="00205F79"/>
    <w:rsid w:val="00210288"/>
    <w:rsid w:val="00212CF6"/>
    <w:rsid w:val="00212E8D"/>
    <w:rsid w:val="0022550F"/>
    <w:rsid w:val="002266AA"/>
    <w:rsid w:val="002405FA"/>
    <w:rsid w:val="002410AE"/>
    <w:rsid w:val="002478F2"/>
    <w:rsid w:val="00251477"/>
    <w:rsid w:val="00262AD5"/>
    <w:rsid w:val="00267729"/>
    <w:rsid w:val="002718AA"/>
    <w:rsid w:val="00281127"/>
    <w:rsid w:val="00282E13"/>
    <w:rsid w:val="0028789E"/>
    <w:rsid w:val="002946DB"/>
    <w:rsid w:val="002958FB"/>
    <w:rsid w:val="002A0C4E"/>
    <w:rsid w:val="002A0C8C"/>
    <w:rsid w:val="002A774F"/>
    <w:rsid w:val="002B00BA"/>
    <w:rsid w:val="002B0D68"/>
    <w:rsid w:val="002B393D"/>
    <w:rsid w:val="002B71EB"/>
    <w:rsid w:val="002C2564"/>
    <w:rsid w:val="002C6BCC"/>
    <w:rsid w:val="002C7221"/>
    <w:rsid w:val="002D1B9E"/>
    <w:rsid w:val="002D4656"/>
    <w:rsid w:val="002D7687"/>
    <w:rsid w:val="002E266B"/>
    <w:rsid w:val="002E3D19"/>
    <w:rsid w:val="002E7256"/>
    <w:rsid w:val="002F0075"/>
    <w:rsid w:val="002F1692"/>
    <w:rsid w:val="002F1B0D"/>
    <w:rsid w:val="003067F0"/>
    <w:rsid w:val="00310D23"/>
    <w:rsid w:val="00313CD0"/>
    <w:rsid w:val="003154CD"/>
    <w:rsid w:val="00331C69"/>
    <w:rsid w:val="00345DB4"/>
    <w:rsid w:val="00351CC8"/>
    <w:rsid w:val="00351EBF"/>
    <w:rsid w:val="00363C76"/>
    <w:rsid w:val="00365316"/>
    <w:rsid w:val="003746B1"/>
    <w:rsid w:val="00384768"/>
    <w:rsid w:val="003877D2"/>
    <w:rsid w:val="003A1C41"/>
    <w:rsid w:val="003B1931"/>
    <w:rsid w:val="003B4207"/>
    <w:rsid w:val="003C032D"/>
    <w:rsid w:val="003C0685"/>
    <w:rsid w:val="003D5111"/>
    <w:rsid w:val="003F149D"/>
    <w:rsid w:val="003F1AC1"/>
    <w:rsid w:val="003F3EA8"/>
    <w:rsid w:val="003F7A86"/>
    <w:rsid w:val="003F7FF3"/>
    <w:rsid w:val="00402519"/>
    <w:rsid w:val="004047F6"/>
    <w:rsid w:val="004058D7"/>
    <w:rsid w:val="0041554A"/>
    <w:rsid w:val="00415FBD"/>
    <w:rsid w:val="004221AC"/>
    <w:rsid w:val="0042376D"/>
    <w:rsid w:val="00424264"/>
    <w:rsid w:val="00425C8B"/>
    <w:rsid w:val="00425FE8"/>
    <w:rsid w:val="004270F6"/>
    <w:rsid w:val="004325A4"/>
    <w:rsid w:val="00434AD6"/>
    <w:rsid w:val="00434DDA"/>
    <w:rsid w:val="00435837"/>
    <w:rsid w:val="0043657F"/>
    <w:rsid w:val="0044288D"/>
    <w:rsid w:val="004460A6"/>
    <w:rsid w:val="00446CC3"/>
    <w:rsid w:val="00454AC7"/>
    <w:rsid w:val="0046589A"/>
    <w:rsid w:val="00471863"/>
    <w:rsid w:val="004726D2"/>
    <w:rsid w:val="004759BB"/>
    <w:rsid w:val="00476421"/>
    <w:rsid w:val="00476715"/>
    <w:rsid w:val="004858BA"/>
    <w:rsid w:val="00487249"/>
    <w:rsid w:val="004874D7"/>
    <w:rsid w:val="0049010C"/>
    <w:rsid w:val="004917A8"/>
    <w:rsid w:val="004938C9"/>
    <w:rsid w:val="00494B3A"/>
    <w:rsid w:val="00497E5D"/>
    <w:rsid w:val="004A09A4"/>
    <w:rsid w:val="004A210E"/>
    <w:rsid w:val="004A3CE7"/>
    <w:rsid w:val="004A7273"/>
    <w:rsid w:val="004B1E1D"/>
    <w:rsid w:val="004B6D4F"/>
    <w:rsid w:val="004C6A47"/>
    <w:rsid w:val="004C7FDD"/>
    <w:rsid w:val="004D1DE7"/>
    <w:rsid w:val="004D28F0"/>
    <w:rsid w:val="004D2A34"/>
    <w:rsid w:val="004D682A"/>
    <w:rsid w:val="004E00B8"/>
    <w:rsid w:val="004E2568"/>
    <w:rsid w:val="004E36F7"/>
    <w:rsid w:val="004E524F"/>
    <w:rsid w:val="004E698C"/>
    <w:rsid w:val="004E7E4B"/>
    <w:rsid w:val="004F18E1"/>
    <w:rsid w:val="004F1F27"/>
    <w:rsid w:val="004F58BA"/>
    <w:rsid w:val="00500C5F"/>
    <w:rsid w:val="005036DE"/>
    <w:rsid w:val="00503CAD"/>
    <w:rsid w:val="005143D8"/>
    <w:rsid w:val="00514F69"/>
    <w:rsid w:val="00520B03"/>
    <w:rsid w:val="005235DB"/>
    <w:rsid w:val="00524B6E"/>
    <w:rsid w:val="00534194"/>
    <w:rsid w:val="00535B4E"/>
    <w:rsid w:val="00541E09"/>
    <w:rsid w:val="00554AF4"/>
    <w:rsid w:val="005604C8"/>
    <w:rsid w:val="00563157"/>
    <w:rsid w:val="0056382D"/>
    <w:rsid w:val="00563DD7"/>
    <w:rsid w:val="00565218"/>
    <w:rsid w:val="00573942"/>
    <w:rsid w:val="00574CBA"/>
    <w:rsid w:val="00577670"/>
    <w:rsid w:val="00585042"/>
    <w:rsid w:val="005935D8"/>
    <w:rsid w:val="005A2D40"/>
    <w:rsid w:val="005C24A0"/>
    <w:rsid w:val="005C3D36"/>
    <w:rsid w:val="005D04D1"/>
    <w:rsid w:val="005D25D2"/>
    <w:rsid w:val="005D426C"/>
    <w:rsid w:val="005D610D"/>
    <w:rsid w:val="005D6227"/>
    <w:rsid w:val="005E109C"/>
    <w:rsid w:val="005E29E1"/>
    <w:rsid w:val="005E7C8B"/>
    <w:rsid w:val="0060041D"/>
    <w:rsid w:val="00603F7D"/>
    <w:rsid w:val="0060468F"/>
    <w:rsid w:val="00611F12"/>
    <w:rsid w:val="006136C9"/>
    <w:rsid w:val="00613771"/>
    <w:rsid w:val="00614D39"/>
    <w:rsid w:val="00617F01"/>
    <w:rsid w:val="006210B4"/>
    <w:rsid w:val="00622E97"/>
    <w:rsid w:val="0062705F"/>
    <w:rsid w:val="00633115"/>
    <w:rsid w:val="00634440"/>
    <w:rsid w:val="0063563A"/>
    <w:rsid w:val="00644A6C"/>
    <w:rsid w:val="00645520"/>
    <w:rsid w:val="006507E9"/>
    <w:rsid w:val="00661354"/>
    <w:rsid w:val="00664D9E"/>
    <w:rsid w:val="00665AA1"/>
    <w:rsid w:val="006733EC"/>
    <w:rsid w:val="006810D9"/>
    <w:rsid w:val="006814BB"/>
    <w:rsid w:val="006856C8"/>
    <w:rsid w:val="006869E3"/>
    <w:rsid w:val="00686FBD"/>
    <w:rsid w:val="00687BDE"/>
    <w:rsid w:val="006915DF"/>
    <w:rsid w:val="006A22AA"/>
    <w:rsid w:val="006A46C1"/>
    <w:rsid w:val="006A5A30"/>
    <w:rsid w:val="006B1250"/>
    <w:rsid w:val="006B58CD"/>
    <w:rsid w:val="006B59F3"/>
    <w:rsid w:val="006B6753"/>
    <w:rsid w:val="006C128C"/>
    <w:rsid w:val="006C337B"/>
    <w:rsid w:val="006C39C3"/>
    <w:rsid w:val="006C39F9"/>
    <w:rsid w:val="006D1896"/>
    <w:rsid w:val="006D2490"/>
    <w:rsid w:val="006E1E1C"/>
    <w:rsid w:val="006E59D1"/>
    <w:rsid w:val="006F00B8"/>
    <w:rsid w:val="006F3B44"/>
    <w:rsid w:val="007010B1"/>
    <w:rsid w:val="0070373A"/>
    <w:rsid w:val="00704574"/>
    <w:rsid w:val="0070733B"/>
    <w:rsid w:val="007078D9"/>
    <w:rsid w:val="007117BD"/>
    <w:rsid w:val="00712411"/>
    <w:rsid w:val="0072007B"/>
    <w:rsid w:val="0072740C"/>
    <w:rsid w:val="00734132"/>
    <w:rsid w:val="007410D8"/>
    <w:rsid w:val="00744A9F"/>
    <w:rsid w:val="00747909"/>
    <w:rsid w:val="00750D5B"/>
    <w:rsid w:val="00751171"/>
    <w:rsid w:val="00751AC6"/>
    <w:rsid w:val="00763209"/>
    <w:rsid w:val="007634FE"/>
    <w:rsid w:val="00771AC3"/>
    <w:rsid w:val="007724D7"/>
    <w:rsid w:val="0077592A"/>
    <w:rsid w:val="007815CA"/>
    <w:rsid w:val="00783E8E"/>
    <w:rsid w:val="007918ED"/>
    <w:rsid w:val="00793869"/>
    <w:rsid w:val="00794981"/>
    <w:rsid w:val="007A11B4"/>
    <w:rsid w:val="007A1485"/>
    <w:rsid w:val="007A3293"/>
    <w:rsid w:val="007B0950"/>
    <w:rsid w:val="007B0F97"/>
    <w:rsid w:val="007B1054"/>
    <w:rsid w:val="007B2631"/>
    <w:rsid w:val="007B2845"/>
    <w:rsid w:val="007B7BE8"/>
    <w:rsid w:val="007C5BAD"/>
    <w:rsid w:val="007D225E"/>
    <w:rsid w:val="007D3188"/>
    <w:rsid w:val="007E2B61"/>
    <w:rsid w:val="007E625B"/>
    <w:rsid w:val="008048BD"/>
    <w:rsid w:val="00807DFD"/>
    <w:rsid w:val="008106EB"/>
    <w:rsid w:val="00812105"/>
    <w:rsid w:val="008278A1"/>
    <w:rsid w:val="00840687"/>
    <w:rsid w:val="0084300E"/>
    <w:rsid w:val="008463E7"/>
    <w:rsid w:val="00846F93"/>
    <w:rsid w:val="00847AAC"/>
    <w:rsid w:val="00853D60"/>
    <w:rsid w:val="0086271D"/>
    <w:rsid w:val="0086425A"/>
    <w:rsid w:val="0086704C"/>
    <w:rsid w:val="00867A25"/>
    <w:rsid w:val="00877771"/>
    <w:rsid w:val="0087799F"/>
    <w:rsid w:val="008959C5"/>
    <w:rsid w:val="00896D55"/>
    <w:rsid w:val="008A0463"/>
    <w:rsid w:val="008A30C3"/>
    <w:rsid w:val="008A3A38"/>
    <w:rsid w:val="008A59DE"/>
    <w:rsid w:val="008B7BD5"/>
    <w:rsid w:val="008C0464"/>
    <w:rsid w:val="008C4B79"/>
    <w:rsid w:val="008C617D"/>
    <w:rsid w:val="008D03C1"/>
    <w:rsid w:val="008D79FB"/>
    <w:rsid w:val="008F3B83"/>
    <w:rsid w:val="008F58F7"/>
    <w:rsid w:val="008F77C9"/>
    <w:rsid w:val="0090153C"/>
    <w:rsid w:val="00903596"/>
    <w:rsid w:val="00905376"/>
    <w:rsid w:val="0091076C"/>
    <w:rsid w:val="00911D64"/>
    <w:rsid w:val="009124EE"/>
    <w:rsid w:val="00930CA8"/>
    <w:rsid w:val="00935E90"/>
    <w:rsid w:val="009440E5"/>
    <w:rsid w:val="009444B2"/>
    <w:rsid w:val="00945414"/>
    <w:rsid w:val="00953884"/>
    <w:rsid w:val="00955A58"/>
    <w:rsid w:val="00955D6F"/>
    <w:rsid w:val="00961E18"/>
    <w:rsid w:val="00963182"/>
    <w:rsid w:val="009673EE"/>
    <w:rsid w:val="00967B8B"/>
    <w:rsid w:val="00977222"/>
    <w:rsid w:val="009845FF"/>
    <w:rsid w:val="0099072F"/>
    <w:rsid w:val="00993E93"/>
    <w:rsid w:val="009951DA"/>
    <w:rsid w:val="009A6897"/>
    <w:rsid w:val="009A6CAD"/>
    <w:rsid w:val="009C3335"/>
    <w:rsid w:val="009C446F"/>
    <w:rsid w:val="009C4EBE"/>
    <w:rsid w:val="009C7A12"/>
    <w:rsid w:val="009D32C9"/>
    <w:rsid w:val="009E0065"/>
    <w:rsid w:val="009E0C4C"/>
    <w:rsid w:val="009E26A1"/>
    <w:rsid w:val="009F644B"/>
    <w:rsid w:val="00A1230F"/>
    <w:rsid w:val="00A12E53"/>
    <w:rsid w:val="00A16D4B"/>
    <w:rsid w:val="00A205B1"/>
    <w:rsid w:val="00A33B9E"/>
    <w:rsid w:val="00A34AEB"/>
    <w:rsid w:val="00A35A8C"/>
    <w:rsid w:val="00A409EE"/>
    <w:rsid w:val="00A52101"/>
    <w:rsid w:val="00A54079"/>
    <w:rsid w:val="00A710D3"/>
    <w:rsid w:val="00A765A3"/>
    <w:rsid w:val="00A850DE"/>
    <w:rsid w:val="00A9098B"/>
    <w:rsid w:val="00A9324F"/>
    <w:rsid w:val="00A953C4"/>
    <w:rsid w:val="00A95E85"/>
    <w:rsid w:val="00AA0419"/>
    <w:rsid w:val="00AA7153"/>
    <w:rsid w:val="00AB2EC4"/>
    <w:rsid w:val="00AC3BFD"/>
    <w:rsid w:val="00AD2D59"/>
    <w:rsid w:val="00AE521A"/>
    <w:rsid w:val="00AE62FA"/>
    <w:rsid w:val="00AE7D22"/>
    <w:rsid w:val="00AF059F"/>
    <w:rsid w:val="00AF1537"/>
    <w:rsid w:val="00B02B2A"/>
    <w:rsid w:val="00B175BE"/>
    <w:rsid w:val="00B230F1"/>
    <w:rsid w:val="00B30E1C"/>
    <w:rsid w:val="00B3516D"/>
    <w:rsid w:val="00B37B32"/>
    <w:rsid w:val="00B426ED"/>
    <w:rsid w:val="00B42FA3"/>
    <w:rsid w:val="00B452AE"/>
    <w:rsid w:val="00B45D05"/>
    <w:rsid w:val="00B46249"/>
    <w:rsid w:val="00B579BA"/>
    <w:rsid w:val="00B67AD4"/>
    <w:rsid w:val="00B7532F"/>
    <w:rsid w:val="00B76F53"/>
    <w:rsid w:val="00B9305E"/>
    <w:rsid w:val="00B94112"/>
    <w:rsid w:val="00B94CD7"/>
    <w:rsid w:val="00B95454"/>
    <w:rsid w:val="00BA3E49"/>
    <w:rsid w:val="00BA46AA"/>
    <w:rsid w:val="00BA6E6E"/>
    <w:rsid w:val="00BA7CAA"/>
    <w:rsid w:val="00BC07D7"/>
    <w:rsid w:val="00BC0FFF"/>
    <w:rsid w:val="00BC2B07"/>
    <w:rsid w:val="00BC7C82"/>
    <w:rsid w:val="00BD460A"/>
    <w:rsid w:val="00BD5588"/>
    <w:rsid w:val="00BD7DC8"/>
    <w:rsid w:val="00BE1CD8"/>
    <w:rsid w:val="00BE5546"/>
    <w:rsid w:val="00BF1572"/>
    <w:rsid w:val="00BF66D6"/>
    <w:rsid w:val="00BF7711"/>
    <w:rsid w:val="00BF7A84"/>
    <w:rsid w:val="00C01C06"/>
    <w:rsid w:val="00C13505"/>
    <w:rsid w:val="00C14839"/>
    <w:rsid w:val="00C15E18"/>
    <w:rsid w:val="00C17891"/>
    <w:rsid w:val="00C20655"/>
    <w:rsid w:val="00C23BC3"/>
    <w:rsid w:val="00C30F55"/>
    <w:rsid w:val="00C40CFF"/>
    <w:rsid w:val="00C41FD7"/>
    <w:rsid w:val="00C42E7A"/>
    <w:rsid w:val="00C4494C"/>
    <w:rsid w:val="00C47B9D"/>
    <w:rsid w:val="00C538F8"/>
    <w:rsid w:val="00C54826"/>
    <w:rsid w:val="00C57176"/>
    <w:rsid w:val="00C62674"/>
    <w:rsid w:val="00C63D14"/>
    <w:rsid w:val="00C70694"/>
    <w:rsid w:val="00C70FC8"/>
    <w:rsid w:val="00C71778"/>
    <w:rsid w:val="00C7358B"/>
    <w:rsid w:val="00C772BD"/>
    <w:rsid w:val="00C80EE9"/>
    <w:rsid w:val="00C82116"/>
    <w:rsid w:val="00C84814"/>
    <w:rsid w:val="00C8675D"/>
    <w:rsid w:val="00C872BF"/>
    <w:rsid w:val="00C95C47"/>
    <w:rsid w:val="00CA28FE"/>
    <w:rsid w:val="00CA43AD"/>
    <w:rsid w:val="00CA62AE"/>
    <w:rsid w:val="00CA7CEB"/>
    <w:rsid w:val="00CA7D51"/>
    <w:rsid w:val="00CB3C4B"/>
    <w:rsid w:val="00CB5340"/>
    <w:rsid w:val="00CC4E94"/>
    <w:rsid w:val="00CC505C"/>
    <w:rsid w:val="00CC602E"/>
    <w:rsid w:val="00CD3A43"/>
    <w:rsid w:val="00CE0C47"/>
    <w:rsid w:val="00CE225A"/>
    <w:rsid w:val="00CE3669"/>
    <w:rsid w:val="00CE5A56"/>
    <w:rsid w:val="00CE5E7B"/>
    <w:rsid w:val="00CF36D0"/>
    <w:rsid w:val="00D0571B"/>
    <w:rsid w:val="00D07AE2"/>
    <w:rsid w:val="00D10C67"/>
    <w:rsid w:val="00D1323A"/>
    <w:rsid w:val="00D20A65"/>
    <w:rsid w:val="00D25637"/>
    <w:rsid w:val="00D31F31"/>
    <w:rsid w:val="00D34CB4"/>
    <w:rsid w:val="00D36036"/>
    <w:rsid w:val="00D40E61"/>
    <w:rsid w:val="00D420D2"/>
    <w:rsid w:val="00D4374B"/>
    <w:rsid w:val="00D44D2D"/>
    <w:rsid w:val="00D452F9"/>
    <w:rsid w:val="00D45368"/>
    <w:rsid w:val="00D5425D"/>
    <w:rsid w:val="00D56C4F"/>
    <w:rsid w:val="00D57B3F"/>
    <w:rsid w:val="00D64124"/>
    <w:rsid w:val="00D6628B"/>
    <w:rsid w:val="00D71392"/>
    <w:rsid w:val="00D719F3"/>
    <w:rsid w:val="00D744D0"/>
    <w:rsid w:val="00D75295"/>
    <w:rsid w:val="00D77580"/>
    <w:rsid w:val="00D77687"/>
    <w:rsid w:val="00D8191B"/>
    <w:rsid w:val="00D821C4"/>
    <w:rsid w:val="00D843C4"/>
    <w:rsid w:val="00D87632"/>
    <w:rsid w:val="00D91AC0"/>
    <w:rsid w:val="00D92D4E"/>
    <w:rsid w:val="00D96C0F"/>
    <w:rsid w:val="00D9733E"/>
    <w:rsid w:val="00DA395D"/>
    <w:rsid w:val="00DA673C"/>
    <w:rsid w:val="00DA6B36"/>
    <w:rsid w:val="00DB2E20"/>
    <w:rsid w:val="00DB3D59"/>
    <w:rsid w:val="00DB582A"/>
    <w:rsid w:val="00DC01CF"/>
    <w:rsid w:val="00DC227A"/>
    <w:rsid w:val="00DC3D1C"/>
    <w:rsid w:val="00DC47B4"/>
    <w:rsid w:val="00DE1997"/>
    <w:rsid w:val="00DE1E14"/>
    <w:rsid w:val="00DE2739"/>
    <w:rsid w:val="00DE42BF"/>
    <w:rsid w:val="00DE7F64"/>
    <w:rsid w:val="00DF0967"/>
    <w:rsid w:val="00DF1893"/>
    <w:rsid w:val="00DF2FAB"/>
    <w:rsid w:val="00DF507E"/>
    <w:rsid w:val="00DF57F3"/>
    <w:rsid w:val="00DF62FB"/>
    <w:rsid w:val="00DF7A4C"/>
    <w:rsid w:val="00E0449F"/>
    <w:rsid w:val="00E12D4C"/>
    <w:rsid w:val="00E12D5B"/>
    <w:rsid w:val="00E149A5"/>
    <w:rsid w:val="00E15192"/>
    <w:rsid w:val="00E16CB3"/>
    <w:rsid w:val="00E216B5"/>
    <w:rsid w:val="00E22191"/>
    <w:rsid w:val="00E26461"/>
    <w:rsid w:val="00E27852"/>
    <w:rsid w:val="00E3103A"/>
    <w:rsid w:val="00E32D7B"/>
    <w:rsid w:val="00E36E4B"/>
    <w:rsid w:val="00E41D9F"/>
    <w:rsid w:val="00E44472"/>
    <w:rsid w:val="00E5098C"/>
    <w:rsid w:val="00E52F67"/>
    <w:rsid w:val="00E6009A"/>
    <w:rsid w:val="00E60A90"/>
    <w:rsid w:val="00E60F1F"/>
    <w:rsid w:val="00E620A4"/>
    <w:rsid w:val="00E62C6B"/>
    <w:rsid w:val="00E670C3"/>
    <w:rsid w:val="00E674FD"/>
    <w:rsid w:val="00E703F7"/>
    <w:rsid w:val="00E71200"/>
    <w:rsid w:val="00E717AC"/>
    <w:rsid w:val="00E71EBB"/>
    <w:rsid w:val="00E750C8"/>
    <w:rsid w:val="00E821A6"/>
    <w:rsid w:val="00E84438"/>
    <w:rsid w:val="00E90581"/>
    <w:rsid w:val="00E91443"/>
    <w:rsid w:val="00E954A9"/>
    <w:rsid w:val="00E96BB5"/>
    <w:rsid w:val="00E96EB1"/>
    <w:rsid w:val="00E979DA"/>
    <w:rsid w:val="00EA45CC"/>
    <w:rsid w:val="00EB7B7D"/>
    <w:rsid w:val="00EC1B78"/>
    <w:rsid w:val="00ED1021"/>
    <w:rsid w:val="00EE194E"/>
    <w:rsid w:val="00EE4242"/>
    <w:rsid w:val="00EE45E2"/>
    <w:rsid w:val="00EF74DD"/>
    <w:rsid w:val="00F00085"/>
    <w:rsid w:val="00F05457"/>
    <w:rsid w:val="00F06AA6"/>
    <w:rsid w:val="00F07D43"/>
    <w:rsid w:val="00F1229C"/>
    <w:rsid w:val="00F1551D"/>
    <w:rsid w:val="00F16F72"/>
    <w:rsid w:val="00F22AF6"/>
    <w:rsid w:val="00F268B9"/>
    <w:rsid w:val="00F33A55"/>
    <w:rsid w:val="00F376CB"/>
    <w:rsid w:val="00F376DF"/>
    <w:rsid w:val="00F45F7A"/>
    <w:rsid w:val="00F57E91"/>
    <w:rsid w:val="00F60140"/>
    <w:rsid w:val="00F62385"/>
    <w:rsid w:val="00F63675"/>
    <w:rsid w:val="00F647C7"/>
    <w:rsid w:val="00F673DE"/>
    <w:rsid w:val="00F718F2"/>
    <w:rsid w:val="00F74810"/>
    <w:rsid w:val="00F749C6"/>
    <w:rsid w:val="00F829A0"/>
    <w:rsid w:val="00F86B6D"/>
    <w:rsid w:val="00F9014C"/>
    <w:rsid w:val="00F93130"/>
    <w:rsid w:val="00F94C84"/>
    <w:rsid w:val="00F9519C"/>
    <w:rsid w:val="00F965D6"/>
    <w:rsid w:val="00F9689B"/>
    <w:rsid w:val="00F976F1"/>
    <w:rsid w:val="00FA1FB9"/>
    <w:rsid w:val="00FA4F0D"/>
    <w:rsid w:val="00FA75E6"/>
    <w:rsid w:val="00FB309E"/>
    <w:rsid w:val="00FB6AA7"/>
    <w:rsid w:val="00FC1BA2"/>
    <w:rsid w:val="00FC440B"/>
    <w:rsid w:val="00FD57A5"/>
    <w:rsid w:val="00FE2AFD"/>
    <w:rsid w:val="00FF091A"/>
    <w:rsid w:val="00FF257C"/>
    <w:rsid w:val="00FF4CCC"/>
    <w:rsid w:val="00FF78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327D89"/>
  <w15:docId w15:val="{95CC3E5A-AA9F-4749-AED4-88A8F25D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4658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F33A55"/>
    <w:rPr>
      <w:sz w:val="16"/>
      <w:szCs w:val="16"/>
    </w:rPr>
  </w:style>
  <w:style w:type="paragraph" w:styleId="CommentText">
    <w:name w:val="annotation text"/>
    <w:basedOn w:val="Normal"/>
    <w:link w:val="CommentTextChar"/>
    <w:uiPriority w:val="99"/>
    <w:semiHidden/>
    <w:unhideWhenUsed/>
    <w:rsid w:val="00F33A55"/>
    <w:rPr>
      <w:sz w:val="20"/>
      <w:szCs w:val="20"/>
    </w:rPr>
  </w:style>
  <w:style w:type="character" w:customStyle="1" w:styleId="CommentTextChar">
    <w:name w:val="Comment Text Char"/>
    <w:basedOn w:val="DefaultParagraphFont"/>
    <w:link w:val="CommentText"/>
    <w:uiPriority w:val="99"/>
    <w:semiHidden/>
    <w:rsid w:val="00F33A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3A55"/>
    <w:rPr>
      <w:b/>
      <w:bCs/>
    </w:rPr>
  </w:style>
  <w:style w:type="character" w:customStyle="1" w:styleId="CommentSubjectChar">
    <w:name w:val="Comment Subject Char"/>
    <w:basedOn w:val="CommentTextChar"/>
    <w:link w:val="CommentSubject"/>
    <w:uiPriority w:val="99"/>
    <w:semiHidden/>
    <w:rsid w:val="00F33A5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33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A55"/>
    <w:rPr>
      <w:rFonts w:ascii="Segoe UI" w:eastAsia="Times New Roman" w:hAnsi="Segoe UI" w:cs="Segoe UI"/>
      <w:sz w:val="18"/>
      <w:szCs w:val="18"/>
      <w:lang w:eastAsia="lv-LV"/>
    </w:rPr>
  </w:style>
  <w:style w:type="paragraph" w:customStyle="1" w:styleId="Default">
    <w:name w:val="Default"/>
    <w:rsid w:val="007B2631"/>
    <w:pPr>
      <w:autoSpaceDE w:val="0"/>
      <w:autoSpaceDN w:val="0"/>
      <w:adjustRightInd w:val="0"/>
      <w:spacing w:after="0" w:line="240" w:lineRule="auto"/>
    </w:pPr>
    <w:rPr>
      <w:rFonts w:ascii="EUAlbertina" w:hAnsi="EUAlbertina" w:cs="EUAlbertina"/>
      <w:color w:val="000000"/>
      <w:sz w:val="24"/>
      <w:szCs w:val="24"/>
    </w:rPr>
  </w:style>
  <w:style w:type="paragraph" w:styleId="FootnoteText">
    <w:name w:val="footnote text"/>
    <w:basedOn w:val="Normal"/>
    <w:link w:val="FootnoteTextChar"/>
    <w:uiPriority w:val="99"/>
    <w:semiHidden/>
    <w:unhideWhenUsed/>
    <w:rsid w:val="009C3335"/>
    <w:rPr>
      <w:sz w:val="20"/>
      <w:szCs w:val="20"/>
      <w:lang w:eastAsia="en-US"/>
    </w:rPr>
  </w:style>
  <w:style w:type="character" w:customStyle="1" w:styleId="FootnoteTextChar">
    <w:name w:val="Footnote Text Char"/>
    <w:basedOn w:val="DefaultParagraphFont"/>
    <w:link w:val="FootnoteText"/>
    <w:uiPriority w:val="99"/>
    <w:semiHidden/>
    <w:rsid w:val="009C3335"/>
    <w:rPr>
      <w:rFonts w:ascii="Times New Roman" w:eastAsia="Times New Roman" w:hAnsi="Times New Roman" w:cs="Times New Roman"/>
      <w:sz w:val="20"/>
      <w:szCs w:val="20"/>
    </w:rPr>
  </w:style>
  <w:style w:type="character" w:styleId="FootnoteReference">
    <w:name w:val="footnote reference"/>
    <w:uiPriority w:val="99"/>
    <w:semiHidden/>
    <w:unhideWhenUsed/>
    <w:rsid w:val="009C3335"/>
    <w:rPr>
      <w:shd w:val="clear" w:color="auto" w:fill="auto"/>
      <w:vertAlign w:val="superscript"/>
    </w:rPr>
  </w:style>
  <w:style w:type="paragraph" w:styleId="BodyText2">
    <w:name w:val="Body Text 2"/>
    <w:basedOn w:val="Normal"/>
    <w:link w:val="BodyText2Char"/>
    <w:rsid w:val="009C3335"/>
    <w:pPr>
      <w:jc w:val="both"/>
    </w:pPr>
    <w:rPr>
      <w:b/>
      <w:bCs/>
      <w:color w:val="000000"/>
    </w:rPr>
  </w:style>
  <w:style w:type="character" w:customStyle="1" w:styleId="BodyText2Char">
    <w:name w:val="Body Text 2 Char"/>
    <w:basedOn w:val="DefaultParagraphFont"/>
    <w:link w:val="BodyText2"/>
    <w:rsid w:val="009C3335"/>
    <w:rPr>
      <w:rFonts w:ascii="Times New Roman" w:eastAsia="Times New Roman" w:hAnsi="Times New Roman" w:cs="Times New Roman"/>
      <w:b/>
      <w:bCs/>
      <w:color w:val="000000"/>
      <w:sz w:val="24"/>
      <w:szCs w:val="24"/>
      <w:lang w:eastAsia="lv-LV"/>
    </w:rPr>
  </w:style>
  <w:style w:type="character" w:customStyle="1" w:styleId="Heading3Char">
    <w:name w:val="Heading 3 Char"/>
    <w:basedOn w:val="DefaultParagraphFont"/>
    <w:link w:val="Heading3"/>
    <w:uiPriority w:val="9"/>
    <w:rsid w:val="0046589A"/>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903596"/>
    <w:pPr>
      <w:ind w:left="720"/>
      <w:contextualSpacing/>
    </w:pPr>
  </w:style>
  <w:style w:type="paragraph" w:styleId="Header">
    <w:name w:val="header"/>
    <w:basedOn w:val="Normal"/>
    <w:link w:val="HeaderChar"/>
    <w:uiPriority w:val="99"/>
    <w:unhideWhenUsed/>
    <w:rsid w:val="0056382D"/>
    <w:pPr>
      <w:tabs>
        <w:tab w:val="center" w:pos="4153"/>
        <w:tab w:val="right" w:pos="8306"/>
      </w:tabs>
    </w:pPr>
  </w:style>
  <w:style w:type="character" w:customStyle="1" w:styleId="HeaderChar">
    <w:name w:val="Header Char"/>
    <w:basedOn w:val="DefaultParagraphFont"/>
    <w:link w:val="Header"/>
    <w:uiPriority w:val="99"/>
    <w:rsid w:val="0056382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6382D"/>
    <w:pPr>
      <w:tabs>
        <w:tab w:val="center" w:pos="4153"/>
        <w:tab w:val="right" w:pos="8306"/>
      </w:tabs>
    </w:pPr>
  </w:style>
  <w:style w:type="character" w:customStyle="1" w:styleId="FooterChar">
    <w:name w:val="Footer Char"/>
    <w:basedOn w:val="DefaultParagraphFont"/>
    <w:link w:val="Footer"/>
    <w:uiPriority w:val="99"/>
    <w:rsid w:val="0056382D"/>
    <w:rPr>
      <w:rFonts w:ascii="Times New Roman" w:eastAsia="Times New Roman" w:hAnsi="Times New Roman" w:cs="Times New Roman"/>
      <w:sz w:val="24"/>
      <w:szCs w:val="24"/>
      <w:lang w:eastAsia="lv-LV"/>
    </w:rPr>
  </w:style>
  <w:style w:type="paragraph" w:styleId="Revision">
    <w:name w:val="Revision"/>
    <w:hidden/>
    <w:uiPriority w:val="99"/>
    <w:semiHidden/>
    <w:rsid w:val="003F7A8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6L0112:20100115:LV:HTML" TargetMode="Externa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gov.lv/lv/sabiedribas_lidzdaliba/tiesibu_aktu_projekti/nodoklu_politi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m.gov.lv/lv/sabiedribas_lidzdaliba/tiesibu_aktu_projekti/nodoklu_politika"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6L0112:20100115: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CE13-98C2-42C5-8BDB-D3C5EE89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21</Pages>
  <Words>29071</Words>
  <Characters>16572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Likumporjekta "Grozījumi Pievienotās vērtības nodokļa likumā" sākotnējās ietekmes novērtējuma ziņojums (anotācija)</vt:lpstr>
    </vt:vector>
  </TitlesOfParts>
  <Company>Finanšu ministrija</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Pievienotās vērtības nodokļa likumā" sākotnējās ietekmes novērtējuma ziņojums (anotācija)</dc:title>
  <dc:subject>Anotācija</dc:subject>
  <dc:creator>Dace Leimane</dc:creator>
  <cp:keywords/>
  <dc:description>67095513_x000d_
dace.leimane@fm.gov.lv</dc:description>
  <cp:lastModifiedBy>Jeļena Kuhaļska</cp:lastModifiedBy>
  <cp:revision>66</cp:revision>
  <cp:lastPrinted>2018-11-07T10:06:00Z</cp:lastPrinted>
  <dcterms:created xsi:type="dcterms:W3CDTF">2018-11-05T14:52:00Z</dcterms:created>
  <dcterms:modified xsi:type="dcterms:W3CDTF">2018-11-15T07:29:00Z</dcterms:modified>
</cp:coreProperties>
</file>