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24EAF" w14:textId="349218FE" w:rsidR="000849EB" w:rsidRPr="00271C86" w:rsidRDefault="000849EB" w:rsidP="000849EB">
      <w:pPr>
        <w:spacing w:after="0" w:line="240" w:lineRule="auto"/>
        <w:jc w:val="right"/>
        <w:rPr>
          <w:rFonts w:ascii="Times New Roman" w:eastAsia="Times New Roman" w:hAnsi="Times New Roman" w:cs="Times New Roman"/>
          <w:sz w:val="28"/>
          <w:szCs w:val="28"/>
        </w:rPr>
      </w:pPr>
      <w:r w:rsidRPr="00271C86">
        <w:rPr>
          <w:rFonts w:ascii="Times New Roman" w:eastAsia="Times New Roman" w:hAnsi="Times New Roman" w:cs="Times New Roman"/>
          <w:sz w:val="28"/>
          <w:szCs w:val="28"/>
        </w:rPr>
        <w:t>Likumprojekts</w:t>
      </w:r>
    </w:p>
    <w:p w14:paraId="35E151A9" w14:textId="77777777" w:rsidR="000849EB" w:rsidRPr="00271C86" w:rsidRDefault="000849EB" w:rsidP="000849EB">
      <w:pPr>
        <w:spacing w:after="0" w:line="240" w:lineRule="auto"/>
        <w:jc w:val="both"/>
        <w:rPr>
          <w:rFonts w:ascii="Times New Roman" w:hAnsi="Times New Roman" w:cs="Times New Roman"/>
          <w:sz w:val="28"/>
          <w:szCs w:val="28"/>
        </w:rPr>
      </w:pPr>
    </w:p>
    <w:p w14:paraId="2006A22E" w14:textId="77777777" w:rsidR="000849EB" w:rsidRPr="00271C86" w:rsidRDefault="000849EB" w:rsidP="000849EB">
      <w:pPr>
        <w:spacing w:after="0" w:line="240" w:lineRule="auto"/>
        <w:jc w:val="center"/>
        <w:rPr>
          <w:rFonts w:ascii="Times New Roman" w:hAnsi="Times New Roman" w:cs="Times New Roman"/>
          <w:b/>
          <w:sz w:val="28"/>
          <w:szCs w:val="28"/>
        </w:rPr>
      </w:pPr>
      <w:r w:rsidRPr="00271C86">
        <w:rPr>
          <w:rFonts w:ascii="Times New Roman" w:hAnsi="Times New Roman" w:cs="Times New Roman"/>
          <w:b/>
          <w:sz w:val="28"/>
          <w:szCs w:val="28"/>
        </w:rPr>
        <w:t>Grozījumi likumā "Par izložu un azartspēļu nodevu un nodokli"</w:t>
      </w:r>
    </w:p>
    <w:p w14:paraId="398873C3" w14:textId="77777777" w:rsidR="000849EB" w:rsidRPr="00271C86" w:rsidRDefault="000849EB" w:rsidP="000849EB">
      <w:pPr>
        <w:spacing w:after="0" w:line="240" w:lineRule="auto"/>
        <w:ind w:firstLine="720"/>
        <w:jc w:val="both"/>
        <w:rPr>
          <w:rFonts w:ascii="Times New Roman" w:hAnsi="Times New Roman" w:cs="Times New Roman"/>
          <w:sz w:val="28"/>
          <w:szCs w:val="28"/>
        </w:rPr>
      </w:pPr>
    </w:p>
    <w:p w14:paraId="42CDCA65" w14:textId="77777777" w:rsidR="000849EB" w:rsidRPr="00271C86" w:rsidRDefault="000849EB" w:rsidP="000849EB">
      <w:pPr>
        <w:spacing w:after="0" w:line="240" w:lineRule="auto"/>
        <w:ind w:firstLine="720"/>
        <w:jc w:val="both"/>
        <w:rPr>
          <w:rFonts w:ascii="Times New Roman" w:hAnsi="Times New Roman" w:cs="Times New Roman"/>
          <w:sz w:val="28"/>
          <w:szCs w:val="28"/>
          <w:shd w:val="clear" w:color="auto" w:fill="FFFFFF"/>
        </w:rPr>
      </w:pPr>
      <w:r w:rsidRPr="00271C86">
        <w:rPr>
          <w:rFonts w:ascii="Times New Roman" w:hAnsi="Times New Roman" w:cs="Times New Roman"/>
          <w:sz w:val="28"/>
          <w:szCs w:val="28"/>
          <w:shd w:val="clear" w:color="auto" w:fill="FFFFFF"/>
        </w:rPr>
        <w:t>Izdarīt likumā "</w:t>
      </w:r>
      <w:hyperlink r:id="rId11" w:tgtFrame="_blank" w:history="1">
        <w:r w:rsidRPr="00271C86">
          <w:rPr>
            <w:rFonts w:ascii="Times New Roman" w:hAnsi="Times New Roman" w:cs="Times New Roman"/>
            <w:sz w:val="28"/>
            <w:szCs w:val="28"/>
            <w:shd w:val="clear" w:color="auto" w:fill="FFFFFF"/>
          </w:rPr>
          <w:t>Par izložu un azartspēļu nodevu un nodokli</w:t>
        </w:r>
      </w:hyperlink>
      <w:r w:rsidRPr="00271C86">
        <w:rPr>
          <w:rFonts w:ascii="Times New Roman" w:hAnsi="Times New Roman" w:cs="Times New Roman"/>
          <w:sz w:val="28"/>
          <w:szCs w:val="28"/>
        </w:rPr>
        <w:t>"</w:t>
      </w:r>
      <w:r w:rsidRPr="00271C86">
        <w:rPr>
          <w:rFonts w:ascii="Times New Roman" w:hAnsi="Times New Roman" w:cs="Times New Roman"/>
          <w:sz w:val="28"/>
          <w:szCs w:val="28"/>
          <w:shd w:val="clear" w:color="auto" w:fill="FFFFFF"/>
        </w:rPr>
        <w:t xml:space="preserve"> </w:t>
      </w:r>
      <w:proofErr w:type="gramStart"/>
      <w:r w:rsidRPr="00271C86">
        <w:rPr>
          <w:rFonts w:ascii="Times New Roman" w:hAnsi="Times New Roman" w:cs="Times New Roman"/>
          <w:sz w:val="28"/>
          <w:szCs w:val="28"/>
          <w:shd w:val="clear" w:color="auto" w:fill="FFFFFF"/>
        </w:rPr>
        <w:t>(</w:t>
      </w:r>
      <w:proofErr w:type="gramEnd"/>
      <w:r w:rsidRPr="00271C86">
        <w:rPr>
          <w:rFonts w:ascii="Times New Roman" w:hAnsi="Times New Roman" w:cs="Times New Roman"/>
          <w:sz w:val="28"/>
          <w:szCs w:val="28"/>
          <w:shd w:val="clear" w:color="auto" w:fill="FFFFFF"/>
        </w:rPr>
        <w:t>Latvijas Republikas Saeimas un Ministru Kabineta Ziņotājs, 1994, 14. nr.; 1995, 22. nr.; 1997, 9. nr.; 1999, 17., 24. nr.; 2001, 15., 24. nr.; 2003, 2., 15., 20., 23. nr.; 2005, 14. nr.; 2007, 8. nr.; 2009, 14. nr.; Latvijas Vēstnesis, 2011, 65., 204. nr.; 2013, 194. nr.; 2015, 248. nr.; 2016, 241. nr.; 2017, 156., 242. nr.) šādus grozījumus:</w:t>
      </w:r>
    </w:p>
    <w:p w14:paraId="6BDA5443" w14:textId="77777777" w:rsidR="000849EB" w:rsidRPr="00271C86" w:rsidRDefault="000849EB" w:rsidP="000849EB">
      <w:pPr>
        <w:spacing w:after="0" w:line="240" w:lineRule="auto"/>
        <w:ind w:firstLine="720"/>
        <w:jc w:val="both"/>
        <w:rPr>
          <w:rFonts w:ascii="Times New Roman" w:hAnsi="Times New Roman" w:cs="Times New Roman"/>
          <w:sz w:val="28"/>
          <w:szCs w:val="28"/>
        </w:rPr>
      </w:pPr>
    </w:p>
    <w:p w14:paraId="31DF8ACC" w14:textId="77777777" w:rsidR="000849EB" w:rsidRPr="00271C86" w:rsidRDefault="000849EB" w:rsidP="000849EB">
      <w:pPr>
        <w:spacing w:after="0" w:line="240" w:lineRule="auto"/>
        <w:ind w:left="720"/>
        <w:jc w:val="both"/>
        <w:rPr>
          <w:rFonts w:ascii="Times New Roman" w:hAnsi="Times New Roman" w:cs="Times New Roman"/>
          <w:sz w:val="28"/>
          <w:szCs w:val="28"/>
        </w:rPr>
      </w:pPr>
      <w:r w:rsidRPr="00271C86">
        <w:rPr>
          <w:rFonts w:ascii="Times New Roman" w:hAnsi="Times New Roman" w:cs="Times New Roman"/>
          <w:sz w:val="28"/>
          <w:szCs w:val="28"/>
        </w:rPr>
        <w:t>1.  10. pantā:</w:t>
      </w:r>
    </w:p>
    <w:p w14:paraId="67DC82B5" w14:textId="77777777" w:rsidR="000849EB" w:rsidRPr="00271C86" w:rsidRDefault="000849EB" w:rsidP="000849EB">
      <w:pPr>
        <w:spacing w:after="0" w:line="240" w:lineRule="auto"/>
        <w:ind w:firstLine="720"/>
        <w:jc w:val="both"/>
        <w:rPr>
          <w:rFonts w:ascii="Times New Roman" w:hAnsi="Times New Roman" w:cs="Times New Roman"/>
          <w:sz w:val="28"/>
          <w:szCs w:val="28"/>
        </w:rPr>
      </w:pPr>
      <w:r w:rsidRPr="00271C86">
        <w:rPr>
          <w:rFonts w:ascii="Times New Roman" w:hAnsi="Times New Roman" w:cs="Times New Roman"/>
          <w:sz w:val="28"/>
          <w:szCs w:val="28"/>
        </w:rPr>
        <w:t>izteikt sesto un septīto daļu šādā redakcijā:</w:t>
      </w:r>
    </w:p>
    <w:p w14:paraId="118F485A" w14:textId="77777777" w:rsidR="000849EB" w:rsidRPr="00271C86" w:rsidRDefault="000849EB" w:rsidP="000849EB">
      <w:pPr>
        <w:spacing w:after="0" w:line="240" w:lineRule="auto"/>
        <w:ind w:firstLine="720"/>
        <w:jc w:val="both"/>
        <w:rPr>
          <w:rFonts w:ascii="Times New Roman" w:hAnsi="Times New Roman" w:cs="Times New Roman"/>
          <w:sz w:val="28"/>
          <w:szCs w:val="28"/>
        </w:rPr>
      </w:pPr>
    </w:p>
    <w:p w14:paraId="40D75C11" w14:textId="77777777" w:rsidR="000849EB" w:rsidRPr="00271C86" w:rsidRDefault="000849EB" w:rsidP="000849EB">
      <w:pPr>
        <w:spacing w:after="0" w:line="240" w:lineRule="auto"/>
        <w:ind w:firstLine="720"/>
        <w:jc w:val="both"/>
        <w:rPr>
          <w:rFonts w:ascii="Times New Roman" w:hAnsi="Times New Roman" w:cs="Times New Roman"/>
          <w:sz w:val="28"/>
          <w:szCs w:val="28"/>
          <w:shd w:val="clear" w:color="auto" w:fill="FFFFFF"/>
        </w:rPr>
      </w:pPr>
      <w:r w:rsidRPr="00271C86">
        <w:rPr>
          <w:rFonts w:ascii="Times New Roman" w:hAnsi="Times New Roman" w:cs="Times New Roman"/>
          <w:sz w:val="28"/>
          <w:szCs w:val="28"/>
          <w:shd w:val="clear" w:color="auto" w:fill="FFFFFF"/>
        </w:rPr>
        <w:t>"Izložu un azartspēļu organizētāji 15</w:t>
      </w:r>
      <w:r w:rsidRPr="00271C86">
        <w:rPr>
          <w:rFonts w:ascii="Times New Roman" w:hAnsi="Times New Roman" w:cs="Times New Roman"/>
          <w:sz w:val="28"/>
          <w:szCs w:val="28"/>
        </w:rPr>
        <w:t> </w:t>
      </w:r>
      <w:r w:rsidRPr="00271C86">
        <w:rPr>
          <w:rFonts w:ascii="Times New Roman" w:hAnsi="Times New Roman" w:cs="Times New Roman"/>
          <w:sz w:val="28"/>
          <w:szCs w:val="28"/>
          <w:shd w:val="clear" w:color="auto" w:fill="FFFFFF"/>
        </w:rPr>
        <w:t>dienu laikā pēc pārskata mēneša beigām, izmantojot Valsts ieņēmumu dienesta elektroniskās deklarēšanas sistēmu, iesniedz Valsts ieņēmumu dienestam izložu un azartspēļu nodokļa pārskatu par aprēķināto izložu un azartspēļu nodokli par pārskata mēnesi. Pārskatu veidlapu paraugus un to aizpildīšanas kārtību nosaka Ministru kabinets.</w:t>
      </w:r>
    </w:p>
    <w:p w14:paraId="20F3DAEF" w14:textId="77777777" w:rsidR="000849EB" w:rsidRPr="00271C86" w:rsidRDefault="000849EB" w:rsidP="000849EB">
      <w:pPr>
        <w:spacing w:after="0" w:line="240" w:lineRule="auto"/>
        <w:ind w:firstLine="720"/>
        <w:jc w:val="both"/>
        <w:rPr>
          <w:rFonts w:ascii="Times New Roman" w:hAnsi="Times New Roman" w:cs="Times New Roman"/>
          <w:sz w:val="28"/>
          <w:szCs w:val="28"/>
          <w:shd w:val="clear" w:color="auto" w:fill="FFFFFF"/>
        </w:rPr>
      </w:pPr>
      <w:r w:rsidRPr="00271C86">
        <w:rPr>
          <w:rFonts w:ascii="Times New Roman" w:hAnsi="Times New Roman" w:cs="Times New Roman"/>
          <w:sz w:val="28"/>
          <w:szCs w:val="28"/>
          <w:shd w:val="clear" w:color="auto" w:fill="FFFFFF"/>
        </w:rPr>
        <w:t>Izložu un azartspēļu nodokli maksā par pārskata mēnesi līdz nākamā mēneša divdesmit trešajam datumam, iemaksājot vienotajā nodokļu kontā (likuma "</w:t>
      </w:r>
      <w:r w:rsidRPr="00271C86">
        <w:rPr>
          <w:rFonts w:ascii="Times New Roman" w:hAnsi="Times New Roman" w:cs="Times New Roman"/>
          <w:bCs/>
          <w:sz w:val="28"/>
          <w:szCs w:val="28"/>
          <w:shd w:val="clear" w:color="auto" w:fill="FFFFFF"/>
        </w:rPr>
        <w:t>Par nodokļiem un nodevām"</w:t>
      </w:r>
      <w:r w:rsidRPr="00271C86">
        <w:rPr>
          <w:rFonts w:ascii="Times New Roman" w:hAnsi="Times New Roman" w:cs="Times New Roman"/>
          <w:sz w:val="28"/>
          <w:szCs w:val="28"/>
          <w:shd w:val="clear" w:color="auto" w:fill="FFFFFF"/>
        </w:rPr>
        <w:t xml:space="preserve"> izpratnē).";</w:t>
      </w:r>
    </w:p>
    <w:p w14:paraId="4622C5BC" w14:textId="77777777" w:rsidR="000849EB" w:rsidRPr="00271C86" w:rsidRDefault="000849EB" w:rsidP="000849EB">
      <w:pPr>
        <w:spacing w:after="0" w:line="240" w:lineRule="auto"/>
        <w:ind w:firstLine="720"/>
        <w:jc w:val="both"/>
        <w:rPr>
          <w:rFonts w:ascii="Times New Roman" w:hAnsi="Times New Roman" w:cs="Times New Roman"/>
          <w:sz w:val="28"/>
          <w:szCs w:val="28"/>
          <w:shd w:val="clear" w:color="auto" w:fill="FFFFFF"/>
        </w:rPr>
      </w:pPr>
    </w:p>
    <w:p w14:paraId="3F089F01" w14:textId="77777777" w:rsidR="000849EB" w:rsidRPr="00271C86" w:rsidRDefault="000849EB" w:rsidP="000849EB">
      <w:pPr>
        <w:spacing w:after="0" w:line="240" w:lineRule="auto"/>
        <w:ind w:firstLine="720"/>
        <w:jc w:val="both"/>
        <w:rPr>
          <w:rFonts w:ascii="Times New Roman" w:hAnsi="Times New Roman" w:cs="Times New Roman"/>
          <w:sz w:val="28"/>
          <w:szCs w:val="28"/>
          <w:shd w:val="clear" w:color="auto" w:fill="FFFFFF"/>
        </w:rPr>
      </w:pPr>
      <w:bookmarkStart w:id="0" w:name="_Hlk531772168"/>
      <w:r w:rsidRPr="00271C86">
        <w:rPr>
          <w:rFonts w:ascii="Times New Roman" w:hAnsi="Times New Roman" w:cs="Times New Roman"/>
          <w:sz w:val="28"/>
          <w:szCs w:val="28"/>
          <w:shd w:val="clear" w:color="auto" w:fill="FFFFFF"/>
        </w:rPr>
        <w:t>papildināt pantu ar devīto un desmito daļu šādā redakcijā:</w:t>
      </w:r>
    </w:p>
    <w:p w14:paraId="48C8BDCF" w14:textId="77777777" w:rsidR="000849EB" w:rsidRPr="00271C86" w:rsidRDefault="000849EB" w:rsidP="000849EB">
      <w:pPr>
        <w:spacing w:after="0" w:line="240" w:lineRule="auto"/>
        <w:ind w:firstLine="720"/>
        <w:jc w:val="both"/>
        <w:rPr>
          <w:rFonts w:ascii="Times New Roman" w:hAnsi="Times New Roman" w:cs="Times New Roman"/>
          <w:sz w:val="28"/>
          <w:szCs w:val="28"/>
          <w:shd w:val="clear" w:color="auto" w:fill="FFFFFF"/>
        </w:rPr>
      </w:pPr>
    </w:p>
    <w:p w14:paraId="58267CDF" w14:textId="77777777" w:rsidR="000849EB" w:rsidRPr="00271C86" w:rsidRDefault="000849EB" w:rsidP="000849EB">
      <w:pPr>
        <w:spacing w:after="0" w:line="240" w:lineRule="auto"/>
        <w:ind w:firstLine="720"/>
        <w:jc w:val="both"/>
        <w:rPr>
          <w:rFonts w:ascii="Times New Roman" w:hAnsi="Times New Roman" w:cs="Times New Roman"/>
          <w:sz w:val="28"/>
          <w:szCs w:val="28"/>
        </w:rPr>
      </w:pPr>
      <w:r w:rsidRPr="00271C86">
        <w:rPr>
          <w:rFonts w:ascii="Times New Roman" w:hAnsi="Times New Roman" w:cs="Times New Roman"/>
          <w:sz w:val="28"/>
          <w:szCs w:val="28"/>
          <w:shd w:val="clear" w:color="auto" w:fill="FFFFFF"/>
        </w:rPr>
        <w:t>"</w:t>
      </w:r>
      <w:r w:rsidRPr="00271C86">
        <w:rPr>
          <w:rFonts w:ascii="Times New Roman" w:hAnsi="Times New Roman" w:cs="Times New Roman"/>
          <w:sz w:val="28"/>
          <w:szCs w:val="28"/>
        </w:rPr>
        <w:t>Izložu un azartspēļu nodevu iemaksā valsts budžetā valsts nodevas administrācijas norādītajā budžeta kontā.</w:t>
      </w:r>
    </w:p>
    <w:bookmarkEnd w:id="0"/>
    <w:p w14:paraId="57916C93" w14:textId="77777777" w:rsidR="000849EB" w:rsidRPr="00271C86" w:rsidRDefault="000849EB" w:rsidP="000849EB">
      <w:pPr>
        <w:spacing w:after="0" w:line="240" w:lineRule="auto"/>
        <w:ind w:firstLine="720"/>
        <w:jc w:val="both"/>
        <w:rPr>
          <w:rFonts w:ascii="Times New Roman" w:eastAsia="Times New Roman" w:hAnsi="Times New Roman" w:cs="Times New Roman"/>
          <w:sz w:val="28"/>
          <w:szCs w:val="28"/>
          <w:lang w:eastAsia="lv-LV"/>
        </w:rPr>
      </w:pPr>
      <w:r w:rsidRPr="00271C86">
        <w:rPr>
          <w:rFonts w:ascii="Times New Roman" w:eastAsia="Times New Roman" w:hAnsi="Times New Roman" w:cs="Times New Roman"/>
          <w:sz w:val="28"/>
          <w:szCs w:val="28"/>
          <w:lang w:eastAsia="lv-LV"/>
        </w:rPr>
        <w:t xml:space="preserve">Soda naudu par šā likuma pārkāpumiem un nokavējuma naudu, kas saistīta ar </w:t>
      </w:r>
      <w:r w:rsidRPr="00271C86">
        <w:rPr>
          <w:rFonts w:ascii="Times New Roman" w:hAnsi="Times New Roman" w:cs="Times New Roman"/>
          <w:sz w:val="28"/>
          <w:szCs w:val="28"/>
          <w:shd w:val="clear" w:color="auto" w:fill="FFFFFF"/>
        </w:rPr>
        <w:t>izložu un azartspēļu nodokli</w:t>
      </w:r>
      <w:r w:rsidRPr="00271C86">
        <w:rPr>
          <w:rFonts w:ascii="Times New Roman" w:eastAsia="Times New Roman" w:hAnsi="Times New Roman" w:cs="Times New Roman"/>
          <w:sz w:val="28"/>
          <w:szCs w:val="28"/>
          <w:lang w:eastAsia="lv-LV"/>
        </w:rPr>
        <w:t>, i</w:t>
      </w:r>
      <w:r w:rsidRPr="00271C86">
        <w:rPr>
          <w:rFonts w:ascii="Times New Roman" w:hAnsi="Times New Roman" w:cs="Times New Roman"/>
          <w:sz w:val="28"/>
          <w:szCs w:val="28"/>
        </w:rPr>
        <w:t>zložu un azartspēļu organizētājs</w:t>
      </w:r>
      <w:r w:rsidRPr="00271C86">
        <w:rPr>
          <w:rFonts w:ascii="Times New Roman" w:eastAsia="Times New Roman" w:hAnsi="Times New Roman" w:cs="Times New Roman"/>
          <w:sz w:val="28"/>
          <w:szCs w:val="28"/>
          <w:lang w:eastAsia="lv-LV"/>
        </w:rPr>
        <w:t xml:space="preserve"> iemaksā </w:t>
      </w:r>
      <w:r w:rsidRPr="00271C86">
        <w:rPr>
          <w:rFonts w:ascii="Times New Roman" w:hAnsi="Times New Roman" w:cs="Times New Roman"/>
          <w:sz w:val="28"/>
          <w:szCs w:val="28"/>
          <w:shd w:val="clear" w:color="auto" w:fill="FFFFFF"/>
        </w:rPr>
        <w:t>vienotajā nodokļu kontā."</w:t>
      </w:r>
    </w:p>
    <w:p w14:paraId="00FF1D05" w14:textId="77777777" w:rsidR="000849EB" w:rsidRPr="00271C86" w:rsidRDefault="000849EB" w:rsidP="000849EB">
      <w:pPr>
        <w:spacing w:after="0" w:line="240" w:lineRule="auto"/>
        <w:ind w:firstLine="720"/>
        <w:jc w:val="both"/>
        <w:rPr>
          <w:rFonts w:ascii="Times New Roman" w:hAnsi="Times New Roman" w:cs="Times New Roman"/>
          <w:sz w:val="28"/>
          <w:szCs w:val="28"/>
          <w:shd w:val="clear" w:color="auto" w:fill="FFFFFF"/>
        </w:rPr>
      </w:pPr>
    </w:p>
    <w:p w14:paraId="56090595" w14:textId="77777777" w:rsidR="000849EB" w:rsidRPr="00271C86" w:rsidRDefault="000849EB" w:rsidP="000849EB">
      <w:pPr>
        <w:spacing w:after="0" w:line="240" w:lineRule="auto"/>
        <w:ind w:left="720"/>
        <w:jc w:val="both"/>
        <w:rPr>
          <w:rFonts w:ascii="Times New Roman" w:hAnsi="Times New Roman" w:cs="Times New Roman"/>
          <w:sz w:val="28"/>
          <w:szCs w:val="28"/>
        </w:rPr>
      </w:pPr>
      <w:r w:rsidRPr="00271C86">
        <w:rPr>
          <w:rFonts w:ascii="Times New Roman" w:hAnsi="Times New Roman" w:cs="Times New Roman"/>
          <w:sz w:val="28"/>
          <w:szCs w:val="28"/>
        </w:rPr>
        <w:t>2. Izteikt 12. pantu šādā redakcijā:</w:t>
      </w:r>
    </w:p>
    <w:p w14:paraId="33280AE2" w14:textId="77777777" w:rsidR="000849EB" w:rsidRPr="00271C86" w:rsidRDefault="000849EB" w:rsidP="000849EB">
      <w:pPr>
        <w:pStyle w:val="ListParagraph"/>
        <w:spacing w:after="0" w:line="240" w:lineRule="auto"/>
        <w:ind w:left="0" w:firstLine="720"/>
        <w:jc w:val="both"/>
        <w:rPr>
          <w:rFonts w:ascii="Times New Roman" w:hAnsi="Times New Roman" w:cs="Times New Roman"/>
          <w:sz w:val="28"/>
          <w:szCs w:val="28"/>
        </w:rPr>
      </w:pPr>
    </w:p>
    <w:p w14:paraId="223658AB" w14:textId="77777777" w:rsidR="000849EB" w:rsidRPr="00271C86" w:rsidRDefault="000849EB" w:rsidP="000849EB">
      <w:pPr>
        <w:spacing w:after="0" w:line="240" w:lineRule="auto"/>
        <w:ind w:firstLine="720"/>
        <w:jc w:val="both"/>
        <w:rPr>
          <w:rFonts w:ascii="Times New Roman" w:hAnsi="Times New Roman" w:cs="Times New Roman"/>
          <w:sz w:val="28"/>
          <w:szCs w:val="28"/>
        </w:rPr>
      </w:pPr>
      <w:r w:rsidRPr="00271C86">
        <w:rPr>
          <w:rFonts w:ascii="Times New Roman" w:hAnsi="Times New Roman" w:cs="Times New Roman"/>
          <w:sz w:val="28"/>
          <w:szCs w:val="28"/>
        </w:rPr>
        <w:t>"</w:t>
      </w:r>
      <w:bookmarkStart w:id="1" w:name="_Hlk509479547"/>
      <w:r w:rsidRPr="00271C86">
        <w:rPr>
          <w:rFonts w:ascii="Times New Roman" w:hAnsi="Times New Roman" w:cs="Times New Roman"/>
          <w:b/>
          <w:sz w:val="28"/>
          <w:szCs w:val="28"/>
        </w:rPr>
        <w:t>12. pants.</w:t>
      </w:r>
      <w:r w:rsidRPr="00271C86">
        <w:rPr>
          <w:rFonts w:ascii="Times New Roman" w:hAnsi="Times New Roman" w:cs="Times New Roman"/>
          <w:sz w:val="28"/>
          <w:szCs w:val="28"/>
        </w:rPr>
        <w:t> Izložu un azartspēļu nodevas ieņēmumi 100 procentu apmērā tiek ieskaitīti valsts pamatbudžetā.</w:t>
      </w:r>
    </w:p>
    <w:p w14:paraId="19F4666C" w14:textId="77777777" w:rsidR="000849EB" w:rsidRPr="00271C86" w:rsidRDefault="000849EB" w:rsidP="000849EB">
      <w:pPr>
        <w:spacing w:after="0" w:line="240" w:lineRule="auto"/>
        <w:ind w:firstLine="720"/>
        <w:jc w:val="both"/>
        <w:rPr>
          <w:rFonts w:ascii="Times New Roman" w:hAnsi="Times New Roman" w:cs="Times New Roman"/>
          <w:spacing w:val="-2"/>
          <w:sz w:val="28"/>
          <w:szCs w:val="28"/>
        </w:rPr>
      </w:pPr>
      <w:r w:rsidRPr="00271C86">
        <w:rPr>
          <w:rFonts w:ascii="Times New Roman" w:hAnsi="Times New Roman" w:cs="Times New Roman"/>
          <w:sz w:val="28"/>
          <w:szCs w:val="28"/>
        </w:rPr>
        <w:t>Izložu nodokļa ieņēmumus</w:t>
      </w:r>
      <w:r w:rsidRPr="00271C86">
        <w:rPr>
          <w:rFonts w:ascii="Times New Roman" w:hAnsi="Times New Roman" w:cs="Times New Roman"/>
          <w:sz w:val="28"/>
          <w:szCs w:val="28"/>
          <w:shd w:val="clear" w:color="auto" w:fill="FFFFFF"/>
        </w:rPr>
        <w:t xml:space="preserve"> </w:t>
      </w:r>
      <w:r w:rsidRPr="00271C86">
        <w:rPr>
          <w:rFonts w:ascii="Times New Roman" w:hAnsi="Times New Roman" w:cs="Times New Roman"/>
          <w:sz w:val="28"/>
          <w:szCs w:val="28"/>
        </w:rPr>
        <w:t xml:space="preserve">par </w:t>
      </w:r>
      <w:r w:rsidRPr="00271C86">
        <w:rPr>
          <w:rFonts w:ascii="Times New Roman" w:eastAsia="Times New Roman" w:hAnsi="Times New Roman" w:cs="Times New Roman"/>
          <w:sz w:val="28"/>
          <w:szCs w:val="28"/>
          <w:lang w:eastAsia="lv-LV"/>
        </w:rPr>
        <w:t xml:space="preserve">valsts mēroga </w:t>
      </w:r>
      <w:r w:rsidRPr="00271C86">
        <w:rPr>
          <w:rFonts w:ascii="Times New Roman" w:hAnsi="Times New Roman" w:cs="Times New Roman"/>
          <w:sz w:val="28"/>
          <w:szCs w:val="28"/>
        </w:rPr>
        <w:t xml:space="preserve">izložu (arī momentloteriju) </w:t>
      </w:r>
      <w:r w:rsidRPr="00271C86">
        <w:rPr>
          <w:rFonts w:ascii="Times New Roman" w:hAnsi="Times New Roman" w:cs="Times New Roman"/>
          <w:spacing w:val="-2"/>
          <w:sz w:val="28"/>
          <w:szCs w:val="28"/>
        </w:rPr>
        <w:t>organizēšanu 100 procentu apmērā attiecina uz valsts pamatbudžeta ieņēmumiem.</w:t>
      </w:r>
    </w:p>
    <w:bookmarkEnd w:id="1"/>
    <w:p w14:paraId="500A0FF4" w14:textId="77777777" w:rsidR="000849EB" w:rsidRPr="00271C86" w:rsidRDefault="000849EB" w:rsidP="000849EB">
      <w:pPr>
        <w:spacing w:after="0" w:line="240" w:lineRule="auto"/>
        <w:ind w:firstLine="720"/>
        <w:jc w:val="both"/>
        <w:rPr>
          <w:rFonts w:ascii="Times New Roman" w:hAnsi="Times New Roman" w:cs="Times New Roman"/>
          <w:sz w:val="28"/>
          <w:szCs w:val="28"/>
        </w:rPr>
      </w:pPr>
      <w:r w:rsidRPr="00271C86">
        <w:rPr>
          <w:rFonts w:ascii="Times New Roman" w:hAnsi="Times New Roman" w:cs="Times New Roman"/>
          <w:sz w:val="28"/>
          <w:szCs w:val="28"/>
        </w:rPr>
        <w:t>Azartspēļu nodokļa ieņēmumus par šā likuma 3. panta piektajā daļā minēto objektu</w:t>
      </w:r>
      <w:r w:rsidRPr="00271C86">
        <w:rPr>
          <w:rFonts w:ascii="Times New Roman" w:eastAsia="Times New Roman" w:hAnsi="Times New Roman" w:cs="Times New Roman"/>
          <w:sz w:val="28"/>
          <w:szCs w:val="28"/>
          <w:lang w:eastAsia="lv-LV"/>
        </w:rPr>
        <w:t xml:space="preserve"> </w:t>
      </w:r>
      <w:r w:rsidRPr="00271C86">
        <w:rPr>
          <w:rFonts w:ascii="Times New Roman" w:hAnsi="Times New Roman" w:cs="Times New Roman"/>
          <w:sz w:val="28"/>
          <w:szCs w:val="28"/>
        </w:rPr>
        <w:t>100 procentu apmērā attiecina uz valsts pamatbudžeta ieņēmumiem.</w:t>
      </w:r>
    </w:p>
    <w:p w14:paraId="2D12F1DD" w14:textId="77777777" w:rsidR="000849EB" w:rsidRPr="00271C86" w:rsidRDefault="000849EB" w:rsidP="000849EB">
      <w:pPr>
        <w:spacing w:after="0" w:line="240" w:lineRule="auto"/>
        <w:ind w:firstLine="720"/>
        <w:jc w:val="both"/>
        <w:rPr>
          <w:rFonts w:ascii="Times New Roman" w:hAnsi="Times New Roman" w:cs="Times New Roman"/>
          <w:sz w:val="28"/>
          <w:szCs w:val="28"/>
        </w:rPr>
      </w:pPr>
      <w:r w:rsidRPr="00271C86">
        <w:rPr>
          <w:rFonts w:ascii="Times New Roman" w:hAnsi="Times New Roman" w:cs="Times New Roman"/>
          <w:sz w:val="28"/>
          <w:szCs w:val="28"/>
        </w:rPr>
        <w:t>Izložu nodokļa ieņēmumus par vietējā mēroga izložu (arī momentloteriju) organizēšanu un azartspēļu nodokļa ieņēmumus (izņemot azartspēļu nodokļa ieņēmumus par šā likuma 3. p</w:t>
      </w:r>
      <w:bookmarkStart w:id="2" w:name="_GoBack"/>
      <w:bookmarkEnd w:id="2"/>
      <w:r w:rsidRPr="00271C86">
        <w:rPr>
          <w:rFonts w:ascii="Times New Roman" w:hAnsi="Times New Roman" w:cs="Times New Roman"/>
          <w:sz w:val="28"/>
          <w:szCs w:val="28"/>
        </w:rPr>
        <w:t>anta piektajā daļā minēto objektu) Valsts ieņēmumu dienests atbilstoši šā panta piektajai un sestajai daļai sadala pa pašvaldību budžetiem un attiecina uz valsts pamatbudžeta ieņēmumiem.</w:t>
      </w:r>
    </w:p>
    <w:p w14:paraId="4AD5662E" w14:textId="77777777" w:rsidR="000849EB" w:rsidRPr="00271C86" w:rsidRDefault="000849EB" w:rsidP="000849EB">
      <w:pPr>
        <w:spacing w:after="0" w:line="240" w:lineRule="auto"/>
        <w:ind w:firstLine="720"/>
        <w:jc w:val="both"/>
        <w:rPr>
          <w:rFonts w:ascii="Times New Roman" w:hAnsi="Times New Roman" w:cs="Times New Roman"/>
          <w:spacing w:val="-2"/>
          <w:sz w:val="28"/>
          <w:szCs w:val="28"/>
        </w:rPr>
      </w:pPr>
      <w:bookmarkStart w:id="3" w:name="_Hlk509479707"/>
      <w:r w:rsidRPr="00271C86">
        <w:rPr>
          <w:rFonts w:ascii="Times New Roman" w:hAnsi="Times New Roman" w:cs="Times New Roman"/>
          <w:spacing w:val="-2"/>
          <w:sz w:val="28"/>
          <w:szCs w:val="28"/>
        </w:rPr>
        <w:lastRenderedPageBreak/>
        <w:t xml:space="preserve">Valsts ieņēmumu dienests divu darba dienu laikā pēc </w:t>
      </w:r>
      <w:r w:rsidRPr="00271C86">
        <w:rPr>
          <w:rFonts w:ascii="Times New Roman" w:hAnsi="Times New Roman" w:cs="Times New Roman"/>
          <w:iCs/>
          <w:spacing w:val="-2"/>
          <w:sz w:val="28"/>
          <w:szCs w:val="28"/>
          <w:lang w:eastAsia="lv-LV"/>
        </w:rPr>
        <w:t>šā likuma 10. panta septītajā daļā noteiktā izložu un azartspēļu nodokļa samaksas termiņa</w:t>
      </w:r>
      <w:r w:rsidRPr="00271C86">
        <w:rPr>
          <w:rFonts w:ascii="Times New Roman" w:hAnsi="Times New Roman" w:cs="Times New Roman"/>
          <w:spacing w:val="-2"/>
          <w:sz w:val="28"/>
          <w:szCs w:val="28"/>
        </w:rPr>
        <w:t xml:space="preserve"> sadala un attiecina nodokļa ieņēmumus:</w:t>
      </w:r>
    </w:p>
    <w:p w14:paraId="77BDC3B5" w14:textId="77777777" w:rsidR="000849EB" w:rsidRPr="00271C86" w:rsidRDefault="000849EB" w:rsidP="000849EB">
      <w:pPr>
        <w:spacing w:after="0" w:line="240" w:lineRule="auto"/>
        <w:ind w:firstLine="720"/>
        <w:jc w:val="both"/>
        <w:rPr>
          <w:rFonts w:ascii="Times New Roman" w:hAnsi="Times New Roman" w:cs="Times New Roman"/>
          <w:sz w:val="28"/>
          <w:szCs w:val="28"/>
        </w:rPr>
      </w:pPr>
      <w:r w:rsidRPr="00271C86">
        <w:rPr>
          <w:rFonts w:ascii="Times New Roman" w:hAnsi="Times New Roman" w:cs="Times New Roman"/>
          <w:sz w:val="28"/>
          <w:szCs w:val="28"/>
        </w:rPr>
        <w:t>1) izložu nodokļa ieņēmumus par vietējā mēroga izložu (arī moment</w:t>
      </w:r>
      <w:r w:rsidRPr="00271C86">
        <w:rPr>
          <w:rFonts w:ascii="Times New Roman" w:hAnsi="Times New Roman" w:cs="Times New Roman"/>
          <w:sz w:val="28"/>
          <w:szCs w:val="28"/>
        </w:rPr>
        <w:softHyphen/>
        <w:t>loteriju) organizēšanu 100 procentu apmērā ieskaitot tās pašvaldības budžetā, kuras teritorijā tika organizēta izloze (arī momentloterija);</w:t>
      </w:r>
    </w:p>
    <w:bookmarkEnd w:id="3"/>
    <w:p w14:paraId="4609DE28" w14:textId="77777777" w:rsidR="000849EB" w:rsidRPr="00271C86" w:rsidRDefault="000849EB" w:rsidP="000849EB">
      <w:pPr>
        <w:spacing w:after="0" w:line="240" w:lineRule="auto"/>
        <w:ind w:firstLine="720"/>
        <w:jc w:val="both"/>
        <w:rPr>
          <w:rFonts w:ascii="Times New Roman" w:hAnsi="Times New Roman" w:cs="Times New Roman"/>
          <w:sz w:val="28"/>
          <w:szCs w:val="28"/>
        </w:rPr>
      </w:pPr>
      <w:r w:rsidRPr="00271C86">
        <w:rPr>
          <w:rFonts w:ascii="Times New Roman" w:hAnsi="Times New Roman" w:cs="Times New Roman"/>
          <w:sz w:val="28"/>
          <w:szCs w:val="28"/>
        </w:rPr>
        <w:t>2) azartspēļu nodokļa ieņēmumus (izņemot azartspēļu nodokļa ieņēmumus par šā likuma 3. panta piektajā daļā minēto objektu) 25 procentu apmērā ieskaitot tās pašvaldības budžetā, kuras teritorijā tika organizēta azartspēle, bet 75 procentu apmērā attiecinot uz valsts pamatbudžeta ieņēmumiem.</w:t>
      </w:r>
    </w:p>
    <w:p w14:paraId="039C717D" w14:textId="77777777" w:rsidR="000849EB" w:rsidRPr="00271C86" w:rsidRDefault="000849EB" w:rsidP="000849EB">
      <w:pPr>
        <w:spacing w:after="0" w:line="240" w:lineRule="auto"/>
        <w:ind w:firstLine="720"/>
        <w:jc w:val="both"/>
        <w:rPr>
          <w:rFonts w:ascii="Times New Roman" w:hAnsi="Times New Roman" w:cs="Times New Roman"/>
          <w:sz w:val="28"/>
          <w:szCs w:val="28"/>
        </w:rPr>
      </w:pPr>
      <w:r w:rsidRPr="00271C86">
        <w:rPr>
          <w:rFonts w:ascii="Times New Roman" w:hAnsi="Times New Roman" w:cs="Times New Roman"/>
          <w:sz w:val="28"/>
          <w:szCs w:val="28"/>
        </w:rPr>
        <w:t>Valsts ieņēmumu dienests, veicot šā panta piektajā daļā noteikto nodokļa ieņēmumu sadali atbilstoši izložu un azartspēļu organizētāja faktiski veiktajiem nodokļu maksājumiem</w:t>
      </w:r>
      <w:proofErr w:type="gramStart"/>
      <w:r w:rsidRPr="00271C86">
        <w:rPr>
          <w:rFonts w:ascii="Times New Roman" w:hAnsi="Times New Roman" w:cs="Times New Roman"/>
          <w:sz w:val="28"/>
          <w:szCs w:val="28"/>
        </w:rPr>
        <w:t xml:space="preserve"> un</w:t>
      </w:r>
      <w:proofErr w:type="gramEnd"/>
      <w:r w:rsidRPr="00271C86">
        <w:rPr>
          <w:rFonts w:ascii="Times New Roman" w:hAnsi="Times New Roman" w:cs="Times New Roman"/>
          <w:sz w:val="28"/>
          <w:szCs w:val="28"/>
        </w:rPr>
        <w:t xml:space="preserve"> saskaņā ar šā likuma 10. panta sestajā daļā minēto pārskatu, </w:t>
      </w:r>
      <w:bookmarkStart w:id="4" w:name="_Hlk509480452"/>
      <w:r w:rsidRPr="00271C86">
        <w:rPr>
          <w:rFonts w:ascii="Times New Roman" w:hAnsi="Times New Roman" w:cs="Times New Roman"/>
          <w:sz w:val="28"/>
          <w:szCs w:val="28"/>
        </w:rPr>
        <w:t>uz konkrēto pašvaldību attiecina samaksāto nodokļa summu, tikai pamatojoties uz tā pārskata informāciju, par kuru veikts attiecīgais maksājums</w:t>
      </w:r>
      <w:bookmarkEnd w:id="4"/>
      <w:r w:rsidRPr="00271C86">
        <w:rPr>
          <w:rFonts w:ascii="Times New Roman" w:hAnsi="Times New Roman" w:cs="Times New Roman"/>
          <w:sz w:val="28"/>
          <w:szCs w:val="28"/>
        </w:rPr>
        <w:t>, kā arī ievērojot uz konkrēto pašvaldību attiecināmās daļas īpatsvaru procentos no kopējās pārskatā norādītās nodokļa summas. </w:t>
      </w:r>
    </w:p>
    <w:p w14:paraId="23BA6A6E" w14:textId="77777777" w:rsidR="000849EB" w:rsidRPr="00271C86" w:rsidRDefault="000849EB" w:rsidP="000849EB">
      <w:pPr>
        <w:spacing w:after="0" w:line="240" w:lineRule="auto"/>
        <w:ind w:firstLine="720"/>
        <w:jc w:val="both"/>
        <w:rPr>
          <w:rFonts w:ascii="Times New Roman" w:eastAsia="Times New Roman" w:hAnsi="Times New Roman" w:cs="Times New Roman"/>
          <w:sz w:val="28"/>
          <w:szCs w:val="28"/>
          <w:lang w:eastAsia="lv-LV"/>
        </w:rPr>
      </w:pPr>
      <w:r w:rsidRPr="00271C86">
        <w:rPr>
          <w:rFonts w:ascii="Times New Roman" w:eastAsia="Times New Roman" w:hAnsi="Times New Roman" w:cs="Times New Roman"/>
          <w:sz w:val="28"/>
          <w:szCs w:val="28"/>
          <w:lang w:eastAsia="lv-LV"/>
        </w:rPr>
        <w:t xml:space="preserve">Soda naudu par šā likuma pārkāpumiem un nokavējuma naudu, kas saistīta ar </w:t>
      </w:r>
      <w:r w:rsidRPr="00271C86">
        <w:rPr>
          <w:rFonts w:ascii="Times New Roman" w:hAnsi="Times New Roman" w:cs="Times New Roman"/>
          <w:sz w:val="28"/>
          <w:szCs w:val="28"/>
          <w:shd w:val="clear" w:color="auto" w:fill="FFFFFF"/>
        </w:rPr>
        <w:t>izložu un azartspēļu nodokli</w:t>
      </w:r>
      <w:r w:rsidRPr="00271C86">
        <w:rPr>
          <w:rFonts w:ascii="Times New Roman" w:eastAsia="Times New Roman" w:hAnsi="Times New Roman" w:cs="Times New Roman"/>
          <w:sz w:val="28"/>
          <w:szCs w:val="28"/>
          <w:lang w:eastAsia="lv-LV"/>
        </w:rPr>
        <w:t xml:space="preserve">, Valsts ieņēmumu dienests </w:t>
      </w:r>
      <w:r w:rsidRPr="00271C86">
        <w:rPr>
          <w:rFonts w:ascii="Times New Roman" w:hAnsi="Times New Roman" w:cs="Times New Roman"/>
          <w:sz w:val="28"/>
          <w:szCs w:val="28"/>
        </w:rPr>
        <w:t>attiecina uz valsts pamatbudžeta ieņēmumiem.</w:t>
      </w:r>
      <w:r w:rsidRPr="00271C86">
        <w:rPr>
          <w:rFonts w:ascii="Times New Roman" w:eastAsia="Times New Roman" w:hAnsi="Times New Roman" w:cs="Times New Roman"/>
          <w:sz w:val="28"/>
          <w:szCs w:val="28"/>
          <w:lang w:eastAsia="lv-LV"/>
        </w:rPr>
        <w:t>"</w:t>
      </w:r>
    </w:p>
    <w:p w14:paraId="4191C345" w14:textId="77777777" w:rsidR="000849EB" w:rsidRPr="00271C86" w:rsidRDefault="000849EB" w:rsidP="000849EB">
      <w:pPr>
        <w:spacing w:after="0" w:line="240" w:lineRule="auto"/>
        <w:ind w:firstLine="720"/>
        <w:jc w:val="both"/>
        <w:rPr>
          <w:rFonts w:ascii="Times New Roman" w:eastAsia="Times New Roman" w:hAnsi="Times New Roman" w:cs="Times New Roman"/>
          <w:sz w:val="28"/>
          <w:szCs w:val="28"/>
          <w:lang w:eastAsia="lv-LV"/>
        </w:rPr>
      </w:pPr>
    </w:p>
    <w:p w14:paraId="0FFD0895" w14:textId="77777777" w:rsidR="000849EB" w:rsidRPr="00271C86" w:rsidRDefault="000849EB" w:rsidP="000849EB">
      <w:pPr>
        <w:spacing w:after="0" w:line="240" w:lineRule="auto"/>
        <w:ind w:firstLine="720"/>
        <w:jc w:val="both"/>
        <w:rPr>
          <w:rFonts w:ascii="Times New Roman" w:hAnsi="Times New Roman" w:cs="Times New Roman"/>
          <w:sz w:val="28"/>
          <w:szCs w:val="28"/>
        </w:rPr>
      </w:pPr>
      <w:r w:rsidRPr="00271C86">
        <w:rPr>
          <w:rFonts w:ascii="Times New Roman" w:hAnsi="Times New Roman" w:cs="Times New Roman"/>
          <w:sz w:val="28"/>
          <w:szCs w:val="28"/>
          <w:shd w:val="clear" w:color="auto" w:fill="FFFFFF"/>
        </w:rPr>
        <w:t>Likums stājas spēkā 2021. gada 1. janvārī.</w:t>
      </w:r>
    </w:p>
    <w:p w14:paraId="793EFFC9" w14:textId="77777777" w:rsidR="000849EB" w:rsidRPr="00271C86" w:rsidRDefault="000849EB" w:rsidP="000849EB">
      <w:pPr>
        <w:spacing w:after="0" w:line="240" w:lineRule="auto"/>
        <w:ind w:firstLine="720"/>
        <w:jc w:val="both"/>
        <w:rPr>
          <w:rFonts w:ascii="Times New Roman" w:hAnsi="Times New Roman" w:cs="Times New Roman"/>
          <w:sz w:val="28"/>
          <w:szCs w:val="28"/>
        </w:rPr>
      </w:pPr>
    </w:p>
    <w:p w14:paraId="00E7C30D" w14:textId="77777777" w:rsidR="000849EB" w:rsidRPr="00271C86" w:rsidRDefault="000849EB" w:rsidP="000849EB">
      <w:pPr>
        <w:spacing w:after="0" w:line="240" w:lineRule="auto"/>
        <w:ind w:firstLine="720"/>
        <w:jc w:val="both"/>
        <w:rPr>
          <w:rFonts w:ascii="Times New Roman" w:hAnsi="Times New Roman" w:cs="Times New Roman"/>
          <w:sz w:val="28"/>
          <w:szCs w:val="28"/>
        </w:rPr>
      </w:pPr>
    </w:p>
    <w:p w14:paraId="5632751B" w14:textId="77777777" w:rsidR="000849EB" w:rsidRPr="00271C86" w:rsidRDefault="000849EB" w:rsidP="000849EB">
      <w:pPr>
        <w:spacing w:after="0" w:line="240" w:lineRule="auto"/>
        <w:ind w:firstLine="720"/>
        <w:jc w:val="both"/>
        <w:rPr>
          <w:rFonts w:ascii="Times New Roman" w:hAnsi="Times New Roman" w:cs="Times New Roman"/>
          <w:sz w:val="28"/>
          <w:szCs w:val="28"/>
        </w:rPr>
      </w:pPr>
    </w:p>
    <w:p w14:paraId="505C5C6D" w14:textId="77777777" w:rsidR="00FC220A" w:rsidRPr="00271C86" w:rsidRDefault="00FC220A" w:rsidP="007F7B60">
      <w:pPr>
        <w:tabs>
          <w:tab w:val="left" w:pos="6521"/>
          <w:tab w:val="right" w:pos="8820"/>
        </w:tabs>
        <w:spacing w:after="0" w:line="240" w:lineRule="auto"/>
        <w:ind w:firstLine="709"/>
        <w:rPr>
          <w:rFonts w:ascii="Times New Roman" w:hAnsi="Times New Roman"/>
          <w:sz w:val="28"/>
          <w:szCs w:val="28"/>
        </w:rPr>
      </w:pPr>
      <w:r w:rsidRPr="00271C86">
        <w:rPr>
          <w:rFonts w:ascii="Times New Roman" w:hAnsi="Times New Roman"/>
          <w:sz w:val="28"/>
          <w:szCs w:val="28"/>
        </w:rPr>
        <w:t>Finanšu ministre</w:t>
      </w:r>
    </w:p>
    <w:p w14:paraId="56E4CDEF" w14:textId="4770E05E" w:rsidR="00FC220A" w:rsidRPr="00271C86" w:rsidRDefault="00FC220A" w:rsidP="007F7B60">
      <w:pPr>
        <w:tabs>
          <w:tab w:val="left" w:pos="6521"/>
          <w:tab w:val="right" w:pos="8820"/>
        </w:tabs>
        <w:spacing w:after="0" w:line="240" w:lineRule="auto"/>
        <w:ind w:firstLine="709"/>
        <w:rPr>
          <w:rFonts w:ascii="Times New Roman" w:hAnsi="Times New Roman"/>
          <w:sz w:val="28"/>
          <w:szCs w:val="28"/>
        </w:rPr>
      </w:pPr>
      <w:r w:rsidRPr="00271C86">
        <w:rPr>
          <w:rFonts w:ascii="Times New Roman" w:hAnsi="Times New Roman"/>
          <w:sz w:val="28"/>
          <w:szCs w:val="28"/>
        </w:rPr>
        <w:t>Dana Reizniece-Ozola</w:t>
      </w:r>
    </w:p>
    <w:sectPr w:rsidR="00FC220A" w:rsidRPr="00271C86" w:rsidSect="00024A85">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87CD6" w14:textId="77777777" w:rsidR="00C0090B" w:rsidRDefault="00C0090B" w:rsidP="00A10308">
      <w:pPr>
        <w:spacing w:after="0" w:line="240" w:lineRule="auto"/>
      </w:pPr>
      <w:r>
        <w:separator/>
      </w:r>
    </w:p>
  </w:endnote>
  <w:endnote w:type="continuationSeparator" w:id="0">
    <w:p w14:paraId="7B3F0D49" w14:textId="77777777" w:rsidR="00C0090B" w:rsidRDefault="00C0090B" w:rsidP="00A1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57C2" w14:textId="6B66830A" w:rsidR="00FC220A" w:rsidRPr="00FC220A" w:rsidRDefault="00FC220A">
    <w:pPr>
      <w:pStyle w:val="Footer"/>
      <w:rPr>
        <w:rFonts w:ascii="Times New Roman" w:hAnsi="Times New Roman" w:cs="Times New Roman"/>
        <w:sz w:val="16"/>
        <w:szCs w:val="16"/>
      </w:rPr>
    </w:pPr>
    <w:r w:rsidRPr="00FC220A">
      <w:rPr>
        <w:rFonts w:ascii="Times New Roman" w:hAnsi="Times New Roman" w:cs="Times New Roman"/>
        <w:sz w:val="16"/>
        <w:szCs w:val="16"/>
      </w:rPr>
      <w:t>L2509_8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6768" w14:textId="0AEC266A" w:rsidR="00FC220A" w:rsidRPr="00FC220A" w:rsidRDefault="00FC220A">
    <w:pPr>
      <w:pStyle w:val="Footer"/>
      <w:rPr>
        <w:rFonts w:ascii="Times New Roman" w:hAnsi="Times New Roman" w:cs="Times New Roman"/>
        <w:sz w:val="16"/>
        <w:szCs w:val="16"/>
      </w:rPr>
    </w:pPr>
    <w:r w:rsidRPr="00FC220A">
      <w:rPr>
        <w:rFonts w:ascii="Times New Roman" w:hAnsi="Times New Roman" w:cs="Times New Roman"/>
        <w:sz w:val="16"/>
        <w:szCs w:val="16"/>
      </w:rPr>
      <w:t>L2509_8</w:t>
    </w:r>
    <w:proofErr w:type="gramStart"/>
    <w:r>
      <w:rPr>
        <w:rFonts w:ascii="Times New Roman" w:hAnsi="Times New Roman" w:cs="Times New Roman"/>
        <w:sz w:val="16"/>
        <w:szCs w:val="16"/>
      </w:rPr>
      <w:t xml:space="preserve">   </w:t>
    </w:r>
    <w:proofErr w:type="spellStart"/>
    <w:proofErr w:type="gramEnd"/>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271C86">
      <w:rPr>
        <w:rFonts w:ascii="Times New Roman" w:hAnsi="Times New Roman" w:cs="Times New Roman"/>
        <w:noProof/>
        <w:sz w:val="16"/>
        <w:szCs w:val="16"/>
      </w:rPr>
      <w:t>500</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D286" w14:textId="77777777" w:rsidR="00C0090B" w:rsidRDefault="00C0090B" w:rsidP="00A10308">
      <w:pPr>
        <w:spacing w:after="0" w:line="240" w:lineRule="auto"/>
      </w:pPr>
      <w:r>
        <w:separator/>
      </w:r>
    </w:p>
  </w:footnote>
  <w:footnote w:type="continuationSeparator" w:id="0">
    <w:p w14:paraId="31CFC2FB" w14:textId="77777777" w:rsidR="00C0090B" w:rsidRDefault="00C0090B" w:rsidP="00A10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565787"/>
      <w:docPartObj>
        <w:docPartGallery w:val="Page Numbers (Top of Page)"/>
        <w:docPartUnique/>
      </w:docPartObj>
    </w:sdtPr>
    <w:sdtEndPr>
      <w:rPr>
        <w:rFonts w:ascii="Times New Roman" w:hAnsi="Times New Roman" w:cs="Times New Roman"/>
        <w:noProof/>
      </w:rPr>
    </w:sdtEndPr>
    <w:sdtContent>
      <w:p w14:paraId="3A21881B" w14:textId="0A8D694D" w:rsidR="00BB2F15" w:rsidRPr="00F02757" w:rsidRDefault="00BB2F15">
        <w:pPr>
          <w:pStyle w:val="Header"/>
          <w:jc w:val="center"/>
          <w:rPr>
            <w:rFonts w:ascii="Times New Roman" w:hAnsi="Times New Roman" w:cs="Times New Roman"/>
          </w:rPr>
        </w:pPr>
        <w:r w:rsidRPr="00F02757">
          <w:rPr>
            <w:rFonts w:ascii="Times New Roman" w:hAnsi="Times New Roman" w:cs="Times New Roman"/>
          </w:rPr>
          <w:fldChar w:fldCharType="begin"/>
        </w:r>
        <w:r w:rsidRPr="00F02757">
          <w:rPr>
            <w:rFonts w:ascii="Times New Roman" w:hAnsi="Times New Roman" w:cs="Times New Roman"/>
          </w:rPr>
          <w:instrText xml:space="preserve"> PAGE   \* MERGEFORMAT </w:instrText>
        </w:r>
        <w:r w:rsidRPr="00F02757">
          <w:rPr>
            <w:rFonts w:ascii="Times New Roman" w:hAnsi="Times New Roman" w:cs="Times New Roman"/>
          </w:rPr>
          <w:fldChar w:fldCharType="separate"/>
        </w:r>
        <w:r w:rsidR="00FC220A">
          <w:rPr>
            <w:rFonts w:ascii="Times New Roman" w:hAnsi="Times New Roman" w:cs="Times New Roman"/>
            <w:noProof/>
          </w:rPr>
          <w:t>2</w:t>
        </w:r>
        <w:r w:rsidRPr="00F02757">
          <w:rPr>
            <w:rFonts w:ascii="Times New Roman" w:hAnsi="Times New Roman" w:cs="Times New Roman"/>
            <w:noProof/>
          </w:rPr>
          <w:fldChar w:fldCharType="end"/>
        </w:r>
      </w:p>
    </w:sdtContent>
  </w:sdt>
  <w:p w14:paraId="336F52D2" w14:textId="77777777" w:rsidR="00BB2F15" w:rsidRDefault="00BB2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2066"/>
    <w:multiLevelType w:val="hybridMultilevel"/>
    <w:tmpl w:val="254E8B4A"/>
    <w:lvl w:ilvl="0" w:tplc="CEF886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CA5174"/>
    <w:multiLevelType w:val="hybridMultilevel"/>
    <w:tmpl w:val="3DFC7E76"/>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29F6743D"/>
    <w:multiLevelType w:val="hybridMultilevel"/>
    <w:tmpl w:val="346C6F98"/>
    <w:lvl w:ilvl="0" w:tplc="0426000B">
      <w:start w:val="1"/>
      <w:numFmt w:val="bullet"/>
      <w:lvlText w:val=""/>
      <w:lvlJc w:val="left"/>
      <w:pPr>
        <w:ind w:left="2586" w:hanging="360"/>
      </w:pPr>
      <w:rPr>
        <w:rFonts w:ascii="Wingdings" w:hAnsi="Wingdings" w:hint="default"/>
      </w:rPr>
    </w:lvl>
    <w:lvl w:ilvl="1" w:tplc="04260003" w:tentative="1">
      <w:start w:val="1"/>
      <w:numFmt w:val="bullet"/>
      <w:lvlText w:val="o"/>
      <w:lvlJc w:val="left"/>
      <w:pPr>
        <w:ind w:left="3306" w:hanging="360"/>
      </w:pPr>
      <w:rPr>
        <w:rFonts w:ascii="Courier New" w:hAnsi="Courier New" w:cs="Courier New" w:hint="default"/>
      </w:rPr>
    </w:lvl>
    <w:lvl w:ilvl="2" w:tplc="04260005" w:tentative="1">
      <w:start w:val="1"/>
      <w:numFmt w:val="bullet"/>
      <w:lvlText w:val=""/>
      <w:lvlJc w:val="left"/>
      <w:pPr>
        <w:ind w:left="4026" w:hanging="360"/>
      </w:pPr>
      <w:rPr>
        <w:rFonts w:ascii="Wingdings" w:hAnsi="Wingdings" w:hint="default"/>
      </w:rPr>
    </w:lvl>
    <w:lvl w:ilvl="3" w:tplc="04260001" w:tentative="1">
      <w:start w:val="1"/>
      <w:numFmt w:val="bullet"/>
      <w:lvlText w:val=""/>
      <w:lvlJc w:val="left"/>
      <w:pPr>
        <w:ind w:left="4746" w:hanging="360"/>
      </w:pPr>
      <w:rPr>
        <w:rFonts w:ascii="Symbol" w:hAnsi="Symbol" w:hint="default"/>
      </w:rPr>
    </w:lvl>
    <w:lvl w:ilvl="4" w:tplc="04260003" w:tentative="1">
      <w:start w:val="1"/>
      <w:numFmt w:val="bullet"/>
      <w:lvlText w:val="o"/>
      <w:lvlJc w:val="left"/>
      <w:pPr>
        <w:ind w:left="5466" w:hanging="360"/>
      </w:pPr>
      <w:rPr>
        <w:rFonts w:ascii="Courier New" w:hAnsi="Courier New" w:cs="Courier New" w:hint="default"/>
      </w:rPr>
    </w:lvl>
    <w:lvl w:ilvl="5" w:tplc="04260005" w:tentative="1">
      <w:start w:val="1"/>
      <w:numFmt w:val="bullet"/>
      <w:lvlText w:val=""/>
      <w:lvlJc w:val="left"/>
      <w:pPr>
        <w:ind w:left="6186" w:hanging="360"/>
      </w:pPr>
      <w:rPr>
        <w:rFonts w:ascii="Wingdings" w:hAnsi="Wingdings" w:hint="default"/>
      </w:rPr>
    </w:lvl>
    <w:lvl w:ilvl="6" w:tplc="04260001" w:tentative="1">
      <w:start w:val="1"/>
      <w:numFmt w:val="bullet"/>
      <w:lvlText w:val=""/>
      <w:lvlJc w:val="left"/>
      <w:pPr>
        <w:ind w:left="6906" w:hanging="360"/>
      </w:pPr>
      <w:rPr>
        <w:rFonts w:ascii="Symbol" w:hAnsi="Symbol" w:hint="default"/>
      </w:rPr>
    </w:lvl>
    <w:lvl w:ilvl="7" w:tplc="04260003" w:tentative="1">
      <w:start w:val="1"/>
      <w:numFmt w:val="bullet"/>
      <w:lvlText w:val="o"/>
      <w:lvlJc w:val="left"/>
      <w:pPr>
        <w:ind w:left="7626" w:hanging="360"/>
      </w:pPr>
      <w:rPr>
        <w:rFonts w:ascii="Courier New" w:hAnsi="Courier New" w:cs="Courier New" w:hint="default"/>
      </w:rPr>
    </w:lvl>
    <w:lvl w:ilvl="8" w:tplc="04260005" w:tentative="1">
      <w:start w:val="1"/>
      <w:numFmt w:val="bullet"/>
      <w:lvlText w:val=""/>
      <w:lvlJc w:val="left"/>
      <w:pPr>
        <w:ind w:left="8346" w:hanging="360"/>
      </w:pPr>
      <w:rPr>
        <w:rFonts w:ascii="Wingdings" w:hAnsi="Wingdings" w:hint="default"/>
      </w:rPr>
    </w:lvl>
  </w:abstractNum>
  <w:abstractNum w:abstractNumId="3" w15:restartNumberingAfterBreak="0">
    <w:nsid w:val="40AB1F99"/>
    <w:multiLevelType w:val="hybridMultilevel"/>
    <w:tmpl w:val="B146436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487622C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FC2490"/>
    <w:multiLevelType w:val="hybridMultilevel"/>
    <w:tmpl w:val="C1101D3E"/>
    <w:lvl w:ilvl="0" w:tplc="04090017">
      <w:start w:val="1"/>
      <w:numFmt w:val="lowerLetter"/>
      <w:lvlText w:val="%1)"/>
      <w:lvlJc w:val="left"/>
      <w:pPr>
        <w:ind w:left="720" w:hanging="360"/>
      </w:pPr>
      <w:rPr>
        <w:b/>
      </w:rPr>
    </w:lvl>
    <w:lvl w:ilvl="1" w:tplc="94E2398C">
      <w:start w:val="1"/>
      <w:numFmt w:val="decimal"/>
      <w:lvlText w:val="%2)"/>
      <w:lvlJc w:val="left"/>
      <w:pPr>
        <w:ind w:left="1440" w:hanging="360"/>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4E7541"/>
    <w:multiLevelType w:val="hybridMultilevel"/>
    <w:tmpl w:val="8628238C"/>
    <w:lvl w:ilvl="0" w:tplc="246C8944">
      <w:start w:val="1"/>
      <w:numFmt w:val="lowerLetter"/>
      <w:lvlText w:val="%1)"/>
      <w:lvlJc w:val="left"/>
      <w:pPr>
        <w:ind w:left="360" w:hanging="360"/>
      </w:pPr>
      <w:rPr>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70A74BA"/>
    <w:multiLevelType w:val="hybridMultilevel"/>
    <w:tmpl w:val="D2384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A224F5"/>
    <w:multiLevelType w:val="hybridMultilevel"/>
    <w:tmpl w:val="2D1C15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6"/>
  </w:num>
  <w:num w:numId="6">
    <w:abstractNumId w:val="4"/>
  </w:num>
  <w:num w:numId="7">
    <w:abstractNumId w:val="3"/>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308"/>
    <w:rsid w:val="00004DA2"/>
    <w:rsid w:val="0001008F"/>
    <w:rsid w:val="0005272E"/>
    <w:rsid w:val="000849EB"/>
    <w:rsid w:val="00091FCB"/>
    <w:rsid w:val="000B5AB1"/>
    <w:rsid w:val="000C3E44"/>
    <w:rsid w:val="00102ABC"/>
    <w:rsid w:val="00103CEB"/>
    <w:rsid w:val="00122D42"/>
    <w:rsid w:val="0012732A"/>
    <w:rsid w:val="00132FB7"/>
    <w:rsid w:val="001458EB"/>
    <w:rsid w:val="00152A6F"/>
    <w:rsid w:val="001737A5"/>
    <w:rsid w:val="00197FF5"/>
    <w:rsid w:val="001A0F4C"/>
    <w:rsid w:val="001C7E15"/>
    <w:rsid w:val="001E0E9A"/>
    <w:rsid w:val="001F33DD"/>
    <w:rsid w:val="00215D00"/>
    <w:rsid w:val="00220871"/>
    <w:rsid w:val="0022633D"/>
    <w:rsid w:val="00255AEC"/>
    <w:rsid w:val="00271C86"/>
    <w:rsid w:val="002809C0"/>
    <w:rsid w:val="002916D5"/>
    <w:rsid w:val="00292DDB"/>
    <w:rsid w:val="00294BFD"/>
    <w:rsid w:val="00296A17"/>
    <w:rsid w:val="002A0309"/>
    <w:rsid w:val="002A1DC2"/>
    <w:rsid w:val="002B3682"/>
    <w:rsid w:val="002B7A0B"/>
    <w:rsid w:val="002C12CC"/>
    <w:rsid w:val="002C4408"/>
    <w:rsid w:val="002E5BF3"/>
    <w:rsid w:val="003233B8"/>
    <w:rsid w:val="003256FE"/>
    <w:rsid w:val="00335E30"/>
    <w:rsid w:val="003709C9"/>
    <w:rsid w:val="00374374"/>
    <w:rsid w:val="003E32BF"/>
    <w:rsid w:val="003F388E"/>
    <w:rsid w:val="0040327E"/>
    <w:rsid w:val="00404D28"/>
    <w:rsid w:val="00425FE8"/>
    <w:rsid w:val="00426C28"/>
    <w:rsid w:val="0043222C"/>
    <w:rsid w:val="00437C70"/>
    <w:rsid w:val="00442FCE"/>
    <w:rsid w:val="004732AC"/>
    <w:rsid w:val="00475B59"/>
    <w:rsid w:val="00482D00"/>
    <w:rsid w:val="0048666E"/>
    <w:rsid w:val="0049243F"/>
    <w:rsid w:val="004A6654"/>
    <w:rsid w:val="004B4ED3"/>
    <w:rsid w:val="004D603C"/>
    <w:rsid w:val="004E2C79"/>
    <w:rsid w:val="004F669D"/>
    <w:rsid w:val="004F68CB"/>
    <w:rsid w:val="00504447"/>
    <w:rsid w:val="00523EA3"/>
    <w:rsid w:val="005577B5"/>
    <w:rsid w:val="005634AE"/>
    <w:rsid w:val="0057415B"/>
    <w:rsid w:val="00580862"/>
    <w:rsid w:val="00580C0B"/>
    <w:rsid w:val="005D14B1"/>
    <w:rsid w:val="00634950"/>
    <w:rsid w:val="006363B4"/>
    <w:rsid w:val="00644B51"/>
    <w:rsid w:val="00665DBC"/>
    <w:rsid w:val="0068149E"/>
    <w:rsid w:val="00683411"/>
    <w:rsid w:val="00694C1E"/>
    <w:rsid w:val="00697077"/>
    <w:rsid w:val="006C1E48"/>
    <w:rsid w:val="006E5718"/>
    <w:rsid w:val="006F24A3"/>
    <w:rsid w:val="00745BB0"/>
    <w:rsid w:val="00781917"/>
    <w:rsid w:val="007A2A50"/>
    <w:rsid w:val="007B7726"/>
    <w:rsid w:val="007C1617"/>
    <w:rsid w:val="007C3A3C"/>
    <w:rsid w:val="007F374C"/>
    <w:rsid w:val="00821C49"/>
    <w:rsid w:val="00832112"/>
    <w:rsid w:val="008A6F1B"/>
    <w:rsid w:val="0090240C"/>
    <w:rsid w:val="00914089"/>
    <w:rsid w:val="009302C0"/>
    <w:rsid w:val="0096266A"/>
    <w:rsid w:val="00964159"/>
    <w:rsid w:val="009A6E4B"/>
    <w:rsid w:val="009B1060"/>
    <w:rsid w:val="009C4C79"/>
    <w:rsid w:val="009E44D3"/>
    <w:rsid w:val="00A10308"/>
    <w:rsid w:val="00A12BD0"/>
    <w:rsid w:val="00A21B1E"/>
    <w:rsid w:val="00A3287D"/>
    <w:rsid w:val="00A356B9"/>
    <w:rsid w:val="00A52EB4"/>
    <w:rsid w:val="00A536C8"/>
    <w:rsid w:val="00A61F37"/>
    <w:rsid w:val="00A76DA6"/>
    <w:rsid w:val="00A833AD"/>
    <w:rsid w:val="00A97F9C"/>
    <w:rsid w:val="00AF2947"/>
    <w:rsid w:val="00AF43DB"/>
    <w:rsid w:val="00B8786D"/>
    <w:rsid w:val="00B97CA1"/>
    <w:rsid w:val="00BB2F15"/>
    <w:rsid w:val="00BC279A"/>
    <w:rsid w:val="00BE42C0"/>
    <w:rsid w:val="00BE63E9"/>
    <w:rsid w:val="00C0090B"/>
    <w:rsid w:val="00C3571A"/>
    <w:rsid w:val="00C46A59"/>
    <w:rsid w:val="00C47DD3"/>
    <w:rsid w:val="00C524C0"/>
    <w:rsid w:val="00C549C2"/>
    <w:rsid w:val="00C57AAE"/>
    <w:rsid w:val="00C641FF"/>
    <w:rsid w:val="00C671CF"/>
    <w:rsid w:val="00C96616"/>
    <w:rsid w:val="00D44B40"/>
    <w:rsid w:val="00D45208"/>
    <w:rsid w:val="00D67362"/>
    <w:rsid w:val="00D76009"/>
    <w:rsid w:val="00DA0547"/>
    <w:rsid w:val="00DA7BFC"/>
    <w:rsid w:val="00DD2640"/>
    <w:rsid w:val="00E22130"/>
    <w:rsid w:val="00E83475"/>
    <w:rsid w:val="00E8506F"/>
    <w:rsid w:val="00E87A40"/>
    <w:rsid w:val="00E97A12"/>
    <w:rsid w:val="00EA2364"/>
    <w:rsid w:val="00EA33D4"/>
    <w:rsid w:val="00EB71AC"/>
    <w:rsid w:val="00EF527D"/>
    <w:rsid w:val="00EF6D2E"/>
    <w:rsid w:val="00F02757"/>
    <w:rsid w:val="00F11AB0"/>
    <w:rsid w:val="00F25B8D"/>
    <w:rsid w:val="00F27F26"/>
    <w:rsid w:val="00F374FD"/>
    <w:rsid w:val="00F70F47"/>
    <w:rsid w:val="00F722E3"/>
    <w:rsid w:val="00F95270"/>
    <w:rsid w:val="00F95818"/>
    <w:rsid w:val="00FA5776"/>
    <w:rsid w:val="00FB6E6C"/>
    <w:rsid w:val="00FB6EE6"/>
    <w:rsid w:val="00FC220A"/>
    <w:rsid w:val="00FE5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9415"/>
  <w15:chartTrackingRefBased/>
  <w15:docId w15:val="{2F2316C5-1A19-4679-9DC3-A2645AE1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308"/>
    <w:pPr>
      <w:spacing w:after="200" w:line="276" w:lineRule="auto"/>
    </w:pPr>
  </w:style>
  <w:style w:type="paragraph" w:styleId="Heading1">
    <w:name w:val="heading 1"/>
    <w:basedOn w:val="Normal"/>
    <w:next w:val="Normal"/>
    <w:link w:val="Heading1Char"/>
    <w:uiPriority w:val="9"/>
    <w:qFormat/>
    <w:rsid w:val="00A10308"/>
    <w:pPr>
      <w:keepNext/>
      <w:keepLines/>
      <w:spacing w:before="480" w:after="0" w:line="240" w:lineRule="auto"/>
      <w:outlineLvl w:val="0"/>
    </w:pPr>
    <w:rPr>
      <w:rFonts w:asciiTheme="majorHAnsi" w:eastAsiaTheme="majorEastAsia" w:hAnsiTheme="majorHAnsi" w:cstheme="majorBidi"/>
      <w:b/>
      <w:bCs/>
      <w:color w:val="000000" w:themeColor="text1"/>
      <w:sz w:val="24"/>
      <w:szCs w:val="28"/>
    </w:rPr>
  </w:style>
  <w:style w:type="paragraph" w:styleId="Heading4">
    <w:name w:val="heading 4"/>
    <w:basedOn w:val="Normal"/>
    <w:next w:val="Normal"/>
    <w:link w:val="Heading4Char"/>
    <w:uiPriority w:val="9"/>
    <w:semiHidden/>
    <w:unhideWhenUsed/>
    <w:qFormat/>
    <w:rsid w:val="00F374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308"/>
    <w:rPr>
      <w:rFonts w:asciiTheme="majorHAnsi" w:eastAsiaTheme="majorEastAsia" w:hAnsiTheme="majorHAnsi" w:cstheme="majorBidi"/>
      <w:b/>
      <w:bCs/>
      <w:color w:val="000000" w:themeColor="text1"/>
      <w:sz w:val="24"/>
      <w:szCs w:val="28"/>
    </w:rPr>
  </w:style>
  <w:style w:type="paragraph" w:styleId="ListParagraph">
    <w:name w:val="List Paragraph"/>
    <w:basedOn w:val="Normal"/>
    <w:uiPriority w:val="34"/>
    <w:qFormat/>
    <w:rsid w:val="00A10308"/>
    <w:pPr>
      <w:ind w:left="720"/>
      <w:contextualSpacing/>
    </w:pPr>
  </w:style>
  <w:style w:type="paragraph" w:styleId="Footer">
    <w:name w:val="footer"/>
    <w:basedOn w:val="Normal"/>
    <w:link w:val="FooterChar"/>
    <w:uiPriority w:val="99"/>
    <w:unhideWhenUsed/>
    <w:rsid w:val="00A103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0308"/>
  </w:style>
  <w:style w:type="paragraph" w:styleId="FootnoteText">
    <w:name w:val="footnote text"/>
    <w:basedOn w:val="Normal"/>
    <w:link w:val="FootnoteTextChar"/>
    <w:uiPriority w:val="99"/>
    <w:semiHidden/>
    <w:unhideWhenUsed/>
    <w:rsid w:val="00A10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308"/>
    <w:rPr>
      <w:sz w:val="20"/>
      <w:szCs w:val="20"/>
    </w:rPr>
  </w:style>
  <w:style w:type="character" w:styleId="FootnoteReference">
    <w:name w:val="footnote reference"/>
    <w:basedOn w:val="DefaultParagraphFont"/>
    <w:uiPriority w:val="99"/>
    <w:semiHidden/>
    <w:unhideWhenUsed/>
    <w:rsid w:val="00A10308"/>
    <w:rPr>
      <w:vertAlign w:val="superscript"/>
    </w:rPr>
  </w:style>
  <w:style w:type="paragraph" w:styleId="Header">
    <w:name w:val="header"/>
    <w:basedOn w:val="Normal"/>
    <w:link w:val="HeaderChar"/>
    <w:uiPriority w:val="99"/>
    <w:unhideWhenUsed/>
    <w:rsid w:val="00BB2F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F15"/>
  </w:style>
  <w:style w:type="character" w:styleId="Hyperlink">
    <w:name w:val="Hyperlink"/>
    <w:basedOn w:val="DefaultParagraphFont"/>
    <w:uiPriority w:val="99"/>
    <w:semiHidden/>
    <w:unhideWhenUsed/>
    <w:rsid w:val="00F27F26"/>
    <w:rPr>
      <w:color w:val="0000FF"/>
      <w:u w:val="single"/>
    </w:rPr>
  </w:style>
  <w:style w:type="character" w:styleId="CommentReference">
    <w:name w:val="annotation reference"/>
    <w:basedOn w:val="DefaultParagraphFont"/>
    <w:uiPriority w:val="99"/>
    <w:semiHidden/>
    <w:unhideWhenUsed/>
    <w:rsid w:val="001737A5"/>
    <w:rPr>
      <w:sz w:val="16"/>
      <w:szCs w:val="16"/>
    </w:rPr>
  </w:style>
  <w:style w:type="paragraph" w:styleId="CommentText">
    <w:name w:val="annotation text"/>
    <w:basedOn w:val="Normal"/>
    <w:link w:val="CommentTextChar"/>
    <w:uiPriority w:val="99"/>
    <w:semiHidden/>
    <w:unhideWhenUsed/>
    <w:rsid w:val="001737A5"/>
    <w:pPr>
      <w:spacing w:line="240" w:lineRule="auto"/>
    </w:pPr>
    <w:rPr>
      <w:sz w:val="20"/>
      <w:szCs w:val="20"/>
    </w:rPr>
  </w:style>
  <w:style w:type="character" w:customStyle="1" w:styleId="CommentTextChar">
    <w:name w:val="Comment Text Char"/>
    <w:basedOn w:val="DefaultParagraphFont"/>
    <w:link w:val="CommentText"/>
    <w:uiPriority w:val="99"/>
    <w:semiHidden/>
    <w:rsid w:val="001737A5"/>
    <w:rPr>
      <w:sz w:val="20"/>
      <w:szCs w:val="20"/>
    </w:rPr>
  </w:style>
  <w:style w:type="paragraph" w:styleId="CommentSubject">
    <w:name w:val="annotation subject"/>
    <w:basedOn w:val="CommentText"/>
    <w:next w:val="CommentText"/>
    <w:link w:val="CommentSubjectChar"/>
    <w:uiPriority w:val="99"/>
    <w:semiHidden/>
    <w:unhideWhenUsed/>
    <w:rsid w:val="001737A5"/>
    <w:rPr>
      <w:b/>
      <w:bCs/>
    </w:rPr>
  </w:style>
  <w:style w:type="character" w:customStyle="1" w:styleId="CommentSubjectChar">
    <w:name w:val="Comment Subject Char"/>
    <w:basedOn w:val="CommentTextChar"/>
    <w:link w:val="CommentSubject"/>
    <w:uiPriority w:val="99"/>
    <w:semiHidden/>
    <w:rsid w:val="001737A5"/>
    <w:rPr>
      <w:b/>
      <w:bCs/>
      <w:sz w:val="20"/>
      <w:szCs w:val="20"/>
    </w:rPr>
  </w:style>
  <w:style w:type="paragraph" w:styleId="BalloonText">
    <w:name w:val="Balloon Text"/>
    <w:basedOn w:val="Normal"/>
    <w:link w:val="BalloonTextChar"/>
    <w:uiPriority w:val="99"/>
    <w:semiHidden/>
    <w:unhideWhenUsed/>
    <w:rsid w:val="00173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A5"/>
    <w:rPr>
      <w:rFonts w:ascii="Segoe UI" w:hAnsi="Segoe UI" w:cs="Segoe UI"/>
      <w:sz w:val="18"/>
      <w:szCs w:val="18"/>
    </w:rPr>
  </w:style>
  <w:style w:type="paragraph" w:styleId="Revision">
    <w:name w:val="Revision"/>
    <w:hidden/>
    <w:uiPriority w:val="99"/>
    <w:semiHidden/>
    <w:rsid w:val="00580C0B"/>
    <w:pPr>
      <w:spacing w:after="0" w:line="240" w:lineRule="auto"/>
    </w:pPr>
  </w:style>
  <w:style w:type="paragraph" w:styleId="NormalWeb">
    <w:name w:val="Normal (Web)"/>
    <w:basedOn w:val="Normal"/>
    <w:uiPriority w:val="99"/>
    <w:semiHidden/>
    <w:unhideWhenUsed/>
    <w:rsid w:val="00C57A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semiHidden/>
    <w:rsid w:val="00F374FD"/>
    <w:rPr>
      <w:rFonts w:asciiTheme="majorHAnsi" w:eastAsiaTheme="majorEastAsia" w:hAnsiTheme="majorHAnsi" w:cstheme="majorBidi"/>
      <w:i/>
      <w:iCs/>
      <w:color w:val="2E74B5" w:themeColor="accent1" w:themeShade="BF"/>
    </w:rPr>
  </w:style>
  <w:style w:type="paragraph" w:customStyle="1" w:styleId="naisf">
    <w:name w:val="naisf"/>
    <w:basedOn w:val="Normal"/>
    <w:rsid w:val="00FC220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5714">
      <w:bodyDiv w:val="1"/>
      <w:marLeft w:val="0"/>
      <w:marRight w:val="0"/>
      <w:marTop w:val="0"/>
      <w:marBottom w:val="0"/>
      <w:divBdr>
        <w:top w:val="none" w:sz="0" w:space="0" w:color="auto"/>
        <w:left w:val="none" w:sz="0" w:space="0" w:color="auto"/>
        <w:bottom w:val="none" w:sz="0" w:space="0" w:color="auto"/>
        <w:right w:val="none" w:sz="0" w:space="0" w:color="auto"/>
      </w:divBdr>
    </w:div>
    <w:div w:id="1629819353">
      <w:bodyDiv w:val="1"/>
      <w:marLeft w:val="0"/>
      <w:marRight w:val="0"/>
      <w:marTop w:val="0"/>
      <w:marBottom w:val="0"/>
      <w:divBdr>
        <w:top w:val="none" w:sz="0" w:space="0" w:color="auto"/>
        <w:left w:val="none" w:sz="0" w:space="0" w:color="auto"/>
        <w:bottom w:val="none" w:sz="0" w:space="0" w:color="auto"/>
        <w:right w:val="none" w:sz="0" w:space="0" w:color="auto"/>
      </w:divBdr>
    </w:div>
    <w:div w:id="1856268008">
      <w:bodyDiv w:val="1"/>
      <w:marLeft w:val="0"/>
      <w:marRight w:val="0"/>
      <w:marTop w:val="0"/>
      <w:marBottom w:val="0"/>
      <w:divBdr>
        <w:top w:val="none" w:sz="0" w:space="0" w:color="auto"/>
        <w:left w:val="none" w:sz="0" w:space="0" w:color="auto"/>
        <w:bottom w:val="none" w:sz="0" w:space="0" w:color="auto"/>
        <w:right w:val="none" w:sz="0" w:space="0" w:color="auto"/>
      </w:divBdr>
    </w:div>
    <w:div w:id="1868331158">
      <w:bodyDiv w:val="1"/>
      <w:marLeft w:val="0"/>
      <w:marRight w:val="0"/>
      <w:marTop w:val="0"/>
      <w:marBottom w:val="0"/>
      <w:divBdr>
        <w:top w:val="none" w:sz="0" w:space="0" w:color="auto"/>
        <w:left w:val="none" w:sz="0" w:space="0" w:color="auto"/>
        <w:bottom w:val="none" w:sz="0" w:space="0" w:color="auto"/>
        <w:right w:val="none" w:sz="0" w:space="0" w:color="auto"/>
      </w:divBdr>
    </w:div>
    <w:div w:id="187021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7415-par-izlozu-un-azartspelu-nodevu-un-nodokl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Astra Kaļāne</Vad_x012b_t_x0101_js>
    <Kategorija xmlns="2e5bb04e-596e-45bd-9003-43ca78b1ba16">Likumprojekts</Kategorija>
    <TAP xmlns="1c33a644-f6cf-45d4-832d-e32e0e370d68">17</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EC1FF-0F04-41B4-9F25-53FFB59E0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9C5B99-B16C-4F48-BADD-1C814663C3DB}">
  <ds:schemaRefs>
    <ds:schemaRef ds:uri="http://schemas.microsoft.com/sharepoint/v3/contenttype/forms"/>
  </ds:schemaRefs>
</ds:datastoreItem>
</file>

<file path=customXml/itemProps3.xml><?xml version="1.0" encoding="utf-8"?>
<ds:datastoreItem xmlns:ds="http://schemas.openxmlformats.org/officeDocument/2006/customXml" ds:itemID="{7513C68E-18C7-4564-A9E3-72B8E70E6EDA}">
  <ds:schemaRefs>
    <ds:schemaRef ds:uri="http://schemas.microsoft.com/office/2006/documentManagement/types"/>
    <ds:schemaRef ds:uri="http://purl.org/dc/terms/"/>
    <ds:schemaRef ds:uri="2e5bb04e-596e-45bd-9003-43ca78b1ba1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c33a644-f6cf-45d4-832d-e32e0e370d68"/>
    <ds:schemaRef ds:uri="http://www.w3.org/XML/1998/namespace"/>
  </ds:schemaRefs>
</ds:datastoreItem>
</file>

<file path=customXml/itemProps4.xml><?xml version="1.0" encoding="utf-8"?>
<ds:datastoreItem xmlns:ds="http://schemas.openxmlformats.org/officeDocument/2006/customXml" ds:itemID="{8FA59B55-DB50-4571-9802-4541C43C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515</Words>
  <Characters>3276</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Grozījumi likumā "Par izložu un azartspēļu nodevu un nodokli"</vt:lpstr>
    </vt:vector>
  </TitlesOfParts>
  <Company>Finanšu ministrija</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izložu un azartspēļu nodevu un nodokli"</dc:title>
  <dc:subject>Likumprojekts</dc:subject>
  <dc:creator>Inga Avotiņa</dc:creator>
  <cp:keywords/>
  <dc:description>67095515, Inga.Avotina@fm.gov.lv</dc:description>
  <cp:lastModifiedBy>Inese Lismane</cp:lastModifiedBy>
  <cp:revision>8</cp:revision>
  <cp:lastPrinted>2018-12-05T09:32:00Z</cp:lastPrinted>
  <dcterms:created xsi:type="dcterms:W3CDTF">2018-11-29T08:45:00Z</dcterms:created>
  <dcterms:modified xsi:type="dcterms:W3CDTF">2018-12-05T09:32:00Z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