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F05D0" w14:textId="77777777" w:rsidR="00AE21CE" w:rsidRPr="00924CA2" w:rsidRDefault="00AE21CE" w:rsidP="00C949C1">
      <w:pPr>
        <w:spacing w:after="0" w:line="240" w:lineRule="auto"/>
        <w:jc w:val="both"/>
        <w:rPr>
          <w:rFonts w:ascii="Times New Roman" w:hAnsi="Times New Roman" w:cs="Times New Roman"/>
          <w:sz w:val="24"/>
          <w:szCs w:val="24"/>
        </w:rPr>
      </w:pPr>
    </w:p>
    <w:p w14:paraId="1CFEDDBF" w14:textId="59DC8339" w:rsidR="00635545" w:rsidRPr="00D13A43" w:rsidRDefault="00AE21CE" w:rsidP="00890A6C">
      <w:pPr>
        <w:spacing w:after="0" w:line="240" w:lineRule="auto"/>
        <w:jc w:val="center"/>
        <w:rPr>
          <w:rFonts w:ascii="Times New Roman" w:hAnsi="Times New Roman" w:cs="Times New Roman"/>
          <w:b/>
          <w:sz w:val="28"/>
          <w:szCs w:val="28"/>
        </w:rPr>
      </w:pPr>
      <w:r w:rsidRPr="00D13A43">
        <w:rPr>
          <w:rFonts w:ascii="Times New Roman" w:hAnsi="Times New Roman" w:cs="Times New Roman"/>
          <w:b/>
          <w:sz w:val="28"/>
          <w:szCs w:val="28"/>
        </w:rPr>
        <w:t>Informatīvais ziņojums “</w:t>
      </w:r>
      <w:r w:rsidR="00AB74FE" w:rsidRPr="00AB74FE">
        <w:rPr>
          <w:rFonts w:ascii="Times New Roman" w:hAnsi="Times New Roman" w:cs="Times New Roman"/>
          <w:b/>
          <w:sz w:val="28"/>
          <w:szCs w:val="28"/>
        </w:rPr>
        <w:t xml:space="preserve">ES fondu </w:t>
      </w:r>
      <w:r w:rsidR="00B02343">
        <w:rPr>
          <w:rFonts w:ascii="Times New Roman" w:hAnsi="Times New Roman" w:cs="Times New Roman"/>
          <w:b/>
          <w:sz w:val="28"/>
          <w:szCs w:val="28"/>
        </w:rPr>
        <w:t xml:space="preserve">atbalsta </w:t>
      </w:r>
      <w:r w:rsidR="00314D2C">
        <w:rPr>
          <w:rFonts w:ascii="Times New Roman" w:hAnsi="Times New Roman" w:cs="Times New Roman"/>
          <w:b/>
          <w:sz w:val="28"/>
          <w:szCs w:val="28"/>
        </w:rPr>
        <w:t>instrumenta</w:t>
      </w:r>
      <w:r w:rsidR="00B02343">
        <w:rPr>
          <w:rFonts w:ascii="Times New Roman" w:hAnsi="Times New Roman" w:cs="Times New Roman"/>
          <w:b/>
          <w:sz w:val="28"/>
          <w:szCs w:val="28"/>
        </w:rPr>
        <w:t xml:space="preserve"> izstrāde </w:t>
      </w:r>
      <w:r w:rsidR="00AB74FE" w:rsidRPr="00AB74FE">
        <w:rPr>
          <w:rFonts w:ascii="Times New Roman" w:hAnsi="Times New Roman" w:cs="Times New Roman"/>
          <w:b/>
          <w:sz w:val="28"/>
          <w:szCs w:val="28"/>
        </w:rPr>
        <w:t>MVU finansējuma piesaistei kapitāla tirgos</w:t>
      </w:r>
      <w:r w:rsidR="00B266E9">
        <w:rPr>
          <w:rFonts w:ascii="Times New Roman" w:hAnsi="Times New Roman" w:cs="Times New Roman"/>
          <w:b/>
          <w:sz w:val="28"/>
          <w:szCs w:val="28"/>
        </w:rPr>
        <w:t>”</w:t>
      </w:r>
    </w:p>
    <w:p w14:paraId="788DB27D" w14:textId="77777777" w:rsidR="006C0A93" w:rsidRPr="00D13A43" w:rsidRDefault="006C0A93" w:rsidP="00C949C1">
      <w:pPr>
        <w:spacing w:after="0" w:line="240" w:lineRule="auto"/>
        <w:jc w:val="both"/>
        <w:rPr>
          <w:rFonts w:ascii="Times New Roman" w:hAnsi="Times New Roman" w:cs="Times New Roman"/>
          <w:sz w:val="28"/>
          <w:szCs w:val="28"/>
        </w:rPr>
      </w:pPr>
    </w:p>
    <w:p w14:paraId="6F0557E6" w14:textId="77777777" w:rsidR="00C80E0D" w:rsidRDefault="00C80E0D" w:rsidP="00EE4470">
      <w:pPr>
        <w:pStyle w:val="Default"/>
        <w:jc w:val="both"/>
        <w:rPr>
          <w:color w:val="auto"/>
          <w:sz w:val="28"/>
          <w:szCs w:val="28"/>
        </w:rPr>
      </w:pPr>
    </w:p>
    <w:p w14:paraId="7E072FA6" w14:textId="135030CB" w:rsidR="00126654" w:rsidRPr="00126654" w:rsidRDefault="00126654" w:rsidP="00126654">
      <w:pPr>
        <w:pStyle w:val="Default"/>
        <w:ind w:firstLine="720"/>
        <w:jc w:val="both"/>
        <w:rPr>
          <w:rFonts w:eastAsia="Times New Roman"/>
          <w:sz w:val="28"/>
          <w:szCs w:val="28"/>
          <w:lang w:eastAsia="lv-LV"/>
        </w:rPr>
      </w:pPr>
      <w:r w:rsidRPr="00126654">
        <w:rPr>
          <w:rFonts w:eastAsia="Times New Roman"/>
          <w:sz w:val="28"/>
          <w:szCs w:val="28"/>
          <w:lang w:eastAsia="lv-LV"/>
        </w:rPr>
        <w:t xml:space="preserve">Valdības rīcības plānā Deklarācijas par Māra Kučinska vadītā Ministru kabineta iecerēto darbību īstenošanai, kas apstiprināts ar Ministru kabineta </w:t>
      </w:r>
      <w:r w:rsidR="0005290A" w:rsidRPr="00126654">
        <w:rPr>
          <w:rFonts w:eastAsia="Times New Roman"/>
          <w:sz w:val="28"/>
          <w:szCs w:val="28"/>
          <w:lang w:eastAsia="lv-LV"/>
        </w:rPr>
        <w:t xml:space="preserve">2016.gada 3.maija </w:t>
      </w:r>
      <w:r w:rsidRPr="00126654">
        <w:rPr>
          <w:rFonts w:eastAsia="Times New Roman"/>
          <w:sz w:val="28"/>
          <w:szCs w:val="28"/>
          <w:lang w:eastAsia="lv-LV"/>
        </w:rPr>
        <w:t>rīkojumu Nr.275</w:t>
      </w:r>
      <w:r w:rsidR="00844E26" w:rsidRPr="002D197E">
        <w:rPr>
          <w:rFonts w:eastAsia="Times New Roman"/>
          <w:lang w:eastAsia="lv-LV"/>
        </w:rPr>
        <w:t xml:space="preserve"> “</w:t>
      </w:r>
      <w:r w:rsidR="00844E26" w:rsidRPr="002D197E">
        <w:rPr>
          <w:bCs/>
          <w:color w:val="auto"/>
          <w:sz w:val="28"/>
          <w:szCs w:val="28"/>
          <w:shd w:val="clear" w:color="auto" w:fill="FFFFFF"/>
        </w:rPr>
        <w:t>Par Valdības rīcības plānu Deklarācijas par Māra Kučinska vadītā Ministru kabineta iecerēto darbību īstenošanai”</w:t>
      </w:r>
      <w:r w:rsidRPr="002D197E">
        <w:rPr>
          <w:rFonts w:eastAsia="Times New Roman"/>
          <w:color w:val="auto"/>
          <w:sz w:val="28"/>
          <w:szCs w:val="28"/>
          <w:lang w:eastAsia="lv-LV"/>
        </w:rPr>
        <w:t xml:space="preserve">, </w:t>
      </w:r>
      <w:r w:rsidRPr="00126654">
        <w:rPr>
          <w:rFonts w:eastAsia="Times New Roman"/>
          <w:sz w:val="28"/>
          <w:szCs w:val="28"/>
          <w:lang w:eastAsia="lv-LV"/>
        </w:rPr>
        <w:t>iekļauts uzdevums</w:t>
      </w:r>
      <w:r w:rsidR="00204760">
        <w:rPr>
          <w:rFonts w:eastAsia="Times New Roman"/>
          <w:sz w:val="28"/>
          <w:szCs w:val="28"/>
          <w:lang w:eastAsia="lv-LV"/>
        </w:rPr>
        <w:t xml:space="preserve"> Nr. 51.1</w:t>
      </w:r>
      <w:r w:rsidRPr="00126654">
        <w:rPr>
          <w:rFonts w:eastAsia="Times New Roman"/>
          <w:sz w:val="28"/>
          <w:szCs w:val="28"/>
          <w:lang w:eastAsia="lv-LV"/>
        </w:rPr>
        <w:t xml:space="preserve"> </w:t>
      </w:r>
      <w:r w:rsidR="00204760">
        <w:rPr>
          <w:rFonts w:eastAsia="Times New Roman"/>
          <w:sz w:val="28"/>
          <w:szCs w:val="28"/>
          <w:lang w:eastAsia="lv-LV"/>
        </w:rPr>
        <w:t xml:space="preserve">Finanšu ministrijai </w:t>
      </w:r>
      <w:r w:rsidRPr="00126654">
        <w:rPr>
          <w:rFonts w:eastAsia="Times New Roman"/>
          <w:sz w:val="28"/>
          <w:szCs w:val="28"/>
          <w:lang w:eastAsia="lv-LV"/>
        </w:rPr>
        <w:t>izstrādāt Finanšu sektora attīstības plānu 2017.-2019.gadam, definējot politikas ietvaru finanšu tirgus attīstībai un starptautiskajai konkurētspējai, tai skaitā stiprinot noziedzīgi iegūtu līdzekļu legalizācijas un terorisma finansēšanas risku novēršanas sistēmu.</w:t>
      </w:r>
    </w:p>
    <w:p w14:paraId="74BBFA8C" w14:textId="4945724E" w:rsidR="00126654" w:rsidRPr="00126654" w:rsidRDefault="00126654" w:rsidP="00126654">
      <w:pPr>
        <w:pStyle w:val="Default"/>
        <w:ind w:firstLine="720"/>
        <w:jc w:val="both"/>
        <w:rPr>
          <w:rFonts w:eastAsia="Times New Roman"/>
          <w:sz w:val="28"/>
          <w:szCs w:val="28"/>
          <w:lang w:eastAsia="lv-LV"/>
        </w:rPr>
      </w:pPr>
      <w:r w:rsidRPr="00126654">
        <w:rPr>
          <w:rFonts w:eastAsia="Times New Roman"/>
          <w:sz w:val="28"/>
          <w:szCs w:val="28"/>
          <w:lang w:eastAsia="lv-LV"/>
        </w:rPr>
        <w:t>Finanšu sektora attīstības plān</w:t>
      </w:r>
      <w:r w:rsidR="009B5E57">
        <w:rPr>
          <w:rFonts w:eastAsia="Times New Roman"/>
          <w:sz w:val="28"/>
          <w:szCs w:val="28"/>
          <w:lang w:eastAsia="lv-LV"/>
        </w:rPr>
        <w:t>a</w:t>
      </w:r>
      <w:r w:rsidRPr="00126654">
        <w:rPr>
          <w:rFonts w:eastAsia="Times New Roman"/>
          <w:sz w:val="28"/>
          <w:szCs w:val="28"/>
          <w:lang w:eastAsia="lv-LV"/>
        </w:rPr>
        <w:t xml:space="preserve"> 2017.-2019.gadam, kas apstiprināts ar Ministru kabineta 2017.gada 21.marta rīkojumu Nr.126</w:t>
      </w:r>
      <w:r w:rsidR="009B5E57">
        <w:rPr>
          <w:rFonts w:eastAsia="Times New Roman"/>
          <w:sz w:val="28"/>
          <w:szCs w:val="28"/>
          <w:lang w:eastAsia="lv-LV"/>
        </w:rPr>
        <w:t xml:space="preserve"> </w:t>
      </w:r>
      <w:r w:rsidR="009B5E57" w:rsidRPr="002D197E">
        <w:rPr>
          <w:rFonts w:eastAsia="Times New Roman"/>
          <w:color w:val="auto"/>
          <w:sz w:val="28"/>
          <w:szCs w:val="28"/>
          <w:lang w:eastAsia="lv-LV"/>
        </w:rPr>
        <w:t>“</w:t>
      </w:r>
      <w:r w:rsidR="009B5E57" w:rsidRPr="002D197E">
        <w:rPr>
          <w:bCs/>
          <w:color w:val="auto"/>
          <w:sz w:val="28"/>
          <w:szCs w:val="28"/>
          <w:shd w:val="clear" w:color="auto" w:fill="FFFFFF"/>
        </w:rPr>
        <w:t>Par Finanšu sektora attīstības plānu 2017.–2019. gadam</w:t>
      </w:r>
      <w:r w:rsidR="009B5E57" w:rsidRPr="002D197E">
        <w:rPr>
          <w:rFonts w:eastAsia="Times New Roman"/>
          <w:color w:val="auto"/>
          <w:sz w:val="28"/>
          <w:szCs w:val="28"/>
          <w:lang w:eastAsia="lv-LV"/>
        </w:rPr>
        <w:t>”</w:t>
      </w:r>
      <w:r w:rsidRPr="002D197E">
        <w:rPr>
          <w:rFonts w:eastAsia="Times New Roman"/>
          <w:color w:val="auto"/>
          <w:sz w:val="28"/>
          <w:szCs w:val="28"/>
          <w:lang w:eastAsia="lv-LV"/>
        </w:rPr>
        <w:t xml:space="preserve">, </w:t>
      </w:r>
      <w:r w:rsidRPr="00126654">
        <w:rPr>
          <w:rFonts w:eastAsia="Times New Roman"/>
          <w:sz w:val="28"/>
          <w:szCs w:val="28"/>
          <w:lang w:eastAsia="lv-LV"/>
        </w:rPr>
        <w:t xml:space="preserve">3.1.1.apakšpunktā </w:t>
      </w:r>
      <w:r w:rsidR="002D197E">
        <w:rPr>
          <w:rFonts w:eastAsia="Times New Roman"/>
          <w:sz w:val="28"/>
          <w:szCs w:val="28"/>
          <w:lang w:eastAsia="lv-LV"/>
        </w:rPr>
        <w:t>ir</w:t>
      </w:r>
      <w:r w:rsidR="002D197E" w:rsidRPr="00126654">
        <w:rPr>
          <w:rFonts w:eastAsia="Times New Roman"/>
          <w:sz w:val="28"/>
          <w:szCs w:val="28"/>
          <w:lang w:eastAsia="lv-LV"/>
        </w:rPr>
        <w:t xml:space="preserve"> </w:t>
      </w:r>
      <w:r w:rsidRPr="00126654">
        <w:rPr>
          <w:rFonts w:eastAsia="Times New Roman"/>
          <w:sz w:val="28"/>
          <w:szCs w:val="28"/>
          <w:lang w:eastAsia="lv-LV"/>
        </w:rPr>
        <w:t xml:space="preserve">dots uzdevums “Izveidot ilgtermiņa (vismaz 3-5 gadi) valsts atbalsta programmu, kas veicinātu un paplašinātu finansējuma pieejamību mazām vai vidējām komercsabiedrībām caur akciju un/vai parāda vērtspapīru emisiju tālāku kotāciju biržā, izmantojot valsts vai </w:t>
      </w:r>
      <w:r w:rsidR="00204760">
        <w:rPr>
          <w:rFonts w:eastAsia="Times New Roman"/>
          <w:sz w:val="28"/>
          <w:szCs w:val="28"/>
          <w:lang w:eastAsia="lv-LV"/>
        </w:rPr>
        <w:t xml:space="preserve">Eiropas Savienības (turpmāk – ES) </w:t>
      </w:r>
      <w:r w:rsidRPr="00126654">
        <w:rPr>
          <w:rFonts w:eastAsia="Times New Roman"/>
          <w:sz w:val="28"/>
          <w:szCs w:val="28"/>
          <w:lang w:eastAsia="lv-LV"/>
        </w:rPr>
        <w:t>fondu līdzekļus”</w:t>
      </w:r>
      <w:r w:rsidR="00C70E10">
        <w:rPr>
          <w:rFonts w:eastAsia="Times New Roman"/>
          <w:sz w:val="28"/>
          <w:szCs w:val="28"/>
          <w:lang w:eastAsia="lv-LV"/>
        </w:rPr>
        <w:t xml:space="preserve"> ar izpildes termiņu </w:t>
      </w:r>
      <w:r w:rsidR="00C70E10" w:rsidRPr="00C70E10">
        <w:rPr>
          <w:rFonts w:eastAsia="Times New Roman"/>
          <w:b/>
          <w:sz w:val="28"/>
          <w:szCs w:val="28"/>
          <w:lang w:eastAsia="lv-LV"/>
        </w:rPr>
        <w:t>2018.gada  31.decembris</w:t>
      </w:r>
      <w:r w:rsidR="00C70E10">
        <w:rPr>
          <w:rFonts w:eastAsia="Times New Roman"/>
          <w:sz w:val="28"/>
          <w:szCs w:val="28"/>
          <w:lang w:eastAsia="lv-LV"/>
        </w:rPr>
        <w:t xml:space="preserve">, nosakot kā atbildīgo institūciju Ekonomikas ministriju un līdzatbildīgās institūcijas – Finanšu ministriju un </w:t>
      </w:r>
      <w:r w:rsidR="002D197E">
        <w:rPr>
          <w:rFonts w:eastAsia="Times New Roman"/>
          <w:sz w:val="28"/>
          <w:szCs w:val="28"/>
          <w:lang w:eastAsia="lv-LV"/>
        </w:rPr>
        <w:t>AS “</w:t>
      </w:r>
      <w:proofErr w:type="spellStart"/>
      <w:r w:rsidR="00C70E10">
        <w:rPr>
          <w:rFonts w:eastAsia="Times New Roman"/>
          <w:sz w:val="28"/>
          <w:szCs w:val="28"/>
          <w:lang w:eastAsia="lv-LV"/>
        </w:rPr>
        <w:t>Nasdaq</w:t>
      </w:r>
      <w:proofErr w:type="spellEnd"/>
      <w:r w:rsidR="00C70E10">
        <w:rPr>
          <w:rFonts w:eastAsia="Times New Roman"/>
          <w:sz w:val="28"/>
          <w:szCs w:val="28"/>
          <w:lang w:eastAsia="lv-LV"/>
        </w:rPr>
        <w:t xml:space="preserve"> </w:t>
      </w:r>
      <w:proofErr w:type="spellStart"/>
      <w:r w:rsidR="00C70E10">
        <w:rPr>
          <w:rFonts w:eastAsia="Times New Roman"/>
          <w:sz w:val="28"/>
          <w:szCs w:val="28"/>
          <w:lang w:eastAsia="lv-LV"/>
        </w:rPr>
        <w:t>Riga</w:t>
      </w:r>
      <w:proofErr w:type="spellEnd"/>
      <w:r w:rsidR="002D197E">
        <w:rPr>
          <w:rFonts w:eastAsia="Times New Roman"/>
          <w:sz w:val="28"/>
          <w:szCs w:val="28"/>
          <w:lang w:eastAsia="lv-LV"/>
        </w:rPr>
        <w:t>”</w:t>
      </w:r>
      <w:r w:rsidRPr="00126654">
        <w:rPr>
          <w:rFonts w:eastAsia="Times New Roman"/>
          <w:sz w:val="28"/>
          <w:szCs w:val="28"/>
          <w:lang w:eastAsia="lv-LV"/>
        </w:rPr>
        <w:t>.</w:t>
      </w:r>
    </w:p>
    <w:p w14:paraId="6A87C7D0" w14:textId="7EEE4742" w:rsidR="00126654" w:rsidRPr="00126654" w:rsidRDefault="00126654" w:rsidP="00126654">
      <w:pPr>
        <w:pStyle w:val="Default"/>
        <w:ind w:firstLine="720"/>
        <w:jc w:val="both"/>
        <w:rPr>
          <w:rFonts w:eastAsia="Times New Roman"/>
          <w:sz w:val="28"/>
          <w:szCs w:val="28"/>
          <w:lang w:eastAsia="lv-LV"/>
        </w:rPr>
      </w:pPr>
      <w:r w:rsidRPr="00126654">
        <w:rPr>
          <w:rFonts w:eastAsia="Times New Roman"/>
          <w:sz w:val="28"/>
          <w:szCs w:val="28"/>
          <w:lang w:eastAsia="lv-LV"/>
        </w:rPr>
        <w:t xml:space="preserve">Lai īstenotu nepieciešamā atbalsta pasākuma izstrādi un pārņemtu starptautisko pieredzi (līdzīgi atbalsta pasākumi šobrīd ir ieviesti un veiksmīgi darbojas, piemēram, Austrijā, Ungārijā un Polijā), Finanšu ministrija un Ekonomikas ministrija </w:t>
      </w:r>
      <w:r w:rsidR="0005290A">
        <w:rPr>
          <w:rFonts w:eastAsia="Times New Roman"/>
          <w:sz w:val="28"/>
          <w:szCs w:val="28"/>
          <w:lang w:eastAsia="lv-LV"/>
        </w:rPr>
        <w:t xml:space="preserve">2018.gada </w:t>
      </w:r>
      <w:r w:rsidRPr="00126654">
        <w:rPr>
          <w:rFonts w:eastAsia="Times New Roman"/>
          <w:sz w:val="28"/>
          <w:szCs w:val="28"/>
          <w:lang w:eastAsia="lv-LV"/>
        </w:rPr>
        <w:t>februārī uzsāka sadarbības projektu ar Eiropas Komisijas Strukturālo reformu atbalsta dienestu un Eiropas Rekonstrukcijas un attīstības banku (turpmāk - ERAB) “ES Struktūrfondu a</w:t>
      </w:r>
      <w:r w:rsidR="00223675">
        <w:rPr>
          <w:rFonts w:eastAsia="Times New Roman"/>
          <w:sz w:val="28"/>
          <w:szCs w:val="28"/>
          <w:lang w:eastAsia="lv-LV"/>
        </w:rPr>
        <w:t>tbalsta instrumenta izstrāde Mazo un vidējo uzņēmumu (turpmāk – MVU)</w:t>
      </w:r>
      <w:r w:rsidRPr="00126654">
        <w:rPr>
          <w:rFonts w:eastAsia="Times New Roman"/>
          <w:sz w:val="28"/>
          <w:szCs w:val="28"/>
          <w:lang w:eastAsia="lv-LV"/>
        </w:rPr>
        <w:t xml:space="preserve"> finansēj</w:t>
      </w:r>
      <w:r w:rsidR="007E4B07">
        <w:rPr>
          <w:rFonts w:eastAsia="Times New Roman"/>
          <w:sz w:val="28"/>
          <w:szCs w:val="28"/>
          <w:lang w:eastAsia="lv-LV"/>
        </w:rPr>
        <w:t>uma piesaistei kapitāla tirgos”.</w:t>
      </w:r>
      <w:r w:rsidRPr="00126654">
        <w:rPr>
          <w:rFonts w:eastAsia="Times New Roman"/>
          <w:sz w:val="28"/>
          <w:szCs w:val="28"/>
          <w:lang w:eastAsia="lv-LV"/>
        </w:rPr>
        <w:t xml:space="preserve"> Balstoties uz Latvijas pieredzi un sekmīga atbalsta pasākuma ieviešanas gadījumā, līdzīgas atbalsta instrumenta programmas saskaņā ar Baltijas valstu finanšu ministru 2017.gada 6.novembrī parakstīto sadarbības memorandu par reģionālā kapitāla tirgus izveidi, tuvākajā nākotnē ir plānots ieviest arī Igaunijā un Lietuvā.</w:t>
      </w:r>
    </w:p>
    <w:p w14:paraId="7609799C" w14:textId="2F1B7097" w:rsidR="00126654" w:rsidRPr="00126654" w:rsidRDefault="00126654" w:rsidP="00320DAD">
      <w:pPr>
        <w:pStyle w:val="Default"/>
        <w:ind w:firstLine="720"/>
        <w:jc w:val="both"/>
        <w:rPr>
          <w:rFonts w:eastAsia="Times New Roman"/>
          <w:sz w:val="28"/>
          <w:szCs w:val="28"/>
          <w:lang w:eastAsia="lv-LV"/>
        </w:rPr>
      </w:pPr>
      <w:r w:rsidRPr="00126654">
        <w:rPr>
          <w:rFonts w:eastAsia="Times New Roman"/>
          <w:sz w:val="28"/>
          <w:szCs w:val="28"/>
          <w:lang w:eastAsia="lv-LV"/>
        </w:rPr>
        <w:t>Projekta īstenošanas gaitā notika konsultācijas ar finanšu nozares pārstāvjiem un sabiedriskajām organizācijām, tai skaitā AS “</w:t>
      </w:r>
      <w:proofErr w:type="spellStart"/>
      <w:r w:rsidRPr="00126654">
        <w:rPr>
          <w:rFonts w:eastAsia="Times New Roman"/>
          <w:sz w:val="28"/>
          <w:szCs w:val="28"/>
          <w:lang w:eastAsia="lv-LV"/>
        </w:rPr>
        <w:t>Nasdaq</w:t>
      </w:r>
      <w:proofErr w:type="spellEnd"/>
      <w:r w:rsidRPr="00126654">
        <w:rPr>
          <w:rFonts w:eastAsia="Times New Roman"/>
          <w:sz w:val="28"/>
          <w:szCs w:val="28"/>
          <w:lang w:eastAsia="lv-LV"/>
        </w:rPr>
        <w:t xml:space="preserve"> </w:t>
      </w:r>
      <w:proofErr w:type="spellStart"/>
      <w:r w:rsidRPr="00126654">
        <w:rPr>
          <w:rFonts w:eastAsia="Times New Roman"/>
          <w:sz w:val="28"/>
          <w:szCs w:val="28"/>
          <w:lang w:eastAsia="lv-LV"/>
        </w:rPr>
        <w:t>Riga</w:t>
      </w:r>
      <w:proofErr w:type="spellEnd"/>
      <w:r w:rsidRPr="00126654">
        <w:rPr>
          <w:rFonts w:eastAsia="Times New Roman"/>
          <w:sz w:val="28"/>
          <w:szCs w:val="28"/>
          <w:lang w:eastAsia="lv-LV"/>
        </w:rPr>
        <w:t>” fondu biržu, finanšu nozares asociāciju “Finance Latvia”, Finanšu un kapitāla tirgus komisiju, Centrālo finanšu un līgumu aģentūru (</w:t>
      </w:r>
      <w:r w:rsidR="009B5E57">
        <w:rPr>
          <w:rFonts w:eastAsia="Times New Roman"/>
          <w:sz w:val="28"/>
          <w:szCs w:val="28"/>
          <w:lang w:eastAsia="lv-LV"/>
        </w:rPr>
        <w:t xml:space="preserve">turpmāk - </w:t>
      </w:r>
      <w:r w:rsidRPr="00126654">
        <w:rPr>
          <w:rFonts w:eastAsia="Times New Roman"/>
          <w:sz w:val="28"/>
          <w:szCs w:val="28"/>
          <w:lang w:eastAsia="lv-LV"/>
        </w:rPr>
        <w:t xml:space="preserve">CFLA) un AS “Attīstības finanšu institūciju </w:t>
      </w:r>
      <w:proofErr w:type="spellStart"/>
      <w:r w:rsidRPr="00126654">
        <w:rPr>
          <w:rFonts w:eastAsia="Times New Roman"/>
          <w:sz w:val="28"/>
          <w:szCs w:val="28"/>
          <w:lang w:eastAsia="lv-LV"/>
        </w:rPr>
        <w:t>Altum</w:t>
      </w:r>
      <w:proofErr w:type="spellEnd"/>
      <w:r w:rsidRPr="00126654">
        <w:rPr>
          <w:rFonts w:eastAsia="Times New Roman"/>
          <w:sz w:val="28"/>
          <w:szCs w:val="28"/>
          <w:lang w:eastAsia="lv-LV"/>
        </w:rPr>
        <w:t xml:space="preserve">”. </w:t>
      </w:r>
      <w:r w:rsidR="009B5E57">
        <w:rPr>
          <w:rFonts w:eastAsia="Times New Roman"/>
          <w:sz w:val="28"/>
          <w:szCs w:val="28"/>
          <w:lang w:eastAsia="lv-LV"/>
        </w:rPr>
        <w:t xml:space="preserve">2018.gada </w:t>
      </w:r>
      <w:r w:rsidRPr="00126654">
        <w:rPr>
          <w:rFonts w:eastAsia="Times New Roman"/>
          <w:sz w:val="28"/>
          <w:szCs w:val="28"/>
          <w:lang w:eastAsia="lv-LV"/>
        </w:rPr>
        <w:t xml:space="preserve">24.maijā ERAB prezentēja iesaistītajām pusēm projekta </w:t>
      </w:r>
      <w:r w:rsidR="00320DAD">
        <w:rPr>
          <w:rFonts w:eastAsia="Times New Roman"/>
          <w:sz w:val="28"/>
          <w:szCs w:val="28"/>
          <w:lang w:eastAsia="lv-LV"/>
        </w:rPr>
        <w:t>konceptuālo</w:t>
      </w:r>
      <w:r w:rsidRPr="00126654">
        <w:rPr>
          <w:rFonts w:eastAsia="Times New Roman"/>
          <w:sz w:val="28"/>
          <w:szCs w:val="28"/>
          <w:lang w:eastAsia="lv-LV"/>
        </w:rPr>
        <w:t xml:space="preserve"> ziņojumu, kas ietver projekta ekonomisko analīzi un priekšlikumu par atbalsta pasākuma izveidi, ieviešanu un tā elementiem</w:t>
      </w:r>
      <w:r w:rsidR="00C70E10">
        <w:rPr>
          <w:rFonts w:eastAsia="Times New Roman"/>
          <w:sz w:val="28"/>
          <w:szCs w:val="28"/>
          <w:lang w:eastAsia="lv-LV"/>
        </w:rPr>
        <w:t>, un dalībnieki atbalstīja darbu pie projekta konceptuālā ziņojuma</w:t>
      </w:r>
      <w:r w:rsidRPr="00126654">
        <w:rPr>
          <w:rFonts w:eastAsia="Times New Roman"/>
          <w:sz w:val="28"/>
          <w:szCs w:val="28"/>
          <w:lang w:eastAsia="lv-LV"/>
        </w:rPr>
        <w:t>.</w:t>
      </w:r>
      <w:r w:rsidR="00320DAD">
        <w:rPr>
          <w:rFonts w:eastAsia="Times New Roman"/>
          <w:sz w:val="28"/>
          <w:szCs w:val="28"/>
          <w:lang w:eastAsia="lv-LV"/>
        </w:rPr>
        <w:t xml:space="preserve"> Projekta konceptuālais ziņojums </w:t>
      </w:r>
      <w:r w:rsidR="00320DAD" w:rsidRPr="00320DAD">
        <w:rPr>
          <w:rFonts w:eastAsia="Times New Roman"/>
          <w:i/>
          <w:sz w:val="28"/>
          <w:szCs w:val="28"/>
          <w:lang w:eastAsia="lv-LV"/>
        </w:rPr>
        <w:t>“</w:t>
      </w:r>
      <w:proofErr w:type="spellStart"/>
      <w:r w:rsidR="00320DAD" w:rsidRPr="00320DAD">
        <w:rPr>
          <w:rFonts w:eastAsia="Times New Roman"/>
          <w:i/>
          <w:sz w:val="28"/>
          <w:szCs w:val="28"/>
          <w:lang w:eastAsia="lv-LV"/>
        </w:rPr>
        <w:t>Design</w:t>
      </w:r>
      <w:proofErr w:type="spellEnd"/>
      <w:r w:rsidR="00320DAD" w:rsidRPr="00320DAD">
        <w:rPr>
          <w:rFonts w:eastAsia="Times New Roman"/>
          <w:i/>
          <w:sz w:val="28"/>
          <w:szCs w:val="28"/>
          <w:lang w:eastAsia="lv-LV"/>
        </w:rPr>
        <w:t xml:space="preserve"> </w:t>
      </w:r>
      <w:proofErr w:type="spellStart"/>
      <w:r w:rsidR="00320DAD" w:rsidRPr="00320DAD">
        <w:rPr>
          <w:rFonts w:eastAsia="Times New Roman"/>
          <w:i/>
          <w:sz w:val="28"/>
          <w:szCs w:val="28"/>
          <w:lang w:eastAsia="lv-LV"/>
        </w:rPr>
        <w:lastRenderedPageBreak/>
        <w:t>Report</w:t>
      </w:r>
      <w:proofErr w:type="spellEnd"/>
      <w:r w:rsidR="00320DAD" w:rsidRPr="00320DAD">
        <w:rPr>
          <w:rFonts w:eastAsia="Times New Roman"/>
          <w:i/>
          <w:sz w:val="28"/>
          <w:szCs w:val="28"/>
          <w:lang w:eastAsia="lv-LV"/>
        </w:rPr>
        <w:t xml:space="preserve">: </w:t>
      </w:r>
      <w:proofErr w:type="spellStart"/>
      <w:r w:rsidR="00320DAD" w:rsidRPr="00320DAD">
        <w:rPr>
          <w:rFonts w:eastAsia="Times New Roman"/>
          <w:i/>
          <w:sz w:val="28"/>
          <w:szCs w:val="28"/>
          <w:lang w:eastAsia="lv-LV"/>
        </w:rPr>
        <w:t>Structural</w:t>
      </w:r>
      <w:proofErr w:type="spellEnd"/>
      <w:r w:rsidR="00320DAD" w:rsidRPr="00320DAD">
        <w:rPr>
          <w:rFonts w:eastAsia="Times New Roman"/>
          <w:i/>
          <w:sz w:val="28"/>
          <w:szCs w:val="28"/>
          <w:lang w:eastAsia="lv-LV"/>
        </w:rPr>
        <w:t xml:space="preserve"> </w:t>
      </w:r>
      <w:proofErr w:type="spellStart"/>
      <w:r w:rsidR="00320DAD" w:rsidRPr="00320DAD">
        <w:rPr>
          <w:rFonts w:eastAsia="Times New Roman"/>
          <w:i/>
          <w:sz w:val="28"/>
          <w:szCs w:val="28"/>
          <w:lang w:eastAsia="lv-LV"/>
        </w:rPr>
        <w:t>Fund</w:t>
      </w:r>
      <w:proofErr w:type="spellEnd"/>
      <w:r w:rsidR="00320DAD" w:rsidRPr="00320DAD">
        <w:rPr>
          <w:rFonts w:eastAsia="Times New Roman"/>
          <w:i/>
          <w:sz w:val="28"/>
          <w:szCs w:val="28"/>
          <w:lang w:eastAsia="lv-LV"/>
        </w:rPr>
        <w:t xml:space="preserve"> </w:t>
      </w:r>
      <w:proofErr w:type="spellStart"/>
      <w:r w:rsidR="00320DAD" w:rsidRPr="00320DAD">
        <w:rPr>
          <w:rFonts w:eastAsia="Times New Roman"/>
          <w:i/>
          <w:sz w:val="28"/>
          <w:szCs w:val="28"/>
          <w:lang w:eastAsia="lv-LV"/>
        </w:rPr>
        <w:t>Based</w:t>
      </w:r>
      <w:proofErr w:type="spellEnd"/>
      <w:r w:rsidR="00320DAD" w:rsidRPr="00320DAD">
        <w:rPr>
          <w:rFonts w:eastAsia="Times New Roman"/>
          <w:i/>
          <w:sz w:val="28"/>
          <w:szCs w:val="28"/>
          <w:lang w:eastAsia="lv-LV"/>
        </w:rPr>
        <w:t xml:space="preserve"> SME </w:t>
      </w:r>
      <w:proofErr w:type="spellStart"/>
      <w:r w:rsidR="00320DAD" w:rsidRPr="00320DAD">
        <w:rPr>
          <w:rFonts w:eastAsia="Times New Roman"/>
          <w:i/>
          <w:sz w:val="28"/>
          <w:szCs w:val="28"/>
          <w:lang w:eastAsia="lv-LV"/>
        </w:rPr>
        <w:t>Equity</w:t>
      </w:r>
      <w:proofErr w:type="spellEnd"/>
      <w:r w:rsidR="00320DAD" w:rsidRPr="00320DAD">
        <w:rPr>
          <w:rFonts w:eastAsia="Times New Roman"/>
          <w:i/>
          <w:sz w:val="28"/>
          <w:szCs w:val="28"/>
          <w:lang w:eastAsia="lv-LV"/>
        </w:rPr>
        <w:t xml:space="preserve"> </w:t>
      </w:r>
      <w:proofErr w:type="spellStart"/>
      <w:r w:rsidR="00320DAD" w:rsidRPr="00320DAD">
        <w:rPr>
          <w:rFonts w:eastAsia="Times New Roman"/>
          <w:i/>
          <w:sz w:val="28"/>
          <w:szCs w:val="28"/>
          <w:lang w:eastAsia="lv-LV"/>
        </w:rPr>
        <w:t>Support</w:t>
      </w:r>
      <w:proofErr w:type="spellEnd"/>
      <w:r w:rsidR="00320DAD" w:rsidRPr="00320DAD">
        <w:rPr>
          <w:rFonts w:eastAsia="Times New Roman"/>
          <w:i/>
          <w:sz w:val="28"/>
          <w:szCs w:val="28"/>
          <w:lang w:eastAsia="lv-LV"/>
        </w:rPr>
        <w:t xml:space="preserve"> Instrument”</w:t>
      </w:r>
      <w:r w:rsidR="00320DAD">
        <w:rPr>
          <w:rFonts w:eastAsia="Times New Roman"/>
          <w:i/>
          <w:sz w:val="28"/>
          <w:szCs w:val="28"/>
          <w:lang w:eastAsia="lv-LV"/>
        </w:rPr>
        <w:t>(angļu val.)</w:t>
      </w:r>
      <w:r w:rsidR="007F28F5">
        <w:rPr>
          <w:rStyle w:val="FootnoteReference"/>
          <w:rFonts w:eastAsia="Times New Roman"/>
          <w:i/>
          <w:sz w:val="28"/>
          <w:szCs w:val="28"/>
          <w:lang w:eastAsia="lv-LV"/>
        </w:rPr>
        <w:footnoteReference w:id="2"/>
      </w:r>
      <w:r w:rsidR="00320DAD">
        <w:rPr>
          <w:rFonts w:eastAsia="Times New Roman"/>
          <w:sz w:val="28"/>
          <w:szCs w:val="28"/>
          <w:lang w:eastAsia="lv-LV"/>
        </w:rPr>
        <w:t xml:space="preserve"> tika pabeigts un iesniegts Finanšu ministrijā </w:t>
      </w:r>
      <w:r w:rsidR="009B5E57">
        <w:rPr>
          <w:rFonts w:eastAsia="Times New Roman"/>
          <w:sz w:val="28"/>
          <w:szCs w:val="28"/>
          <w:lang w:eastAsia="lv-LV"/>
        </w:rPr>
        <w:t xml:space="preserve">2018.gada </w:t>
      </w:r>
      <w:r w:rsidR="00320DAD">
        <w:rPr>
          <w:rFonts w:eastAsia="Times New Roman"/>
          <w:sz w:val="28"/>
          <w:szCs w:val="28"/>
          <w:lang w:eastAsia="lv-LV"/>
        </w:rPr>
        <w:t xml:space="preserve">30.jūlijā. </w:t>
      </w:r>
      <w:r w:rsidR="00204760">
        <w:rPr>
          <w:rFonts w:eastAsia="Times New Roman"/>
          <w:sz w:val="28"/>
          <w:szCs w:val="28"/>
          <w:lang w:eastAsia="lv-LV"/>
        </w:rPr>
        <w:t>Projekta konceptuālais z</w:t>
      </w:r>
      <w:r w:rsidR="007F28F5">
        <w:rPr>
          <w:rFonts w:eastAsia="Times New Roman"/>
          <w:sz w:val="28"/>
          <w:szCs w:val="28"/>
          <w:lang w:eastAsia="lv-LV"/>
        </w:rPr>
        <w:t>iņojums ir publiski pieejams</w:t>
      </w:r>
      <w:r w:rsidR="00A12FD7">
        <w:rPr>
          <w:rFonts w:eastAsia="Times New Roman"/>
          <w:sz w:val="28"/>
          <w:szCs w:val="28"/>
          <w:lang w:eastAsia="lv-LV"/>
        </w:rPr>
        <w:t xml:space="preserve"> Finanšu ministrijas interneta vietnē</w:t>
      </w:r>
      <w:r w:rsidR="007F28F5">
        <w:rPr>
          <w:rFonts w:eastAsia="Times New Roman"/>
          <w:sz w:val="28"/>
          <w:szCs w:val="28"/>
          <w:lang w:eastAsia="lv-LV"/>
        </w:rPr>
        <w:t>.</w:t>
      </w:r>
    </w:p>
    <w:p w14:paraId="5748DF8D" w14:textId="415A7908" w:rsidR="001008A2" w:rsidRDefault="00126654" w:rsidP="00126654">
      <w:pPr>
        <w:pStyle w:val="Default"/>
        <w:ind w:firstLine="720"/>
        <w:jc w:val="both"/>
        <w:rPr>
          <w:rFonts w:eastAsia="Times New Roman"/>
          <w:sz w:val="28"/>
          <w:szCs w:val="28"/>
          <w:lang w:eastAsia="lv-LV"/>
        </w:rPr>
      </w:pPr>
      <w:r w:rsidRPr="00126654">
        <w:rPr>
          <w:rFonts w:eastAsia="Times New Roman"/>
          <w:sz w:val="28"/>
          <w:szCs w:val="28"/>
          <w:lang w:eastAsia="lv-LV"/>
        </w:rPr>
        <w:t>Šis informatīvais ziņojums ir sagatavots, balstoties uz projekta koncep</w:t>
      </w:r>
      <w:r w:rsidR="00320DAD">
        <w:rPr>
          <w:rFonts w:eastAsia="Times New Roman"/>
          <w:sz w:val="28"/>
          <w:szCs w:val="28"/>
          <w:lang w:eastAsia="lv-LV"/>
        </w:rPr>
        <w:t>tuāl</w:t>
      </w:r>
      <w:r w:rsidR="007F28F5">
        <w:rPr>
          <w:rFonts w:eastAsia="Times New Roman"/>
          <w:sz w:val="28"/>
          <w:szCs w:val="28"/>
          <w:lang w:eastAsia="lv-LV"/>
        </w:rPr>
        <w:t xml:space="preserve">o </w:t>
      </w:r>
      <w:r w:rsidRPr="00126654">
        <w:rPr>
          <w:rFonts w:eastAsia="Times New Roman"/>
          <w:sz w:val="28"/>
          <w:szCs w:val="28"/>
          <w:lang w:eastAsia="lv-LV"/>
        </w:rPr>
        <w:t>ziņojumu.</w:t>
      </w:r>
    </w:p>
    <w:p w14:paraId="51CBE6C8" w14:textId="174AC653" w:rsidR="00126654" w:rsidRDefault="00126654" w:rsidP="00126654">
      <w:pPr>
        <w:pStyle w:val="Default"/>
        <w:ind w:firstLine="720"/>
        <w:jc w:val="both"/>
        <w:rPr>
          <w:color w:val="auto"/>
          <w:sz w:val="28"/>
          <w:szCs w:val="28"/>
        </w:rPr>
      </w:pPr>
    </w:p>
    <w:p w14:paraId="2AA71A19" w14:textId="77777777" w:rsidR="007F28F5" w:rsidRPr="00041593" w:rsidRDefault="007F28F5" w:rsidP="00126654">
      <w:pPr>
        <w:pStyle w:val="Default"/>
        <w:ind w:firstLine="720"/>
        <w:jc w:val="both"/>
        <w:rPr>
          <w:color w:val="auto"/>
          <w:sz w:val="28"/>
          <w:szCs w:val="28"/>
        </w:rPr>
      </w:pPr>
    </w:p>
    <w:p w14:paraId="21B50628" w14:textId="77777777" w:rsidR="00E55189" w:rsidRPr="0039486D" w:rsidRDefault="00B02343" w:rsidP="00625F63">
      <w:pPr>
        <w:pStyle w:val="ListParagraph"/>
        <w:numPr>
          <w:ilvl w:val="0"/>
          <w:numId w:val="1"/>
        </w:numPr>
        <w:spacing w:after="0" w:line="240" w:lineRule="auto"/>
        <w:jc w:val="both"/>
        <w:rPr>
          <w:rFonts w:ascii="Times New Roman" w:eastAsia="Times New Roman" w:hAnsi="Times New Roman"/>
          <w:b/>
          <w:color w:val="000000"/>
          <w:sz w:val="28"/>
          <w:szCs w:val="28"/>
          <w:lang w:eastAsia="lv-LV"/>
        </w:rPr>
      </w:pPr>
      <w:r w:rsidRPr="0039486D">
        <w:rPr>
          <w:rFonts w:ascii="Times New Roman" w:eastAsia="Times New Roman" w:hAnsi="Times New Roman"/>
          <w:b/>
          <w:color w:val="000000"/>
          <w:sz w:val="28"/>
          <w:szCs w:val="28"/>
          <w:lang w:eastAsia="lv-LV"/>
        </w:rPr>
        <w:t>Situācijas analīze</w:t>
      </w:r>
      <w:r w:rsidR="008D6B3D" w:rsidRPr="0039486D">
        <w:rPr>
          <w:rFonts w:ascii="Times New Roman" w:eastAsia="Times New Roman" w:hAnsi="Times New Roman"/>
          <w:b/>
          <w:color w:val="000000"/>
          <w:sz w:val="28"/>
          <w:szCs w:val="28"/>
          <w:lang w:eastAsia="lv-LV"/>
        </w:rPr>
        <w:t xml:space="preserve"> un atbalsta </w:t>
      </w:r>
      <w:r w:rsidR="00F52006" w:rsidRPr="0039486D">
        <w:rPr>
          <w:rFonts w:ascii="Times New Roman" w:eastAsia="Times New Roman" w:hAnsi="Times New Roman"/>
          <w:b/>
          <w:color w:val="000000"/>
          <w:sz w:val="28"/>
          <w:szCs w:val="28"/>
          <w:lang w:eastAsia="lv-LV"/>
        </w:rPr>
        <w:t>pasākuma</w:t>
      </w:r>
      <w:r w:rsidR="008D6B3D" w:rsidRPr="0039486D">
        <w:rPr>
          <w:rFonts w:ascii="Times New Roman" w:eastAsia="Times New Roman" w:hAnsi="Times New Roman"/>
          <w:b/>
          <w:color w:val="000000"/>
          <w:sz w:val="28"/>
          <w:szCs w:val="28"/>
          <w:lang w:eastAsia="lv-LV"/>
        </w:rPr>
        <w:t xml:space="preserve"> nepieciešamība</w:t>
      </w:r>
    </w:p>
    <w:p w14:paraId="38B9EF85" w14:textId="77777777" w:rsidR="009064D2" w:rsidRPr="00612817" w:rsidRDefault="009064D2" w:rsidP="009064D2">
      <w:pPr>
        <w:pStyle w:val="ListParagraph"/>
        <w:spacing w:after="0" w:line="240" w:lineRule="auto"/>
        <w:jc w:val="both"/>
        <w:rPr>
          <w:rFonts w:ascii="Times New Roman" w:eastAsia="Times New Roman" w:hAnsi="Times New Roman"/>
          <w:b/>
          <w:i/>
          <w:color w:val="000000"/>
          <w:sz w:val="28"/>
          <w:szCs w:val="28"/>
          <w:lang w:eastAsia="lv-LV"/>
        </w:rPr>
      </w:pPr>
    </w:p>
    <w:p w14:paraId="5A5C2BBA" w14:textId="17AC876E" w:rsidR="00126654" w:rsidRPr="00126654" w:rsidRDefault="00126654" w:rsidP="00126654">
      <w:pPr>
        <w:pStyle w:val="Default"/>
        <w:ind w:firstLine="720"/>
        <w:jc w:val="both"/>
        <w:rPr>
          <w:color w:val="auto"/>
          <w:sz w:val="28"/>
          <w:szCs w:val="28"/>
        </w:rPr>
      </w:pPr>
      <w:r w:rsidRPr="00126654">
        <w:rPr>
          <w:color w:val="auto"/>
          <w:sz w:val="28"/>
          <w:szCs w:val="28"/>
        </w:rPr>
        <w:t xml:space="preserve">Latvijā biržas potenciāls un iespējas uzņēmumu finansēšanai piesaistīt alternatīvo finansējumu kapitāla tirgos netiek pietiekoši izmantotas. Biržas </w:t>
      </w:r>
      <w:r w:rsidR="00204760">
        <w:rPr>
          <w:color w:val="auto"/>
          <w:sz w:val="28"/>
          <w:szCs w:val="28"/>
        </w:rPr>
        <w:t xml:space="preserve">AS </w:t>
      </w:r>
      <w:r w:rsidRPr="00126654">
        <w:rPr>
          <w:color w:val="auto"/>
          <w:sz w:val="28"/>
          <w:szCs w:val="28"/>
        </w:rPr>
        <w:t>“</w:t>
      </w:r>
      <w:proofErr w:type="spellStart"/>
      <w:r w:rsidRPr="00126654">
        <w:rPr>
          <w:color w:val="auto"/>
          <w:sz w:val="28"/>
          <w:szCs w:val="28"/>
        </w:rPr>
        <w:t>Nasdaq</w:t>
      </w:r>
      <w:proofErr w:type="spellEnd"/>
      <w:r w:rsidRPr="00126654">
        <w:rPr>
          <w:color w:val="auto"/>
          <w:sz w:val="28"/>
          <w:szCs w:val="28"/>
        </w:rPr>
        <w:t xml:space="preserve"> </w:t>
      </w:r>
      <w:proofErr w:type="spellStart"/>
      <w:r w:rsidRPr="00126654">
        <w:rPr>
          <w:color w:val="auto"/>
          <w:sz w:val="28"/>
          <w:szCs w:val="28"/>
        </w:rPr>
        <w:t>Riga</w:t>
      </w:r>
      <w:proofErr w:type="spellEnd"/>
      <w:r w:rsidRPr="00126654">
        <w:rPr>
          <w:color w:val="auto"/>
          <w:sz w:val="28"/>
          <w:szCs w:val="28"/>
        </w:rPr>
        <w:t xml:space="preserve">” Baltijas Oficiālajā sarakstā šobrīd ir iekļautas tikai četru Latvijas uzņēmumu akcijas un vēl trīs uzņēmumu akcijas tiek tirgotas Baltijas Alternatīvajā tirgū </w:t>
      </w:r>
      <w:r w:rsidR="00204760">
        <w:rPr>
          <w:color w:val="auto"/>
          <w:sz w:val="28"/>
          <w:szCs w:val="28"/>
        </w:rPr>
        <w:t>“</w:t>
      </w:r>
      <w:r w:rsidRPr="00126654">
        <w:rPr>
          <w:color w:val="auto"/>
          <w:sz w:val="28"/>
          <w:szCs w:val="28"/>
        </w:rPr>
        <w:t>First North</w:t>
      </w:r>
      <w:r w:rsidR="00204760">
        <w:rPr>
          <w:color w:val="auto"/>
          <w:sz w:val="28"/>
          <w:szCs w:val="28"/>
        </w:rPr>
        <w:t>”</w:t>
      </w:r>
      <w:r w:rsidRPr="00126654">
        <w:rPr>
          <w:color w:val="auto"/>
          <w:sz w:val="28"/>
          <w:szCs w:val="28"/>
        </w:rPr>
        <w:t>. Salīdzinājumam Baltijas Oficiālajā sarakstā ir iekļaut</w:t>
      </w:r>
      <w:r w:rsidR="00C62D50">
        <w:rPr>
          <w:color w:val="auto"/>
          <w:sz w:val="28"/>
          <w:szCs w:val="28"/>
        </w:rPr>
        <w:t>as</w:t>
      </w:r>
      <w:r w:rsidRPr="00126654">
        <w:rPr>
          <w:color w:val="auto"/>
          <w:sz w:val="28"/>
          <w:szCs w:val="28"/>
        </w:rPr>
        <w:t xml:space="preserve"> 15 Igaunijas un 13</w:t>
      </w:r>
      <w:r>
        <w:rPr>
          <w:color w:val="auto"/>
          <w:sz w:val="28"/>
          <w:szCs w:val="28"/>
        </w:rPr>
        <w:t xml:space="preserve"> </w:t>
      </w:r>
      <w:r w:rsidRPr="00126654">
        <w:rPr>
          <w:color w:val="auto"/>
          <w:sz w:val="28"/>
          <w:szCs w:val="28"/>
        </w:rPr>
        <w:t>Lietuvas uzņēmumu akcijas. Šobrīd akciju tirgus lielums (tirgus kapitalizācija</w:t>
      </w:r>
      <w:r w:rsidR="0005290A">
        <w:rPr>
          <w:color w:val="auto"/>
          <w:sz w:val="28"/>
          <w:szCs w:val="28"/>
        </w:rPr>
        <w:t>)</w:t>
      </w:r>
      <w:r w:rsidRPr="00126654">
        <w:rPr>
          <w:color w:val="auto"/>
          <w:sz w:val="28"/>
          <w:szCs w:val="28"/>
        </w:rPr>
        <w:t xml:space="preserve"> attiecībā pret kopējo ekonomikas lielumu ir salīdzinoši mazs. Latvijas tirgus kapitalizācija 2017.gadā sasniedza tikai 4,6%</w:t>
      </w:r>
      <w:r w:rsidR="00EB3502">
        <w:rPr>
          <w:rStyle w:val="FootnoteReference"/>
          <w:color w:val="auto"/>
          <w:sz w:val="28"/>
          <w:szCs w:val="28"/>
        </w:rPr>
        <w:footnoteReference w:id="3"/>
      </w:r>
      <w:r w:rsidRPr="00126654">
        <w:rPr>
          <w:color w:val="auto"/>
          <w:sz w:val="28"/>
          <w:szCs w:val="28"/>
        </w:rPr>
        <w:t xml:space="preserve"> no </w:t>
      </w:r>
      <w:r w:rsidR="00CC757F">
        <w:rPr>
          <w:color w:val="auto"/>
          <w:sz w:val="28"/>
          <w:szCs w:val="28"/>
        </w:rPr>
        <w:t>iekšzemes kopprodukta (turpmāk – IKP)</w:t>
      </w:r>
      <w:r w:rsidRPr="00126654">
        <w:rPr>
          <w:color w:val="auto"/>
          <w:sz w:val="28"/>
          <w:szCs w:val="28"/>
        </w:rPr>
        <w:t xml:space="preserve">, kas ir būtiski zem ES vidējā rādītāja - 77,9%, savukārt kaimiņvalstīs Igaunijā un Lietuvā šie rādītāji ir attiecīgi 11,2% un 9,0%. Latvijas kapitāla tirgus ir viens no vismazāk attīstītajiem kapitāla tirgiem </w:t>
      </w:r>
      <w:r w:rsidR="00E841E2">
        <w:rPr>
          <w:color w:val="auto"/>
          <w:sz w:val="28"/>
          <w:szCs w:val="28"/>
        </w:rPr>
        <w:t>ES</w:t>
      </w:r>
      <w:r w:rsidRPr="00126654">
        <w:rPr>
          <w:color w:val="auto"/>
          <w:sz w:val="28"/>
          <w:szCs w:val="28"/>
        </w:rPr>
        <w:t xml:space="preserve">, kamēr Ziemeļvalstīs </w:t>
      </w:r>
      <w:r w:rsidR="0005290A">
        <w:rPr>
          <w:color w:val="auto"/>
          <w:sz w:val="28"/>
          <w:szCs w:val="28"/>
        </w:rPr>
        <w:t>-</w:t>
      </w:r>
      <w:r w:rsidRPr="00126654">
        <w:rPr>
          <w:color w:val="auto"/>
          <w:sz w:val="28"/>
          <w:szCs w:val="28"/>
        </w:rPr>
        <w:t xml:space="preserve"> viens no attīstītākajiem pasaulē.</w:t>
      </w:r>
    </w:p>
    <w:p w14:paraId="1D0654F7" w14:textId="734D57C5" w:rsidR="00126654" w:rsidRPr="00126654" w:rsidRDefault="00126654" w:rsidP="00126654">
      <w:pPr>
        <w:pStyle w:val="Default"/>
        <w:ind w:firstLine="720"/>
        <w:jc w:val="both"/>
        <w:rPr>
          <w:color w:val="auto"/>
          <w:sz w:val="28"/>
          <w:szCs w:val="28"/>
        </w:rPr>
      </w:pPr>
      <w:r w:rsidRPr="00126654">
        <w:rPr>
          <w:color w:val="auto"/>
          <w:sz w:val="28"/>
          <w:szCs w:val="28"/>
        </w:rPr>
        <w:t>Šai situācijai ir vairāki iemesli un skaidrojumi. Projekta koncep</w:t>
      </w:r>
      <w:r w:rsidR="00320DAD">
        <w:rPr>
          <w:color w:val="auto"/>
          <w:sz w:val="28"/>
          <w:szCs w:val="28"/>
        </w:rPr>
        <w:t>tuālajā</w:t>
      </w:r>
      <w:r w:rsidRPr="00126654">
        <w:rPr>
          <w:color w:val="auto"/>
          <w:sz w:val="28"/>
          <w:szCs w:val="28"/>
        </w:rPr>
        <w:t xml:space="preserve"> ziņojumā tika identificēti vairāki šķēršļi, kas kavē strauji augošu uzņēmumu kotāciju biržā:</w:t>
      </w:r>
    </w:p>
    <w:p w14:paraId="16F64BC5" w14:textId="18A9EB94" w:rsidR="00126654" w:rsidRPr="00126654" w:rsidRDefault="00E841E2" w:rsidP="00625F63">
      <w:pPr>
        <w:pStyle w:val="Default"/>
        <w:numPr>
          <w:ilvl w:val="0"/>
          <w:numId w:val="2"/>
        </w:numPr>
        <w:jc w:val="both"/>
        <w:rPr>
          <w:color w:val="auto"/>
          <w:sz w:val="28"/>
          <w:szCs w:val="28"/>
        </w:rPr>
      </w:pPr>
      <w:r>
        <w:rPr>
          <w:color w:val="auto"/>
          <w:sz w:val="28"/>
          <w:szCs w:val="28"/>
        </w:rPr>
        <w:t>a</w:t>
      </w:r>
      <w:r w:rsidR="00126654" w:rsidRPr="00126654">
        <w:rPr>
          <w:color w:val="auto"/>
          <w:sz w:val="28"/>
          <w:szCs w:val="28"/>
        </w:rPr>
        <w:t xml:space="preserve">ugstas izmaksas, lai uzsāktu akciju kotēšanu biržā. Zemais pieprasījums un ierobežotā pieredze konsultāciju tirgū sadārdzina sagatavošanos sākotnējam publiskajam piedāvājumam </w:t>
      </w:r>
      <w:r w:rsidR="00126654" w:rsidRPr="00CC757F">
        <w:rPr>
          <w:color w:val="auto"/>
          <w:sz w:val="28"/>
          <w:szCs w:val="28"/>
        </w:rPr>
        <w:t>(turpmāk starptautiskais saīsinājums - “IPO”)</w:t>
      </w:r>
      <w:r w:rsidR="00126654" w:rsidRPr="00126654">
        <w:rPr>
          <w:color w:val="auto"/>
          <w:sz w:val="28"/>
          <w:szCs w:val="28"/>
        </w:rPr>
        <w:t xml:space="preserve">. Uzņēmumu padziļinātā izpēte </w:t>
      </w:r>
      <w:r w:rsidR="00126654" w:rsidRPr="00EB3502">
        <w:rPr>
          <w:i/>
          <w:color w:val="auto"/>
          <w:sz w:val="28"/>
          <w:szCs w:val="28"/>
        </w:rPr>
        <w:t>(</w:t>
      </w:r>
      <w:proofErr w:type="spellStart"/>
      <w:r w:rsidR="00126654" w:rsidRPr="00EB3502">
        <w:rPr>
          <w:i/>
          <w:color w:val="auto"/>
          <w:sz w:val="28"/>
          <w:szCs w:val="28"/>
        </w:rPr>
        <w:t>Due</w:t>
      </w:r>
      <w:proofErr w:type="spellEnd"/>
      <w:r w:rsidR="00126654" w:rsidRPr="00EB3502">
        <w:rPr>
          <w:i/>
          <w:color w:val="auto"/>
          <w:sz w:val="28"/>
          <w:szCs w:val="28"/>
        </w:rPr>
        <w:t xml:space="preserve"> </w:t>
      </w:r>
      <w:proofErr w:type="spellStart"/>
      <w:r w:rsidR="00126654" w:rsidRPr="00EB3502">
        <w:rPr>
          <w:i/>
          <w:color w:val="auto"/>
          <w:sz w:val="28"/>
          <w:szCs w:val="28"/>
        </w:rPr>
        <w:t>diligence</w:t>
      </w:r>
      <w:proofErr w:type="spellEnd"/>
      <w:r w:rsidR="00126654" w:rsidRPr="00EB3502">
        <w:rPr>
          <w:i/>
          <w:color w:val="auto"/>
          <w:sz w:val="28"/>
          <w:szCs w:val="28"/>
        </w:rPr>
        <w:t>)</w:t>
      </w:r>
      <w:r w:rsidR="00126654" w:rsidRPr="00126654">
        <w:rPr>
          <w:color w:val="auto"/>
          <w:sz w:val="28"/>
          <w:szCs w:val="28"/>
        </w:rPr>
        <w:t xml:space="preserve">, prospekta sagatavošana, juridiskās un finanšu konsultācijas kopā var izmaksāt līdz pat 300 tūkstošiem </w:t>
      </w:r>
      <w:proofErr w:type="spellStart"/>
      <w:r w:rsidR="00126654" w:rsidRPr="00625F63">
        <w:rPr>
          <w:i/>
          <w:color w:val="auto"/>
          <w:sz w:val="28"/>
          <w:szCs w:val="28"/>
        </w:rPr>
        <w:t>euro</w:t>
      </w:r>
      <w:proofErr w:type="spellEnd"/>
      <w:r w:rsidR="00126654" w:rsidRPr="00126654">
        <w:rPr>
          <w:color w:val="auto"/>
          <w:sz w:val="28"/>
          <w:szCs w:val="28"/>
        </w:rPr>
        <w:t xml:space="preserve">, kas ir </w:t>
      </w:r>
      <w:r w:rsidR="0005290A">
        <w:rPr>
          <w:color w:val="auto"/>
          <w:sz w:val="28"/>
          <w:szCs w:val="28"/>
        </w:rPr>
        <w:t>augstas izmaksas</w:t>
      </w:r>
      <w:r w:rsidR="00126654" w:rsidRPr="00126654">
        <w:rPr>
          <w:color w:val="auto"/>
          <w:sz w:val="28"/>
          <w:szCs w:val="28"/>
        </w:rPr>
        <w:t xml:space="preserve"> maziem un vidējiem uzņēmumiem. Turklāt jāņem vērā, ka vienmēr pastāv IPO neizdošanās risks nelabvēlīgas tirgus situācijas vai citu apstākļu dēļ</w:t>
      </w:r>
      <w:r>
        <w:rPr>
          <w:color w:val="auto"/>
          <w:sz w:val="28"/>
          <w:szCs w:val="28"/>
        </w:rPr>
        <w:t>;</w:t>
      </w:r>
    </w:p>
    <w:p w14:paraId="01C57559" w14:textId="4AA2CA17" w:rsidR="00126654" w:rsidRPr="00126654" w:rsidRDefault="00E841E2" w:rsidP="00625F63">
      <w:pPr>
        <w:pStyle w:val="Default"/>
        <w:numPr>
          <w:ilvl w:val="0"/>
          <w:numId w:val="2"/>
        </w:numPr>
        <w:jc w:val="both"/>
        <w:rPr>
          <w:color w:val="auto"/>
          <w:sz w:val="28"/>
          <w:szCs w:val="28"/>
        </w:rPr>
      </w:pPr>
      <w:r>
        <w:rPr>
          <w:color w:val="auto"/>
          <w:sz w:val="28"/>
          <w:szCs w:val="28"/>
        </w:rPr>
        <w:t>z</w:t>
      </w:r>
      <w:r w:rsidR="00126654" w:rsidRPr="00126654">
        <w:rPr>
          <w:color w:val="auto"/>
          <w:sz w:val="28"/>
          <w:szCs w:val="28"/>
        </w:rPr>
        <w:t>ema tirgus likviditāte. Latvijas kapitāla tirgum ir raksturīga zema tirgus likviditāte, kas rada negatīvu “apburto loku”, jo samazina lielākiem investoriem iespējas realizēt akcijas otrreizējā tirgū. Likviditātes trūkums attur arī riska kapitāla uzņēmumus apsvērt kotāciju biržā kā potenciālu izejas stratēģiju</w:t>
      </w:r>
      <w:r>
        <w:rPr>
          <w:color w:val="auto"/>
          <w:sz w:val="28"/>
          <w:szCs w:val="28"/>
        </w:rPr>
        <w:t>;</w:t>
      </w:r>
    </w:p>
    <w:p w14:paraId="0F339454" w14:textId="03987B8E" w:rsidR="00126654" w:rsidRDefault="00E841E2" w:rsidP="00625F63">
      <w:pPr>
        <w:pStyle w:val="Default"/>
        <w:numPr>
          <w:ilvl w:val="0"/>
          <w:numId w:val="2"/>
        </w:numPr>
        <w:jc w:val="both"/>
        <w:rPr>
          <w:color w:val="auto"/>
          <w:sz w:val="28"/>
          <w:szCs w:val="28"/>
        </w:rPr>
      </w:pPr>
      <w:r>
        <w:rPr>
          <w:color w:val="auto"/>
          <w:sz w:val="28"/>
          <w:szCs w:val="28"/>
        </w:rPr>
        <w:t>n</w:t>
      </w:r>
      <w:r w:rsidR="00126654" w:rsidRPr="00126654">
        <w:rPr>
          <w:color w:val="auto"/>
          <w:sz w:val="28"/>
          <w:szCs w:val="28"/>
        </w:rPr>
        <w:t xml:space="preserve">epietiekamas zināšanas par ieguvumiem no uzņēmumu kotācijas biržā un vispārējs akciju tirdzniecības kultūras trūkums. </w:t>
      </w:r>
      <w:r w:rsidR="00204760">
        <w:rPr>
          <w:color w:val="auto"/>
          <w:sz w:val="28"/>
          <w:szCs w:val="28"/>
        </w:rPr>
        <w:t xml:space="preserve">Ekonomiskās sadarbības un attīstības organizācijas </w:t>
      </w:r>
      <w:r w:rsidR="00126654" w:rsidRPr="00126654">
        <w:rPr>
          <w:color w:val="auto"/>
          <w:sz w:val="28"/>
          <w:szCs w:val="28"/>
        </w:rPr>
        <w:t>ziņojumā</w:t>
      </w:r>
      <w:r w:rsidR="00EB3502">
        <w:rPr>
          <w:rStyle w:val="FootnoteReference"/>
          <w:color w:val="auto"/>
          <w:sz w:val="28"/>
          <w:szCs w:val="28"/>
        </w:rPr>
        <w:footnoteReference w:id="4"/>
      </w:r>
      <w:r w:rsidR="00126654" w:rsidRPr="00126654">
        <w:rPr>
          <w:color w:val="auto"/>
          <w:sz w:val="28"/>
          <w:szCs w:val="28"/>
        </w:rPr>
        <w:t xml:space="preserve">  ir norādīts, ka </w:t>
      </w:r>
      <w:r w:rsidR="00126654" w:rsidRPr="00126654">
        <w:rPr>
          <w:color w:val="auto"/>
          <w:sz w:val="28"/>
          <w:szCs w:val="28"/>
        </w:rPr>
        <w:lastRenderedPageBreak/>
        <w:t>uzņēmumus no kotācijas biržā attur ne tikai augstas kotācijas izmaksas un regulatīvais slogs, bet arī vispārējo zināšanu par kapitāla tirgiem trūkums, akciju tirdzniecības kultūras un atbilstošas korporatīvās pārvaldības trūkums.</w:t>
      </w:r>
    </w:p>
    <w:p w14:paraId="05833741" w14:textId="77777777" w:rsidR="00126654" w:rsidRPr="00126654" w:rsidRDefault="00126654" w:rsidP="00126654">
      <w:pPr>
        <w:pStyle w:val="Default"/>
        <w:ind w:left="1155"/>
        <w:jc w:val="both"/>
        <w:rPr>
          <w:color w:val="auto"/>
          <w:sz w:val="28"/>
          <w:szCs w:val="28"/>
        </w:rPr>
      </w:pPr>
    </w:p>
    <w:p w14:paraId="48CE0873" w14:textId="06903609" w:rsidR="00126654" w:rsidRPr="00126654" w:rsidRDefault="00126654" w:rsidP="00126654">
      <w:pPr>
        <w:pStyle w:val="Default"/>
        <w:ind w:firstLine="720"/>
        <w:jc w:val="both"/>
        <w:rPr>
          <w:color w:val="auto"/>
          <w:sz w:val="28"/>
          <w:szCs w:val="28"/>
        </w:rPr>
      </w:pPr>
      <w:r w:rsidRPr="00126654">
        <w:rPr>
          <w:color w:val="auto"/>
          <w:sz w:val="28"/>
          <w:szCs w:val="28"/>
        </w:rPr>
        <w:t>Kapitāla piesaiste biržā ir nepieciešama strauji augošiem uzņēmumiem dažādu iemeslu dē</w:t>
      </w:r>
      <w:r w:rsidR="0005290A">
        <w:rPr>
          <w:color w:val="auto"/>
          <w:sz w:val="28"/>
          <w:szCs w:val="28"/>
        </w:rPr>
        <w:t>ļ</w:t>
      </w:r>
      <w:r w:rsidRPr="00126654">
        <w:rPr>
          <w:color w:val="auto"/>
          <w:sz w:val="28"/>
          <w:szCs w:val="28"/>
        </w:rPr>
        <w:t>, tai skaitā apvienošanās un pārņemšanas darījumos, ģeogrāfiskā</w:t>
      </w:r>
    </w:p>
    <w:p w14:paraId="298BEBB1" w14:textId="071F3486" w:rsidR="00126654" w:rsidRPr="00126654" w:rsidRDefault="00126654" w:rsidP="00126654">
      <w:pPr>
        <w:pStyle w:val="Default"/>
        <w:jc w:val="both"/>
        <w:rPr>
          <w:color w:val="auto"/>
          <w:sz w:val="28"/>
          <w:szCs w:val="28"/>
        </w:rPr>
      </w:pPr>
      <w:r w:rsidRPr="00126654">
        <w:rPr>
          <w:color w:val="auto"/>
          <w:sz w:val="28"/>
          <w:szCs w:val="28"/>
        </w:rPr>
        <w:t xml:space="preserve">ekspansijā un ražošanas kapacitātes ekspansijā. </w:t>
      </w:r>
      <w:r w:rsidR="003761FD">
        <w:rPr>
          <w:color w:val="auto"/>
          <w:sz w:val="28"/>
          <w:szCs w:val="28"/>
        </w:rPr>
        <w:t>Š</w:t>
      </w:r>
      <w:r w:rsidRPr="00126654">
        <w:rPr>
          <w:color w:val="auto"/>
          <w:sz w:val="28"/>
          <w:szCs w:val="28"/>
        </w:rPr>
        <w:t xml:space="preserve">ajās situācijās kapitāla nepieciešamība pārsniedz pieejamo banku aizdevumu finansējumu. Kā citus vērtīgus ieguvumus var pieminēt arī vieglāku pieeju papildus kapitāla un parāda finansējumam, labāku publisko tēlu un zīmola atpazīstamību. Kotācija biržā ir arī piemērota gadījumos, kad uzņēmumam trūkst nodrošinājuma (papildus aizdevuma saņemšanai no bankas), kad uzņēmumam ir neregulāra naudas plūsma un nepieciešams finansējums uz garāku termiņu nekā var piedāvāt bankas. Tirgus apstākļos, kad palielinās procentu likmes, kā tas šobrīd notiek </w:t>
      </w:r>
      <w:r w:rsidR="00204760">
        <w:rPr>
          <w:color w:val="auto"/>
          <w:sz w:val="28"/>
          <w:szCs w:val="28"/>
        </w:rPr>
        <w:t>Amerikas Savienoto Valstu</w:t>
      </w:r>
      <w:r w:rsidRPr="00126654">
        <w:rPr>
          <w:color w:val="auto"/>
          <w:sz w:val="28"/>
          <w:szCs w:val="28"/>
        </w:rPr>
        <w:t xml:space="preserve"> un ES, kapitāla piesaistes iespēja biržā kļūst arvien aktuālāka. Dārgāki aizņēmumi, lai finansētu uzņēmuma pamatdarbību un izaugsmi, kļūst par stimulu uzņēmumiem diversificēt finansējuma avotus un biržas loma arvien pieaug.</w:t>
      </w:r>
    </w:p>
    <w:p w14:paraId="77DDBEFD" w14:textId="7A842D11" w:rsidR="00126654" w:rsidRPr="00126654" w:rsidRDefault="00126654" w:rsidP="00223675">
      <w:pPr>
        <w:pStyle w:val="Default"/>
        <w:ind w:firstLine="720"/>
        <w:jc w:val="both"/>
        <w:rPr>
          <w:color w:val="auto"/>
          <w:sz w:val="28"/>
          <w:szCs w:val="28"/>
        </w:rPr>
      </w:pPr>
      <w:r w:rsidRPr="00126654">
        <w:rPr>
          <w:color w:val="auto"/>
          <w:sz w:val="28"/>
          <w:szCs w:val="28"/>
        </w:rPr>
        <w:t xml:space="preserve">Finanšu sektora attīstības plānā 2017.-2019.gadam </w:t>
      </w:r>
      <w:r w:rsidR="00CC757F">
        <w:rPr>
          <w:color w:val="auto"/>
          <w:sz w:val="28"/>
          <w:szCs w:val="28"/>
        </w:rPr>
        <w:t>1.3.nodaļā “Kapitāla tirgus</w:t>
      </w:r>
      <w:r w:rsidR="00D72A84">
        <w:rPr>
          <w:color w:val="auto"/>
          <w:sz w:val="28"/>
          <w:szCs w:val="28"/>
        </w:rPr>
        <w:t xml:space="preserve"> nozare</w:t>
      </w:r>
      <w:r w:rsidR="00CC757F">
        <w:rPr>
          <w:color w:val="auto"/>
          <w:sz w:val="28"/>
          <w:szCs w:val="28"/>
        </w:rPr>
        <w:t xml:space="preserve">” </w:t>
      </w:r>
      <w:r w:rsidR="00223675">
        <w:rPr>
          <w:color w:val="auto"/>
          <w:sz w:val="28"/>
          <w:szCs w:val="28"/>
        </w:rPr>
        <w:t xml:space="preserve">(29.-32.lpp) </w:t>
      </w:r>
      <w:r w:rsidRPr="00126654">
        <w:rPr>
          <w:color w:val="auto"/>
          <w:sz w:val="28"/>
          <w:szCs w:val="28"/>
        </w:rPr>
        <w:t xml:space="preserve">ir iekļauta nepieciešamība palielināt uzņēmumu skaitu, kas finansējumu piesaista biržā, kā arī veicināt aktīvāku investoru darbību kapitāla un parāda vērtspapīru tirgū. Turklāt arī uzņēmēju aptaujās kapitāla piesaiste biržā tiek minēts kā potenciāls finansējuma avots. Piemēram, 25% Latvijas </w:t>
      </w:r>
      <w:r w:rsidR="00223675">
        <w:rPr>
          <w:color w:val="auto"/>
          <w:sz w:val="28"/>
          <w:szCs w:val="28"/>
        </w:rPr>
        <w:t>MVU</w:t>
      </w:r>
      <w:r w:rsidRPr="00126654">
        <w:rPr>
          <w:color w:val="auto"/>
          <w:sz w:val="28"/>
          <w:szCs w:val="28"/>
        </w:rPr>
        <w:t xml:space="preserve"> norāda, ka ārējais kapitāla finansējums būtu piemērots to izaugsmes ambīciju realizēšanai, kas ir augsts līmenis ES valstu vidū, ierindojoties aiz Zviedrijas un Dānijas MVU</w:t>
      </w:r>
      <w:r w:rsidR="00EB3502">
        <w:rPr>
          <w:rStyle w:val="FootnoteReference"/>
          <w:color w:val="auto"/>
          <w:sz w:val="28"/>
          <w:szCs w:val="28"/>
        </w:rPr>
        <w:footnoteReference w:id="5"/>
      </w:r>
      <w:r w:rsidRPr="00126654">
        <w:rPr>
          <w:color w:val="auto"/>
          <w:sz w:val="28"/>
          <w:szCs w:val="28"/>
        </w:rPr>
        <w:t>. AS “</w:t>
      </w:r>
      <w:proofErr w:type="spellStart"/>
      <w:r w:rsidRPr="00126654">
        <w:rPr>
          <w:color w:val="auto"/>
          <w:sz w:val="28"/>
          <w:szCs w:val="28"/>
        </w:rPr>
        <w:t>Nasdaq</w:t>
      </w:r>
      <w:proofErr w:type="spellEnd"/>
      <w:r w:rsidRPr="00126654">
        <w:rPr>
          <w:color w:val="auto"/>
          <w:sz w:val="28"/>
          <w:szCs w:val="28"/>
        </w:rPr>
        <w:t xml:space="preserve"> </w:t>
      </w:r>
      <w:proofErr w:type="spellStart"/>
      <w:r w:rsidRPr="00126654">
        <w:rPr>
          <w:color w:val="auto"/>
          <w:sz w:val="28"/>
          <w:szCs w:val="28"/>
        </w:rPr>
        <w:t>Riga</w:t>
      </w:r>
      <w:proofErr w:type="spellEnd"/>
      <w:r w:rsidRPr="00126654">
        <w:rPr>
          <w:color w:val="auto"/>
          <w:sz w:val="28"/>
          <w:szCs w:val="28"/>
        </w:rPr>
        <w:t xml:space="preserve">” pieejamā informācija liecina, ka tuvākajos 2-3 gados vismaz 10 uzņēmumi varētu veikt IPO. Arī </w:t>
      </w:r>
      <w:r w:rsidR="00223675">
        <w:rPr>
          <w:color w:val="auto"/>
          <w:sz w:val="28"/>
          <w:szCs w:val="28"/>
        </w:rPr>
        <w:t>projekta konceptuālā ziņojuma</w:t>
      </w:r>
      <w:r w:rsidRPr="00126654">
        <w:rPr>
          <w:color w:val="auto"/>
          <w:sz w:val="28"/>
          <w:szCs w:val="28"/>
        </w:rPr>
        <w:t xml:space="preserve"> ietvaros veiktā uzņēmumu aptauja apstiprina, ka vairāki uzņēmumi apsvērtu akciju kotāciju biržā gadījumā, ja tiktu nodrošināts valsts atbalsts ar procesa īstenošanu saistīto izmaksu segšanai.</w:t>
      </w:r>
    </w:p>
    <w:p w14:paraId="10F4DA03" w14:textId="16A88D4F" w:rsidR="00126654" w:rsidRPr="00126654" w:rsidRDefault="00126654" w:rsidP="00126654">
      <w:pPr>
        <w:pStyle w:val="Default"/>
        <w:ind w:firstLine="720"/>
        <w:jc w:val="both"/>
        <w:rPr>
          <w:color w:val="auto"/>
          <w:sz w:val="28"/>
          <w:szCs w:val="28"/>
        </w:rPr>
      </w:pPr>
      <w:r w:rsidRPr="00126654">
        <w:rPr>
          <w:color w:val="auto"/>
          <w:sz w:val="28"/>
          <w:szCs w:val="28"/>
        </w:rPr>
        <w:t xml:space="preserve">Vairāki starptautiskie ekonomikas pētījumi apstiprina, ka pastāv statistiski nozīmīga cēloņsakarība starp kapitāla tirgus attīstības līmeni (tirgus kapitalizāciju) un ekonomikas izaugsmi. Izaugsmi stimulē vairāki faktori, kas rodas no augstas biržas aktivitātes, tai skaitā diversificēta pieeja kapitālam, efektīvs kapitāla izvietojums, ārvalstu investoru piesaiste, augsta likviditāte, riska diversifikācija un uzlabota korporatīvā pārvaldība. Saskaņā ar Ārvalstu investoru padomes Latvijā vērtējumu tirgus kapitalizācijas palielināšana līdz Igaunijas līmenim sniegtu būtisku ieguldījumu </w:t>
      </w:r>
      <w:r w:rsidR="00E841E2">
        <w:rPr>
          <w:color w:val="auto"/>
          <w:sz w:val="28"/>
          <w:szCs w:val="28"/>
        </w:rPr>
        <w:t>IKP</w:t>
      </w:r>
      <w:r w:rsidRPr="00126654">
        <w:rPr>
          <w:color w:val="auto"/>
          <w:sz w:val="28"/>
          <w:szCs w:val="28"/>
        </w:rPr>
        <w:t xml:space="preserve"> palielināšanā un radītu arī papildus nodokļu ieņēmumus.</w:t>
      </w:r>
    </w:p>
    <w:p w14:paraId="4F94673D" w14:textId="72F69790" w:rsidR="00091BD8" w:rsidRDefault="00126654" w:rsidP="00126654">
      <w:pPr>
        <w:pStyle w:val="Default"/>
        <w:ind w:firstLine="720"/>
        <w:jc w:val="both"/>
        <w:rPr>
          <w:color w:val="auto"/>
          <w:sz w:val="28"/>
          <w:szCs w:val="28"/>
        </w:rPr>
      </w:pPr>
      <w:r w:rsidRPr="00126654">
        <w:rPr>
          <w:color w:val="auto"/>
          <w:sz w:val="28"/>
          <w:szCs w:val="28"/>
        </w:rPr>
        <w:t xml:space="preserve">Biržas finansējuma trūkums </w:t>
      </w:r>
      <w:r w:rsidR="000D4862">
        <w:rPr>
          <w:color w:val="auto"/>
          <w:sz w:val="28"/>
          <w:szCs w:val="28"/>
        </w:rPr>
        <w:t>negatīvi ietekmē</w:t>
      </w:r>
      <w:r w:rsidRPr="00126654">
        <w:rPr>
          <w:color w:val="auto"/>
          <w:sz w:val="28"/>
          <w:szCs w:val="28"/>
        </w:rPr>
        <w:t xml:space="preserve"> finansējuma pieejamīb</w:t>
      </w:r>
      <w:r w:rsidR="000D4862">
        <w:rPr>
          <w:color w:val="auto"/>
          <w:sz w:val="28"/>
          <w:szCs w:val="28"/>
        </w:rPr>
        <w:t>u MVU</w:t>
      </w:r>
      <w:r w:rsidRPr="00126654">
        <w:rPr>
          <w:color w:val="auto"/>
          <w:sz w:val="28"/>
          <w:szCs w:val="28"/>
        </w:rPr>
        <w:t xml:space="preserve">. Pastāv saistība starp riska kapitāla un privātā kapitāla industrijas attīstību no vienas puses, un publiskā kapitāla tirgus attīstību no otras puses. Ja publiskais kapitāla tirgus </w:t>
      </w:r>
      <w:r w:rsidR="000D4862">
        <w:rPr>
          <w:color w:val="auto"/>
          <w:sz w:val="28"/>
          <w:szCs w:val="28"/>
        </w:rPr>
        <w:t>MVU</w:t>
      </w:r>
      <w:r w:rsidRPr="00126654">
        <w:rPr>
          <w:color w:val="auto"/>
          <w:sz w:val="28"/>
          <w:szCs w:val="28"/>
        </w:rPr>
        <w:t xml:space="preserve"> ir vājš, tad arī riska kapitāla fondu industrijas darbība kopumā tiek kavēta.</w:t>
      </w:r>
    </w:p>
    <w:p w14:paraId="0B496050" w14:textId="77777777" w:rsidR="005130E2" w:rsidRDefault="005130E2" w:rsidP="00BF207A">
      <w:pPr>
        <w:pStyle w:val="Default"/>
        <w:ind w:firstLine="720"/>
        <w:jc w:val="both"/>
        <w:rPr>
          <w:color w:val="auto"/>
          <w:sz w:val="28"/>
          <w:szCs w:val="28"/>
        </w:rPr>
      </w:pPr>
    </w:p>
    <w:p w14:paraId="4415028F" w14:textId="5B41C3EC" w:rsidR="009064D2" w:rsidRPr="0039486D" w:rsidRDefault="0039486D" w:rsidP="002D197E">
      <w:pPr>
        <w:pStyle w:val="Default"/>
        <w:numPr>
          <w:ilvl w:val="0"/>
          <w:numId w:val="1"/>
        </w:numPr>
        <w:jc w:val="both"/>
        <w:rPr>
          <w:b/>
          <w:color w:val="auto"/>
          <w:sz w:val="28"/>
          <w:szCs w:val="28"/>
        </w:rPr>
      </w:pPr>
      <w:r>
        <w:rPr>
          <w:b/>
          <w:color w:val="auto"/>
          <w:sz w:val="28"/>
          <w:szCs w:val="28"/>
        </w:rPr>
        <w:t>Turpmākā iespējamā rīcība</w:t>
      </w:r>
    </w:p>
    <w:p w14:paraId="4892BFF6" w14:textId="77777777" w:rsidR="0039486D" w:rsidRDefault="0039486D" w:rsidP="009064D2">
      <w:pPr>
        <w:pStyle w:val="Default"/>
        <w:ind w:left="720"/>
        <w:jc w:val="both"/>
        <w:rPr>
          <w:b/>
          <w:i/>
          <w:color w:val="auto"/>
          <w:sz w:val="28"/>
          <w:szCs w:val="28"/>
        </w:rPr>
      </w:pPr>
    </w:p>
    <w:p w14:paraId="28C6BC3C" w14:textId="10BAF7C8" w:rsidR="00126654" w:rsidRDefault="00126654" w:rsidP="00126654">
      <w:pPr>
        <w:pStyle w:val="Default"/>
        <w:ind w:firstLine="720"/>
        <w:jc w:val="both"/>
        <w:rPr>
          <w:color w:val="auto"/>
          <w:sz w:val="28"/>
          <w:szCs w:val="28"/>
        </w:rPr>
      </w:pPr>
      <w:r w:rsidRPr="00126654">
        <w:rPr>
          <w:color w:val="auto"/>
          <w:sz w:val="28"/>
          <w:szCs w:val="28"/>
        </w:rPr>
        <w:t>Saskaņā ar Eiropas Savienības struktūrfondu un Kohēzijas fonda 2014.</w:t>
      </w:r>
      <w:r w:rsidR="000C009B">
        <w:rPr>
          <w:color w:val="auto"/>
          <w:sz w:val="28"/>
          <w:szCs w:val="28"/>
        </w:rPr>
        <w:t>-</w:t>
      </w:r>
      <w:r w:rsidRPr="00126654">
        <w:rPr>
          <w:color w:val="auto"/>
          <w:sz w:val="28"/>
          <w:szCs w:val="28"/>
        </w:rPr>
        <w:t xml:space="preserve"> 2020.gada plānošanas perioda vadības likuma 20.pant</w:t>
      </w:r>
      <w:r w:rsidR="00223675">
        <w:rPr>
          <w:color w:val="auto"/>
          <w:sz w:val="28"/>
          <w:szCs w:val="28"/>
        </w:rPr>
        <w:t>a 13.punktu</w:t>
      </w:r>
      <w:r w:rsidRPr="00126654">
        <w:rPr>
          <w:color w:val="auto"/>
          <w:sz w:val="28"/>
          <w:szCs w:val="28"/>
        </w:rPr>
        <w:t xml:space="preserve"> Ministru kabinets nosaka specifiskā atbalsta mērķa īstenošanas noteikumus. Šādu noteikumu izstrāde ir nepieciešama, lai noteiktu specifisko regulējumu ES fondu atbalsta pasākuma izstrādei MVU finansējuma piesaistei kapitāla tirgos, tai skaitā specifiskā atbalsta mērķi, pieejamo finansējumu, prasības projekta iesniedzējam, atbalstāmo darbību un izmaksu </w:t>
      </w:r>
      <w:proofErr w:type="spellStart"/>
      <w:r w:rsidRPr="00126654">
        <w:rPr>
          <w:color w:val="auto"/>
          <w:sz w:val="28"/>
          <w:szCs w:val="28"/>
        </w:rPr>
        <w:t>attiecināmīb</w:t>
      </w:r>
      <w:r w:rsidR="00E964D5">
        <w:rPr>
          <w:color w:val="auto"/>
          <w:sz w:val="28"/>
          <w:szCs w:val="28"/>
        </w:rPr>
        <w:t>u</w:t>
      </w:r>
      <w:proofErr w:type="spellEnd"/>
      <w:r w:rsidRPr="00126654">
        <w:rPr>
          <w:color w:val="auto"/>
          <w:sz w:val="28"/>
          <w:szCs w:val="28"/>
        </w:rPr>
        <w:t>. Nepieciešams izstrādāt arī projektu vērtēšanas kritērijus, kritēriju piemērošanas metodiku un sākotnējo novērtējumu.</w:t>
      </w:r>
    </w:p>
    <w:p w14:paraId="7D75BCBD" w14:textId="2B41BE5C" w:rsidR="00994CE5" w:rsidRPr="00994CE5" w:rsidRDefault="00994CE5" w:rsidP="00994CE5">
      <w:pPr>
        <w:pStyle w:val="Default"/>
        <w:ind w:firstLine="720"/>
        <w:jc w:val="both"/>
        <w:rPr>
          <w:color w:val="auto"/>
          <w:sz w:val="28"/>
          <w:szCs w:val="28"/>
        </w:rPr>
      </w:pPr>
      <w:r w:rsidRPr="00994CE5">
        <w:rPr>
          <w:color w:val="auto"/>
          <w:sz w:val="28"/>
          <w:szCs w:val="28"/>
        </w:rPr>
        <w:t>Ekonomikas ministrija ir atbildīgā iestāde ES fondu atbalsta programmās uzņēmējdarbības un energoefektivitātes sekmēšanai, tai skaitā īstenojot programmas mazo un vidējo komersantu konkurētspējas veicināšanai.</w:t>
      </w:r>
    </w:p>
    <w:p w14:paraId="47BDF7D1" w14:textId="574F2150" w:rsidR="00994CE5" w:rsidRPr="00126654" w:rsidRDefault="00994CE5" w:rsidP="00126654">
      <w:pPr>
        <w:pStyle w:val="Default"/>
        <w:ind w:firstLine="720"/>
        <w:jc w:val="both"/>
        <w:rPr>
          <w:color w:val="auto"/>
          <w:sz w:val="28"/>
          <w:szCs w:val="28"/>
        </w:rPr>
      </w:pPr>
      <w:r w:rsidRPr="00994CE5">
        <w:rPr>
          <w:color w:val="auto"/>
          <w:sz w:val="28"/>
          <w:szCs w:val="28"/>
        </w:rPr>
        <w:t>Finanšu ministrija koordinē šī atbalsta pasākuma izstrādi Eiropas Komisijas Strukturālo reformu atbalsta programmas projekta ietvaros un sadarbību ar projekta konsultantiem un ERAB. Finanšu ministrija, saskaņā ar iestādes nolikum</w:t>
      </w:r>
      <w:r w:rsidR="0004202B">
        <w:rPr>
          <w:color w:val="auto"/>
          <w:sz w:val="28"/>
          <w:szCs w:val="28"/>
        </w:rPr>
        <w:t xml:space="preserve">a 5.18 punktu </w:t>
      </w:r>
      <w:r w:rsidRPr="00994CE5">
        <w:rPr>
          <w:color w:val="auto"/>
          <w:sz w:val="28"/>
          <w:szCs w:val="28"/>
        </w:rPr>
        <w:t>veic finanšu tirgus politikas vadību</w:t>
      </w:r>
      <w:r w:rsidR="0004202B">
        <w:rPr>
          <w:color w:val="auto"/>
          <w:sz w:val="28"/>
          <w:szCs w:val="28"/>
        </w:rPr>
        <w:t xml:space="preserve"> un saskaņā ar nolikuma 5.11 punktu F</w:t>
      </w:r>
      <w:r w:rsidR="00CF2EE4">
        <w:rPr>
          <w:color w:val="auto"/>
          <w:sz w:val="28"/>
          <w:szCs w:val="28"/>
        </w:rPr>
        <w:t xml:space="preserve">inanšu ministrija </w:t>
      </w:r>
      <w:r w:rsidR="0041597A" w:rsidRPr="0041597A">
        <w:rPr>
          <w:color w:val="auto"/>
          <w:sz w:val="28"/>
          <w:szCs w:val="28"/>
        </w:rPr>
        <w:t>nodrošina Eiropas Savienības struktūrfondu 1.mērķa un Kohēzijas fonda va</w:t>
      </w:r>
      <w:r w:rsidR="0041597A">
        <w:rPr>
          <w:color w:val="auto"/>
          <w:sz w:val="28"/>
          <w:szCs w:val="28"/>
        </w:rPr>
        <w:t>dību</w:t>
      </w:r>
      <w:r w:rsidR="0004202B">
        <w:rPr>
          <w:color w:val="auto"/>
          <w:sz w:val="28"/>
          <w:szCs w:val="28"/>
        </w:rPr>
        <w:t>.</w:t>
      </w:r>
    </w:p>
    <w:p w14:paraId="2C9B2684" w14:textId="3A0F5B5B" w:rsidR="00126654" w:rsidRPr="00586FAC" w:rsidRDefault="00126654" w:rsidP="006613C8">
      <w:pPr>
        <w:pStyle w:val="Default"/>
        <w:ind w:firstLine="720"/>
        <w:jc w:val="both"/>
        <w:rPr>
          <w:color w:val="auto"/>
          <w:sz w:val="28"/>
          <w:szCs w:val="28"/>
        </w:rPr>
      </w:pPr>
      <w:r w:rsidRPr="00586FAC">
        <w:rPr>
          <w:color w:val="auto"/>
          <w:sz w:val="28"/>
          <w:szCs w:val="28"/>
        </w:rPr>
        <w:t>Saskaņā ar projekta koncep</w:t>
      </w:r>
      <w:r w:rsidR="00320DAD" w:rsidRPr="00586FAC">
        <w:rPr>
          <w:color w:val="auto"/>
          <w:sz w:val="28"/>
          <w:szCs w:val="28"/>
        </w:rPr>
        <w:t>tuālo</w:t>
      </w:r>
      <w:r w:rsidRPr="00586FAC">
        <w:rPr>
          <w:color w:val="auto"/>
          <w:sz w:val="28"/>
          <w:szCs w:val="28"/>
        </w:rPr>
        <w:t xml:space="preserve"> ziņojumu un tajā piedāvāto atbalsta pasākuma institucionālās vadības modeli, Ekonomikas ministrija veik</w:t>
      </w:r>
      <w:r w:rsidR="006B762E" w:rsidRPr="00586FAC">
        <w:rPr>
          <w:color w:val="auto"/>
          <w:sz w:val="28"/>
          <w:szCs w:val="28"/>
        </w:rPr>
        <w:t xml:space="preserve">s atbildīgās iestādes funkcijas, </w:t>
      </w:r>
      <w:r w:rsidR="00994CE5" w:rsidRPr="00586FAC">
        <w:rPr>
          <w:color w:val="auto"/>
          <w:sz w:val="28"/>
          <w:szCs w:val="28"/>
        </w:rPr>
        <w:t>t.sk. sagatavojot atbalsta mērķa īstenošanas noteikumus un iesniedzot tos Ministru kabinetā.</w:t>
      </w:r>
      <w:r w:rsidR="006B762E" w:rsidRPr="00586FAC">
        <w:rPr>
          <w:color w:val="auto"/>
          <w:sz w:val="28"/>
          <w:szCs w:val="28"/>
        </w:rPr>
        <w:t xml:space="preserve"> Finanšu ministrija nodrošin</w:t>
      </w:r>
      <w:r w:rsidR="00E964D5">
        <w:rPr>
          <w:color w:val="auto"/>
          <w:sz w:val="28"/>
          <w:szCs w:val="28"/>
        </w:rPr>
        <w:t>ās</w:t>
      </w:r>
      <w:r w:rsidR="006B762E" w:rsidRPr="00586FAC">
        <w:rPr>
          <w:color w:val="auto"/>
          <w:sz w:val="28"/>
          <w:szCs w:val="28"/>
        </w:rPr>
        <w:t xml:space="preserve"> nepieciešamo atbalstu</w:t>
      </w:r>
      <w:r w:rsidR="00994CE5" w:rsidRPr="00586FAC">
        <w:rPr>
          <w:color w:val="auto"/>
          <w:sz w:val="28"/>
          <w:szCs w:val="28"/>
        </w:rPr>
        <w:t xml:space="preserve"> noteikumu izstrādē un projekta koordinācijā</w:t>
      </w:r>
      <w:r w:rsidR="009E40FC">
        <w:rPr>
          <w:color w:val="auto"/>
          <w:sz w:val="28"/>
          <w:szCs w:val="28"/>
        </w:rPr>
        <w:t>.</w:t>
      </w:r>
    </w:p>
    <w:p w14:paraId="353E3949" w14:textId="282C8046" w:rsidR="00126654" w:rsidRDefault="0056036F" w:rsidP="00126654">
      <w:pPr>
        <w:pStyle w:val="Default"/>
        <w:ind w:firstLine="720"/>
        <w:jc w:val="both"/>
        <w:rPr>
          <w:b/>
          <w:color w:val="auto"/>
          <w:sz w:val="28"/>
          <w:szCs w:val="28"/>
          <w:u w:val="single"/>
        </w:rPr>
      </w:pPr>
      <w:r>
        <w:rPr>
          <w:color w:val="auto"/>
          <w:sz w:val="28"/>
          <w:szCs w:val="28"/>
        </w:rPr>
        <w:t>A</w:t>
      </w:r>
      <w:r w:rsidR="00126654" w:rsidRPr="00126654">
        <w:rPr>
          <w:color w:val="auto"/>
          <w:sz w:val="28"/>
          <w:szCs w:val="28"/>
        </w:rPr>
        <w:t>tbalsta pasākuma sadarbības iestādes funkcijas vei</w:t>
      </w:r>
      <w:r>
        <w:rPr>
          <w:color w:val="auto"/>
          <w:sz w:val="28"/>
          <w:szCs w:val="28"/>
        </w:rPr>
        <w:t>c</w:t>
      </w:r>
      <w:r w:rsidR="00126654" w:rsidRPr="00126654">
        <w:rPr>
          <w:color w:val="auto"/>
          <w:sz w:val="28"/>
          <w:szCs w:val="28"/>
        </w:rPr>
        <w:t xml:space="preserve"> CFLA</w:t>
      </w:r>
      <w:r w:rsidR="00C300BB" w:rsidRPr="00C300BB">
        <w:rPr>
          <w:color w:val="auto"/>
          <w:sz w:val="28"/>
          <w:szCs w:val="28"/>
        </w:rPr>
        <w:t>, un apstiprinot tās iesaisti, CFLA ir saskaņojusi šo informatīvo ziņojumu 2018.gada 14.septembrī.</w:t>
      </w:r>
      <w:r w:rsidR="00126654" w:rsidRPr="00126654">
        <w:rPr>
          <w:color w:val="auto"/>
          <w:sz w:val="28"/>
          <w:szCs w:val="28"/>
        </w:rPr>
        <w:t xml:space="preserve"> </w:t>
      </w:r>
      <w:r w:rsidR="00D65B94">
        <w:rPr>
          <w:color w:val="auto"/>
          <w:sz w:val="28"/>
          <w:szCs w:val="28"/>
        </w:rPr>
        <w:t xml:space="preserve"> </w:t>
      </w:r>
      <w:r w:rsidR="00126654" w:rsidRPr="00126654">
        <w:rPr>
          <w:color w:val="auto"/>
          <w:sz w:val="28"/>
          <w:szCs w:val="28"/>
        </w:rPr>
        <w:t xml:space="preserve">CFLA ir atbilstoša pieredze darbā ar Eiropas Reģionālā attīstības fonda </w:t>
      </w:r>
      <w:r w:rsidR="000C009B">
        <w:rPr>
          <w:color w:val="auto"/>
          <w:sz w:val="28"/>
          <w:szCs w:val="28"/>
        </w:rPr>
        <w:t xml:space="preserve">finansēto </w:t>
      </w:r>
      <w:proofErr w:type="spellStart"/>
      <w:r w:rsidR="00126654" w:rsidRPr="00126654">
        <w:rPr>
          <w:color w:val="auto"/>
          <w:sz w:val="28"/>
          <w:szCs w:val="28"/>
        </w:rPr>
        <w:t>grantu</w:t>
      </w:r>
      <w:proofErr w:type="spellEnd"/>
      <w:r w:rsidR="00126654" w:rsidRPr="00126654">
        <w:rPr>
          <w:color w:val="auto"/>
          <w:sz w:val="28"/>
          <w:szCs w:val="28"/>
        </w:rPr>
        <w:t xml:space="preserve"> atbalsta pasākumiem.</w:t>
      </w:r>
      <w:r w:rsidR="00D65B94">
        <w:rPr>
          <w:color w:val="auto"/>
          <w:sz w:val="28"/>
          <w:szCs w:val="28"/>
        </w:rPr>
        <w:t xml:space="preserve"> </w:t>
      </w:r>
      <w:r w:rsidR="00994CE5" w:rsidRPr="00994CE5">
        <w:rPr>
          <w:color w:val="auto"/>
          <w:sz w:val="28"/>
          <w:szCs w:val="28"/>
        </w:rPr>
        <w:t>Ministru kabineta noteikumu un citu dokumentu izstrādes laikā Ekonomikas ministrija konsultēsies ar Finanšu ministriju, CFLA un projektā iesaistītajām pusēm par programmas ieviešanas dokumentiem un procedūrām.</w:t>
      </w:r>
      <w:r w:rsidR="00994CE5">
        <w:rPr>
          <w:color w:val="auto"/>
          <w:sz w:val="28"/>
          <w:szCs w:val="28"/>
        </w:rPr>
        <w:t xml:space="preserve"> </w:t>
      </w:r>
      <w:r w:rsidR="0041597A">
        <w:rPr>
          <w:color w:val="auto"/>
          <w:sz w:val="28"/>
          <w:szCs w:val="28"/>
        </w:rPr>
        <w:t>S</w:t>
      </w:r>
      <w:r w:rsidR="0041597A" w:rsidRPr="0041597A">
        <w:rPr>
          <w:color w:val="auto"/>
          <w:sz w:val="28"/>
          <w:szCs w:val="28"/>
        </w:rPr>
        <w:t>pecifiskā atbalsta mērķa īstenošanas noteikumu</w:t>
      </w:r>
      <w:r w:rsidR="0041597A">
        <w:rPr>
          <w:color w:val="auto"/>
          <w:sz w:val="28"/>
          <w:szCs w:val="28"/>
        </w:rPr>
        <w:t xml:space="preserve"> izstrādes gaitā, n</w:t>
      </w:r>
      <w:r w:rsidR="00D65B94" w:rsidRPr="00586FAC">
        <w:rPr>
          <w:color w:val="auto"/>
          <w:sz w:val="28"/>
          <w:szCs w:val="28"/>
        </w:rPr>
        <w:t>epieciešamības gadījumā, projekta ietvaros tiks izvērtēti nepieciešamie administratīvie resursi atbalsta pasākuma ieviešanā.</w:t>
      </w:r>
    </w:p>
    <w:p w14:paraId="25F30C73" w14:textId="42DB9C67" w:rsidR="0056036F" w:rsidRPr="00994CE5" w:rsidRDefault="00E841E2" w:rsidP="00994CE5">
      <w:pPr>
        <w:pStyle w:val="Default"/>
        <w:ind w:firstLine="720"/>
        <w:jc w:val="both"/>
        <w:rPr>
          <w:color w:val="auto"/>
          <w:sz w:val="28"/>
          <w:szCs w:val="28"/>
        </w:rPr>
      </w:pPr>
      <w:r>
        <w:rPr>
          <w:color w:val="auto"/>
          <w:sz w:val="28"/>
          <w:szCs w:val="28"/>
        </w:rPr>
        <w:t>ERAB</w:t>
      </w:r>
      <w:r w:rsidR="0056036F" w:rsidRPr="00994CE5">
        <w:rPr>
          <w:color w:val="auto"/>
          <w:sz w:val="28"/>
          <w:szCs w:val="28"/>
        </w:rPr>
        <w:t>, saskaņā ar sadarbības projekta nosacījumiem</w:t>
      </w:r>
      <w:r w:rsidR="00994CE5">
        <w:rPr>
          <w:color w:val="auto"/>
          <w:sz w:val="28"/>
          <w:szCs w:val="28"/>
        </w:rPr>
        <w:t xml:space="preserve">, </w:t>
      </w:r>
      <w:r w:rsidR="00994CE5" w:rsidRPr="00994CE5">
        <w:rPr>
          <w:color w:val="auto"/>
          <w:sz w:val="28"/>
          <w:szCs w:val="28"/>
        </w:rPr>
        <w:t>sniedz ekspertu atbalstu pasākuma ieviešanas mehānisma un īstenošanas noteikumu izstrādē</w:t>
      </w:r>
      <w:r w:rsidR="006138DC">
        <w:rPr>
          <w:color w:val="auto"/>
          <w:sz w:val="28"/>
          <w:szCs w:val="28"/>
        </w:rPr>
        <w:t>, ar līguma gala termiņu 2019.gada 19.februāris</w:t>
      </w:r>
      <w:r w:rsidR="00994CE5" w:rsidRPr="00994CE5">
        <w:rPr>
          <w:color w:val="auto"/>
          <w:sz w:val="28"/>
          <w:szCs w:val="28"/>
        </w:rPr>
        <w:t>.</w:t>
      </w:r>
      <w:r w:rsidR="006138DC">
        <w:rPr>
          <w:color w:val="auto"/>
          <w:sz w:val="28"/>
          <w:szCs w:val="28"/>
        </w:rPr>
        <w:t xml:space="preserve"> </w:t>
      </w:r>
    </w:p>
    <w:p w14:paraId="09852AD7" w14:textId="77777777" w:rsidR="00126654" w:rsidRPr="00126654" w:rsidRDefault="00126654" w:rsidP="00126654">
      <w:pPr>
        <w:pStyle w:val="Default"/>
        <w:ind w:firstLine="720"/>
        <w:jc w:val="both"/>
        <w:rPr>
          <w:color w:val="auto"/>
          <w:sz w:val="28"/>
          <w:szCs w:val="28"/>
        </w:rPr>
      </w:pPr>
    </w:p>
    <w:p w14:paraId="2F287CD0" w14:textId="5607A71B" w:rsidR="00126654" w:rsidRPr="00126654" w:rsidRDefault="00126654" w:rsidP="00126654">
      <w:pPr>
        <w:pStyle w:val="Default"/>
        <w:ind w:firstLine="720"/>
        <w:jc w:val="both"/>
        <w:rPr>
          <w:color w:val="auto"/>
          <w:sz w:val="28"/>
          <w:szCs w:val="28"/>
        </w:rPr>
      </w:pPr>
      <w:r w:rsidRPr="00126654">
        <w:rPr>
          <w:color w:val="auto"/>
          <w:sz w:val="28"/>
          <w:szCs w:val="28"/>
        </w:rPr>
        <w:t xml:space="preserve">Balsoties uz situācijas analīzi un citu valstu pieredzes apkopojumu, kā arī, uzklausot iesaistītās institūcijas un tirgus dalībniekus, </w:t>
      </w:r>
      <w:bookmarkStart w:id="0" w:name="_GoBack"/>
      <w:r w:rsidRPr="00126654">
        <w:rPr>
          <w:color w:val="auto"/>
          <w:sz w:val="28"/>
          <w:szCs w:val="28"/>
        </w:rPr>
        <w:t>projekta koncep</w:t>
      </w:r>
      <w:r w:rsidR="00320DAD">
        <w:rPr>
          <w:color w:val="auto"/>
          <w:sz w:val="28"/>
          <w:szCs w:val="28"/>
        </w:rPr>
        <w:t xml:space="preserve">tuālajā </w:t>
      </w:r>
      <w:r w:rsidRPr="00126654">
        <w:rPr>
          <w:color w:val="auto"/>
          <w:sz w:val="28"/>
          <w:szCs w:val="28"/>
        </w:rPr>
        <w:t xml:space="preserve">ziņojumā ir piedāvāts atbalsta pasākuma modelis un tā pamatojums. </w:t>
      </w:r>
      <w:r w:rsidR="00052DD0">
        <w:rPr>
          <w:color w:val="auto"/>
          <w:sz w:val="28"/>
          <w:szCs w:val="28"/>
        </w:rPr>
        <w:t>Ierosinām noteikt šādus būtiskākos</w:t>
      </w:r>
      <w:r w:rsidR="00052DD0" w:rsidRPr="00126654">
        <w:rPr>
          <w:color w:val="auto"/>
          <w:sz w:val="28"/>
          <w:szCs w:val="28"/>
        </w:rPr>
        <w:t xml:space="preserve"> </w:t>
      </w:r>
      <w:r w:rsidRPr="00126654">
        <w:rPr>
          <w:color w:val="auto"/>
          <w:sz w:val="28"/>
          <w:szCs w:val="28"/>
        </w:rPr>
        <w:t xml:space="preserve">atbalsta pasākuma </w:t>
      </w:r>
      <w:r w:rsidR="00052DD0" w:rsidRPr="00126654">
        <w:rPr>
          <w:color w:val="auto"/>
          <w:sz w:val="28"/>
          <w:szCs w:val="28"/>
        </w:rPr>
        <w:t>parametr</w:t>
      </w:r>
      <w:r w:rsidR="00052DD0">
        <w:rPr>
          <w:color w:val="auto"/>
          <w:sz w:val="28"/>
          <w:szCs w:val="28"/>
        </w:rPr>
        <w:t>us:</w:t>
      </w:r>
    </w:p>
    <w:bookmarkEnd w:id="0"/>
    <w:p w14:paraId="50A03BC3" w14:textId="77777777" w:rsidR="00625F63" w:rsidRDefault="00625F63" w:rsidP="00126654">
      <w:pPr>
        <w:pStyle w:val="Default"/>
        <w:jc w:val="both"/>
        <w:rPr>
          <w:color w:val="auto"/>
          <w:sz w:val="28"/>
          <w:szCs w:val="28"/>
        </w:rPr>
      </w:pPr>
    </w:p>
    <w:p w14:paraId="7594FF6F" w14:textId="3A329B5B" w:rsidR="005D763B" w:rsidRDefault="00126654" w:rsidP="00625F63">
      <w:pPr>
        <w:pStyle w:val="Default"/>
        <w:numPr>
          <w:ilvl w:val="0"/>
          <w:numId w:val="3"/>
        </w:numPr>
        <w:jc w:val="both"/>
        <w:rPr>
          <w:color w:val="auto"/>
          <w:sz w:val="28"/>
          <w:szCs w:val="28"/>
        </w:rPr>
      </w:pPr>
      <w:r w:rsidRPr="00625F63">
        <w:rPr>
          <w:color w:val="auto"/>
          <w:sz w:val="28"/>
          <w:szCs w:val="28"/>
          <w:u w:val="single"/>
        </w:rPr>
        <w:t>Atbalsta veids</w:t>
      </w:r>
      <w:r w:rsidRPr="00126654">
        <w:rPr>
          <w:color w:val="auto"/>
          <w:sz w:val="28"/>
          <w:szCs w:val="28"/>
        </w:rPr>
        <w:t>: grants</w:t>
      </w:r>
      <w:r w:rsidR="005D763B">
        <w:rPr>
          <w:color w:val="auto"/>
          <w:sz w:val="28"/>
          <w:szCs w:val="28"/>
        </w:rPr>
        <w:t xml:space="preserve"> (CFLA)</w:t>
      </w:r>
      <w:r w:rsidR="00365B1E">
        <w:rPr>
          <w:color w:val="auto"/>
          <w:sz w:val="28"/>
          <w:szCs w:val="28"/>
        </w:rPr>
        <w:t xml:space="preserve">. </w:t>
      </w:r>
    </w:p>
    <w:p w14:paraId="6EF167D3" w14:textId="0C87F815" w:rsidR="00126654" w:rsidRPr="00126654" w:rsidRDefault="00126654" w:rsidP="00625F63">
      <w:pPr>
        <w:pStyle w:val="Default"/>
        <w:numPr>
          <w:ilvl w:val="0"/>
          <w:numId w:val="3"/>
        </w:numPr>
        <w:jc w:val="both"/>
        <w:rPr>
          <w:color w:val="auto"/>
          <w:sz w:val="28"/>
          <w:szCs w:val="28"/>
        </w:rPr>
      </w:pPr>
      <w:r w:rsidRPr="00625F63">
        <w:rPr>
          <w:color w:val="auto"/>
          <w:sz w:val="28"/>
          <w:szCs w:val="28"/>
          <w:u w:val="single"/>
        </w:rPr>
        <w:lastRenderedPageBreak/>
        <w:t>Granta lielums</w:t>
      </w:r>
      <w:r w:rsidRPr="00126654">
        <w:rPr>
          <w:color w:val="auto"/>
          <w:sz w:val="28"/>
          <w:szCs w:val="28"/>
        </w:rPr>
        <w:t>: tiek segti 50% no attiecināmajām izmaksām</w:t>
      </w:r>
      <w:r w:rsidR="000C009B">
        <w:rPr>
          <w:color w:val="auto"/>
          <w:sz w:val="28"/>
          <w:szCs w:val="28"/>
        </w:rPr>
        <w:t>, bet</w:t>
      </w:r>
      <w:r w:rsidRPr="00126654">
        <w:rPr>
          <w:color w:val="auto"/>
          <w:sz w:val="28"/>
          <w:szCs w:val="28"/>
        </w:rPr>
        <w:t xml:space="preserve"> ne vairāk kā 100 tūkstoši </w:t>
      </w:r>
      <w:proofErr w:type="spellStart"/>
      <w:r w:rsidRPr="00625F63">
        <w:rPr>
          <w:i/>
          <w:color w:val="auto"/>
          <w:sz w:val="28"/>
          <w:szCs w:val="28"/>
        </w:rPr>
        <w:t>euro</w:t>
      </w:r>
      <w:proofErr w:type="spellEnd"/>
      <w:r w:rsidRPr="00126654">
        <w:rPr>
          <w:color w:val="auto"/>
          <w:sz w:val="28"/>
          <w:szCs w:val="28"/>
        </w:rPr>
        <w:t xml:space="preserve"> akciju emisijas gadījumā, savukārt ne vairāk kā 20 tūkstoši </w:t>
      </w:r>
      <w:proofErr w:type="spellStart"/>
      <w:r w:rsidRPr="00625F63">
        <w:rPr>
          <w:i/>
          <w:color w:val="auto"/>
          <w:sz w:val="28"/>
          <w:szCs w:val="28"/>
        </w:rPr>
        <w:t>euro</w:t>
      </w:r>
      <w:proofErr w:type="spellEnd"/>
      <w:r w:rsidRPr="00126654">
        <w:rPr>
          <w:color w:val="auto"/>
          <w:sz w:val="28"/>
          <w:szCs w:val="28"/>
        </w:rPr>
        <w:t xml:space="preserve"> - parāda vērtspapīru emisijas gadījumā. Grants tiek izmaksāts uzņēmumam pēc tā vērtspapīru sekmīgas iekļaušanas brīvi izvēlētā AS “</w:t>
      </w:r>
      <w:proofErr w:type="spellStart"/>
      <w:r w:rsidRPr="00126654">
        <w:rPr>
          <w:color w:val="auto"/>
          <w:sz w:val="28"/>
          <w:szCs w:val="28"/>
        </w:rPr>
        <w:t>Nasdaq</w:t>
      </w:r>
      <w:proofErr w:type="spellEnd"/>
      <w:r w:rsidRPr="00126654">
        <w:rPr>
          <w:color w:val="auto"/>
          <w:sz w:val="28"/>
          <w:szCs w:val="28"/>
        </w:rPr>
        <w:t xml:space="preserve"> </w:t>
      </w:r>
      <w:proofErr w:type="spellStart"/>
      <w:r w:rsidRPr="00126654">
        <w:rPr>
          <w:color w:val="auto"/>
          <w:sz w:val="28"/>
          <w:szCs w:val="28"/>
        </w:rPr>
        <w:t>Riga</w:t>
      </w:r>
      <w:proofErr w:type="spellEnd"/>
      <w:r w:rsidR="000C009B">
        <w:rPr>
          <w:color w:val="auto"/>
          <w:sz w:val="28"/>
          <w:szCs w:val="28"/>
        </w:rPr>
        <w:t>”</w:t>
      </w:r>
      <w:r w:rsidRPr="00126654">
        <w:rPr>
          <w:color w:val="auto"/>
          <w:sz w:val="28"/>
          <w:szCs w:val="28"/>
        </w:rPr>
        <w:t xml:space="preserve"> biržas sarakstā. Par sekmīgu iekļaušanu biržas sarakstā tiek uzskatīta situācija, ja tiek piesaistīti vismaz 500 tūkstoši </w:t>
      </w:r>
      <w:proofErr w:type="spellStart"/>
      <w:r w:rsidRPr="00625F63">
        <w:rPr>
          <w:i/>
          <w:color w:val="auto"/>
          <w:sz w:val="28"/>
          <w:szCs w:val="28"/>
        </w:rPr>
        <w:t>euro</w:t>
      </w:r>
      <w:proofErr w:type="spellEnd"/>
      <w:r w:rsidRPr="00126654">
        <w:rPr>
          <w:color w:val="auto"/>
          <w:sz w:val="28"/>
          <w:szCs w:val="28"/>
        </w:rPr>
        <w:t xml:space="preserve"> akciju emisijas gadījumā, savukārt parāda vērtspapīru emisijas gadījumā netiek noteikts minimālais kvantitatīvais slieksnis.</w:t>
      </w:r>
    </w:p>
    <w:p w14:paraId="43C5B269" w14:textId="62C1BC9B" w:rsidR="00126654" w:rsidRPr="00126654" w:rsidRDefault="00126654" w:rsidP="00625F63">
      <w:pPr>
        <w:pStyle w:val="Default"/>
        <w:numPr>
          <w:ilvl w:val="0"/>
          <w:numId w:val="3"/>
        </w:numPr>
        <w:jc w:val="both"/>
        <w:rPr>
          <w:color w:val="auto"/>
          <w:sz w:val="28"/>
          <w:szCs w:val="28"/>
        </w:rPr>
      </w:pPr>
      <w:r w:rsidRPr="00625F63">
        <w:rPr>
          <w:color w:val="auto"/>
          <w:sz w:val="28"/>
          <w:szCs w:val="28"/>
          <w:u w:val="single"/>
        </w:rPr>
        <w:t>Atbalstāmie izdevumi</w:t>
      </w:r>
      <w:r w:rsidRPr="00126654">
        <w:rPr>
          <w:color w:val="auto"/>
          <w:sz w:val="28"/>
          <w:szCs w:val="28"/>
        </w:rPr>
        <w:t xml:space="preserve">: uzņēmuma sagatavošanas izmaksas iekļaušanai biržas sarakstā (tai skaitā uzņēmuma pārvaldes struktūras izveide (piemēram, padomes izveide) un kapitālsabiedrības veida maiņa no SIA uz AS, nodomu protokola sagatavošana, izmaiņas uzņēmuma kapitāla struktūrā, uzņēmuma vērtības noteikšana, </w:t>
      </w:r>
      <w:r w:rsidR="0041597A">
        <w:rPr>
          <w:color w:val="auto"/>
          <w:sz w:val="28"/>
          <w:szCs w:val="28"/>
        </w:rPr>
        <w:t xml:space="preserve">starptautiskajiem grāmatvedības standartiem </w:t>
      </w:r>
      <w:r w:rsidRPr="00126654">
        <w:rPr>
          <w:color w:val="auto"/>
          <w:sz w:val="28"/>
          <w:szCs w:val="28"/>
        </w:rPr>
        <w:t xml:space="preserve">IFRS </w:t>
      </w:r>
      <w:r w:rsidR="0041597A">
        <w:rPr>
          <w:color w:val="auto"/>
          <w:sz w:val="28"/>
          <w:szCs w:val="28"/>
        </w:rPr>
        <w:t xml:space="preserve">atbilstošs </w:t>
      </w:r>
      <w:r w:rsidRPr="00126654">
        <w:rPr>
          <w:color w:val="auto"/>
          <w:sz w:val="28"/>
          <w:szCs w:val="28"/>
        </w:rPr>
        <w:t>audits), kapitāla piesaistīšanas izmaksas (tai skaitā tikšanās ar investoriem), prospekta/uzņēmuma apraksta sagatavošanas, apstiprināšanas un publicēšanas izdevumi,</w:t>
      </w:r>
      <w:r w:rsidR="00EB3502">
        <w:rPr>
          <w:color w:val="auto"/>
          <w:sz w:val="28"/>
          <w:szCs w:val="28"/>
        </w:rPr>
        <w:t xml:space="preserve"> emitenta padziļinātās izpētes </w:t>
      </w:r>
      <w:r w:rsidR="00EB3502" w:rsidRPr="00EB3502">
        <w:rPr>
          <w:i/>
          <w:color w:val="auto"/>
          <w:sz w:val="28"/>
          <w:szCs w:val="28"/>
        </w:rPr>
        <w:t>(</w:t>
      </w:r>
      <w:proofErr w:type="spellStart"/>
      <w:r w:rsidRPr="00EB3502">
        <w:rPr>
          <w:i/>
          <w:color w:val="auto"/>
          <w:sz w:val="28"/>
          <w:szCs w:val="28"/>
        </w:rPr>
        <w:t>Due</w:t>
      </w:r>
      <w:proofErr w:type="spellEnd"/>
      <w:r w:rsidRPr="00EB3502">
        <w:rPr>
          <w:i/>
          <w:color w:val="auto"/>
          <w:sz w:val="28"/>
          <w:szCs w:val="28"/>
        </w:rPr>
        <w:t xml:space="preserve"> </w:t>
      </w:r>
      <w:proofErr w:type="spellStart"/>
      <w:r w:rsidRPr="00EB3502">
        <w:rPr>
          <w:i/>
          <w:color w:val="auto"/>
          <w:sz w:val="28"/>
          <w:szCs w:val="28"/>
        </w:rPr>
        <w:t>diligence</w:t>
      </w:r>
      <w:proofErr w:type="spellEnd"/>
      <w:r w:rsidRPr="00EB3502">
        <w:rPr>
          <w:i/>
          <w:color w:val="auto"/>
          <w:sz w:val="28"/>
          <w:szCs w:val="28"/>
        </w:rPr>
        <w:t>)</w:t>
      </w:r>
      <w:r w:rsidRPr="00126654">
        <w:rPr>
          <w:color w:val="auto"/>
          <w:sz w:val="28"/>
          <w:szCs w:val="28"/>
        </w:rPr>
        <w:t xml:space="preserve"> un ar to saistītie izpētes izdevumi, </w:t>
      </w:r>
      <w:r w:rsidR="00204760">
        <w:rPr>
          <w:color w:val="auto"/>
          <w:sz w:val="28"/>
          <w:szCs w:val="28"/>
        </w:rPr>
        <w:t xml:space="preserve"> Baltijas </w:t>
      </w:r>
      <w:r w:rsidRPr="00126654">
        <w:rPr>
          <w:color w:val="auto"/>
          <w:sz w:val="28"/>
          <w:szCs w:val="28"/>
        </w:rPr>
        <w:t>Alternatīvā tirgus “First North” akciju saraksta gadījumā - sertificētā konsultanta piesaistes izmaksas pirms iekļaušanas biržas sarakstā.</w:t>
      </w:r>
      <w:r w:rsidR="00625F63">
        <w:rPr>
          <w:color w:val="auto"/>
          <w:sz w:val="28"/>
          <w:szCs w:val="28"/>
        </w:rPr>
        <w:t xml:space="preserve"> </w:t>
      </w:r>
    </w:p>
    <w:p w14:paraId="125A4A1A" w14:textId="0B812EC1" w:rsidR="00126654" w:rsidRPr="00126654" w:rsidRDefault="00126654" w:rsidP="00625F63">
      <w:pPr>
        <w:pStyle w:val="Default"/>
        <w:numPr>
          <w:ilvl w:val="0"/>
          <w:numId w:val="3"/>
        </w:numPr>
        <w:jc w:val="both"/>
        <w:rPr>
          <w:color w:val="auto"/>
          <w:sz w:val="28"/>
          <w:szCs w:val="28"/>
        </w:rPr>
      </w:pPr>
      <w:r w:rsidRPr="00625F63">
        <w:rPr>
          <w:color w:val="auto"/>
          <w:sz w:val="28"/>
          <w:szCs w:val="28"/>
          <w:u w:val="single"/>
        </w:rPr>
        <w:t>Izdevumi, kas nevar tikt iekļauti atbalstāmajos izdevumos</w:t>
      </w:r>
      <w:r w:rsidRPr="00126654">
        <w:rPr>
          <w:color w:val="auto"/>
          <w:sz w:val="28"/>
          <w:szCs w:val="28"/>
        </w:rPr>
        <w:t>: emitentiem piemērojamās maksas (AS “</w:t>
      </w:r>
      <w:proofErr w:type="spellStart"/>
      <w:r w:rsidRPr="00126654">
        <w:rPr>
          <w:color w:val="auto"/>
          <w:sz w:val="28"/>
          <w:szCs w:val="28"/>
        </w:rPr>
        <w:t>Nasdaq</w:t>
      </w:r>
      <w:proofErr w:type="spellEnd"/>
      <w:r w:rsidRPr="00126654">
        <w:rPr>
          <w:color w:val="auto"/>
          <w:sz w:val="28"/>
          <w:szCs w:val="28"/>
        </w:rPr>
        <w:t xml:space="preserve"> </w:t>
      </w:r>
      <w:proofErr w:type="spellStart"/>
      <w:r w:rsidRPr="00126654">
        <w:rPr>
          <w:color w:val="auto"/>
          <w:sz w:val="28"/>
          <w:szCs w:val="28"/>
        </w:rPr>
        <w:t>Riga</w:t>
      </w:r>
      <w:proofErr w:type="spellEnd"/>
      <w:r w:rsidRPr="00126654">
        <w:rPr>
          <w:color w:val="auto"/>
          <w:sz w:val="28"/>
          <w:szCs w:val="28"/>
        </w:rPr>
        <w:t xml:space="preserve">”/ </w:t>
      </w:r>
      <w:r w:rsidR="002D197E">
        <w:rPr>
          <w:color w:val="auto"/>
          <w:sz w:val="28"/>
          <w:szCs w:val="28"/>
        </w:rPr>
        <w:t xml:space="preserve">un vērtspapīru depozitārijs </w:t>
      </w:r>
      <w:r w:rsidR="00494D14">
        <w:rPr>
          <w:color w:val="auto"/>
          <w:sz w:val="28"/>
          <w:szCs w:val="28"/>
        </w:rPr>
        <w:t>“</w:t>
      </w:r>
      <w:proofErr w:type="spellStart"/>
      <w:r w:rsidRPr="00126654">
        <w:rPr>
          <w:color w:val="auto"/>
          <w:sz w:val="28"/>
          <w:szCs w:val="28"/>
        </w:rPr>
        <w:t>Nasdaq</w:t>
      </w:r>
      <w:proofErr w:type="spellEnd"/>
      <w:r w:rsidRPr="00126654">
        <w:rPr>
          <w:color w:val="auto"/>
          <w:sz w:val="28"/>
          <w:szCs w:val="28"/>
        </w:rPr>
        <w:t xml:space="preserve"> CSD SE</w:t>
      </w:r>
      <w:r w:rsidR="00494D14">
        <w:rPr>
          <w:color w:val="auto"/>
          <w:sz w:val="28"/>
          <w:szCs w:val="28"/>
        </w:rPr>
        <w:t>”</w:t>
      </w:r>
      <w:r w:rsidRPr="00126654">
        <w:rPr>
          <w:color w:val="auto"/>
          <w:sz w:val="28"/>
          <w:szCs w:val="28"/>
        </w:rPr>
        <w:t xml:space="preserve"> iekļaušanas un gada maksas), uzņēmuma iekšējās pārveides (piemēram, jaunu nodaļu izveides) u.tml. izdevumi, kā arī citi nesaistīti izdevumi un regulārie maksājumi ikdienas komercdarbības ietvaros.</w:t>
      </w:r>
    </w:p>
    <w:p w14:paraId="2CD986C3" w14:textId="61CAC6E3" w:rsidR="00126654" w:rsidRPr="00126654" w:rsidRDefault="00126654" w:rsidP="00625F63">
      <w:pPr>
        <w:pStyle w:val="Default"/>
        <w:numPr>
          <w:ilvl w:val="0"/>
          <w:numId w:val="3"/>
        </w:numPr>
        <w:jc w:val="both"/>
        <w:rPr>
          <w:color w:val="auto"/>
          <w:sz w:val="28"/>
          <w:szCs w:val="28"/>
        </w:rPr>
      </w:pPr>
      <w:r w:rsidRPr="00625F63">
        <w:rPr>
          <w:color w:val="auto"/>
          <w:sz w:val="28"/>
          <w:szCs w:val="28"/>
          <w:u w:val="single"/>
        </w:rPr>
        <w:t>Tirdzniecības vieta</w:t>
      </w:r>
      <w:r w:rsidRPr="00126654">
        <w:rPr>
          <w:color w:val="auto"/>
          <w:sz w:val="28"/>
          <w:szCs w:val="28"/>
        </w:rPr>
        <w:t>: AS “</w:t>
      </w:r>
      <w:proofErr w:type="spellStart"/>
      <w:r w:rsidRPr="00126654">
        <w:rPr>
          <w:color w:val="auto"/>
          <w:sz w:val="28"/>
          <w:szCs w:val="28"/>
        </w:rPr>
        <w:t>Nasdaq</w:t>
      </w:r>
      <w:proofErr w:type="spellEnd"/>
      <w:r w:rsidRPr="00126654">
        <w:rPr>
          <w:color w:val="auto"/>
          <w:sz w:val="28"/>
          <w:szCs w:val="28"/>
        </w:rPr>
        <w:t xml:space="preserve"> </w:t>
      </w:r>
      <w:proofErr w:type="spellStart"/>
      <w:r w:rsidRPr="00126654">
        <w:rPr>
          <w:color w:val="auto"/>
          <w:sz w:val="28"/>
          <w:szCs w:val="28"/>
        </w:rPr>
        <w:t>Riga</w:t>
      </w:r>
      <w:proofErr w:type="spellEnd"/>
      <w:r w:rsidRPr="00126654">
        <w:rPr>
          <w:color w:val="auto"/>
          <w:sz w:val="28"/>
          <w:szCs w:val="28"/>
        </w:rPr>
        <w:t xml:space="preserve">” Baltijas Regulētais tirgus un Baltijas Alternatīvais tirgus </w:t>
      </w:r>
      <w:r w:rsidR="00204760">
        <w:rPr>
          <w:color w:val="auto"/>
          <w:sz w:val="28"/>
          <w:szCs w:val="28"/>
        </w:rPr>
        <w:t>“</w:t>
      </w:r>
      <w:r w:rsidRPr="00126654">
        <w:rPr>
          <w:color w:val="auto"/>
          <w:sz w:val="28"/>
          <w:szCs w:val="28"/>
        </w:rPr>
        <w:t>First North</w:t>
      </w:r>
      <w:r w:rsidR="00204760">
        <w:rPr>
          <w:color w:val="auto"/>
          <w:sz w:val="28"/>
          <w:szCs w:val="28"/>
        </w:rPr>
        <w:t>”</w:t>
      </w:r>
      <w:r w:rsidRPr="00126654">
        <w:rPr>
          <w:color w:val="auto"/>
          <w:sz w:val="28"/>
          <w:szCs w:val="28"/>
        </w:rPr>
        <w:t>.</w:t>
      </w:r>
    </w:p>
    <w:p w14:paraId="3013ACF9" w14:textId="76621CFE" w:rsidR="00126654" w:rsidRPr="00126654" w:rsidRDefault="00126654" w:rsidP="00EB3502">
      <w:pPr>
        <w:pStyle w:val="Default"/>
        <w:numPr>
          <w:ilvl w:val="0"/>
          <w:numId w:val="3"/>
        </w:numPr>
        <w:jc w:val="both"/>
        <w:rPr>
          <w:color w:val="auto"/>
          <w:sz w:val="28"/>
          <w:szCs w:val="28"/>
        </w:rPr>
      </w:pPr>
      <w:r w:rsidRPr="00625F63">
        <w:rPr>
          <w:color w:val="auto"/>
          <w:sz w:val="28"/>
          <w:szCs w:val="28"/>
          <w:u w:val="single"/>
        </w:rPr>
        <w:t>Atbilstīgie uzņēmumi</w:t>
      </w:r>
      <w:r w:rsidRPr="00126654">
        <w:rPr>
          <w:color w:val="auto"/>
          <w:sz w:val="28"/>
          <w:szCs w:val="28"/>
        </w:rPr>
        <w:t xml:space="preserve">: mazie un vidējie uzņēmumi (apgrozījums nepārsniedz 50 miljonus </w:t>
      </w:r>
      <w:proofErr w:type="spellStart"/>
      <w:r w:rsidRPr="00625F63">
        <w:rPr>
          <w:i/>
          <w:color w:val="auto"/>
          <w:sz w:val="28"/>
          <w:szCs w:val="28"/>
        </w:rPr>
        <w:t>euro</w:t>
      </w:r>
      <w:proofErr w:type="spellEnd"/>
      <w:r w:rsidRPr="00126654">
        <w:rPr>
          <w:color w:val="auto"/>
          <w:sz w:val="28"/>
          <w:szCs w:val="28"/>
        </w:rPr>
        <w:t xml:space="preserve"> gadā vai kopējie aktīvi nav lielāki par 43 miljoniem </w:t>
      </w:r>
      <w:proofErr w:type="spellStart"/>
      <w:r w:rsidRPr="00625F63">
        <w:rPr>
          <w:i/>
          <w:color w:val="auto"/>
          <w:sz w:val="28"/>
          <w:szCs w:val="28"/>
        </w:rPr>
        <w:t>euro</w:t>
      </w:r>
      <w:proofErr w:type="spellEnd"/>
      <w:r w:rsidRPr="00126654">
        <w:rPr>
          <w:color w:val="auto"/>
          <w:sz w:val="28"/>
          <w:szCs w:val="28"/>
        </w:rPr>
        <w:t xml:space="preserve"> un nodarbināto skaits nepārsniedz 250 darbiniekus; uzņēmumam jābūt Latvijā reģistrētam SIA/AS un Latvijas nodokļu maksātājam.</w:t>
      </w:r>
    </w:p>
    <w:p w14:paraId="7DDFA6E4" w14:textId="105A75B5" w:rsidR="00126654" w:rsidRDefault="00126654" w:rsidP="003F078D">
      <w:pPr>
        <w:pStyle w:val="Default"/>
        <w:numPr>
          <w:ilvl w:val="0"/>
          <w:numId w:val="3"/>
        </w:numPr>
        <w:jc w:val="both"/>
        <w:rPr>
          <w:color w:val="auto"/>
          <w:sz w:val="28"/>
          <w:szCs w:val="28"/>
        </w:rPr>
      </w:pPr>
      <w:r w:rsidRPr="00EB3502">
        <w:rPr>
          <w:color w:val="auto"/>
          <w:sz w:val="28"/>
          <w:szCs w:val="28"/>
          <w:u w:val="single"/>
        </w:rPr>
        <w:t>Valsts atbalsta normas</w:t>
      </w:r>
      <w:r w:rsidRPr="00126654">
        <w:rPr>
          <w:color w:val="auto"/>
          <w:sz w:val="28"/>
          <w:szCs w:val="28"/>
        </w:rPr>
        <w:t>: saskaņā ar Komisijas Regulu (ES) Nr. 651/2014, (2014.gada 17.jūnijs), ar ko noteiktas atbalsta kategorijas atzīst par saderīgām ar iekšējo tirgu, piemērojot Līguma 107. un 108. pantu</w:t>
      </w:r>
      <w:r w:rsidR="00702B4F">
        <w:rPr>
          <w:color w:val="auto"/>
          <w:sz w:val="28"/>
          <w:szCs w:val="28"/>
        </w:rPr>
        <w:t>,</w:t>
      </w:r>
      <w:r w:rsidRPr="00126654">
        <w:rPr>
          <w:color w:val="auto"/>
          <w:sz w:val="28"/>
          <w:szCs w:val="28"/>
        </w:rPr>
        <w:t xml:space="preserve"> 18.pan</w:t>
      </w:r>
      <w:r w:rsidR="00625F63">
        <w:rPr>
          <w:color w:val="auto"/>
          <w:sz w:val="28"/>
          <w:szCs w:val="28"/>
        </w:rPr>
        <w:t>tu “Atbalsts konsultācijām MVU”</w:t>
      </w:r>
      <w:r w:rsidR="003F078D">
        <w:rPr>
          <w:color w:val="auto"/>
          <w:sz w:val="28"/>
          <w:szCs w:val="28"/>
        </w:rPr>
        <w:t xml:space="preserve"> un </w:t>
      </w:r>
      <w:r w:rsidR="003F078D" w:rsidRPr="003F078D">
        <w:rPr>
          <w:color w:val="auto"/>
          <w:sz w:val="28"/>
          <w:szCs w:val="28"/>
        </w:rPr>
        <w:t xml:space="preserve">Komisijas regulu (ES) Nr.1407/2013 (2013.gada 18.decembris) par Līguma par Eiropas Savienības darbību 107. un 108.panta piemērošanu </w:t>
      </w:r>
      <w:proofErr w:type="spellStart"/>
      <w:r w:rsidR="003F078D" w:rsidRPr="003F078D">
        <w:rPr>
          <w:color w:val="auto"/>
          <w:sz w:val="28"/>
          <w:szCs w:val="28"/>
        </w:rPr>
        <w:t>de</w:t>
      </w:r>
      <w:proofErr w:type="spellEnd"/>
      <w:r w:rsidR="003F078D" w:rsidRPr="003F078D">
        <w:rPr>
          <w:color w:val="auto"/>
          <w:sz w:val="28"/>
          <w:szCs w:val="28"/>
        </w:rPr>
        <w:t xml:space="preserve"> </w:t>
      </w:r>
      <w:proofErr w:type="spellStart"/>
      <w:r w:rsidR="003F078D" w:rsidRPr="003F078D">
        <w:rPr>
          <w:color w:val="auto"/>
          <w:sz w:val="28"/>
          <w:szCs w:val="28"/>
        </w:rPr>
        <w:t>minimis</w:t>
      </w:r>
      <w:proofErr w:type="spellEnd"/>
      <w:r w:rsidR="003F078D" w:rsidRPr="003F078D">
        <w:rPr>
          <w:color w:val="auto"/>
          <w:sz w:val="28"/>
          <w:szCs w:val="28"/>
        </w:rPr>
        <w:t xml:space="preserve"> atbalstam vai citu </w:t>
      </w:r>
      <w:proofErr w:type="spellStart"/>
      <w:r w:rsidR="003F078D" w:rsidRPr="003F078D">
        <w:rPr>
          <w:color w:val="auto"/>
          <w:sz w:val="28"/>
          <w:szCs w:val="28"/>
        </w:rPr>
        <w:t>de</w:t>
      </w:r>
      <w:proofErr w:type="spellEnd"/>
      <w:r w:rsidR="003F078D" w:rsidRPr="003F078D">
        <w:rPr>
          <w:color w:val="auto"/>
          <w:sz w:val="28"/>
          <w:szCs w:val="28"/>
        </w:rPr>
        <w:t xml:space="preserve"> </w:t>
      </w:r>
      <w:proofErr w:type="spellStart"/>
      <w:r w:rsidR="003F078D" w:rsidRPr="003F078D">
        <w:rPr>
          <w:color w:val="auto"/>
          <w:sz w:val="28"/>
          <w:szCs w:val="28"/>
        </w:rPr>
        <w:t>minimis</w:t>
      </w:r>
      <w:proofErr w:type="spellEnd"/>
      <w:r w:rsidR="003F078D" w:rsidRPr="003F078D">
        <w:rPr>
          <w:color w:val="auto"/>
          <w:sz w:val="28"/>
          <w:szCs w:val="28"/>
        </w:rPr>
        <w:t xml:space="preserve"> regulējumu atbilstoši nozarei.</w:t>
      </w:r>
    </w:p>
    <w:p w14:paraId="1AF23EF0" w14:textId="77777777" w:rsidR="000B7FCD" w:rsidRDefault="000B7FCD" w:rsidP="000B7FCD">
      <w:pPr>
        <w:pStyle w:val="Default"/>
        <w:jc w:val="both"/>
        <w:rPr>
          <w:color w:val="auto"/>
          <w:sz w:val="28"/>
          <w:szCs w:val="28"/>
        </w:rPr>
      </w:pPr>
    </w:p>
    <w:p w14:paraId="4F039653" w14:textId="07E8A68A" w:rsidR="005D763B" w:rsidRPr="000B7FCD" w:rsidRDefault="00CA02CA" w:rsidP="000B7FCD">
      <w:pPr>
        <w:pStyle w:val="Default"/>
        <w:ind w:firstLine="851"/>
        <w:jc w:val="both"/>
        <w:rPr>
          <w:color w:val="auto"/>
          <w:sz w:val="28"/>
          <w:szCs w:val="28"/>
        </w:rPr>
      </w:pPr>
      <w:r w:rsidRPr="000B7FCD">
        <w:rPr>
          <w:color w:val="auto"/>
          <w:sz w:val="28"/>
          <w:szCs w:val="28"/>
        </w:rPr>
        <w:t>P</w:t>
      </w:r>
      <w:r w:rsidR="005D763B" w:rsidRPr="000B7FCD">
        <w:rPr>
          <w:color w:val="auto"/>
          <w:sz w:val="28"/>
          <w:szCs w:val="28"/>
        </w:rPr>
        <w:t xml:space="preserve">ēc nepieciešamības </w:t>
      </w:r>
      <w:r w:rsidRPr="000B7FCD">
        <w:rPr>
          <w:color w:val="auto"/>
          <w:sz w:val="28"/>
          <w:szCs w:val="28"/>
        </w:rPr>
        <w:t xml:space="preserve">uzņēmums </w:t>
      </w:r>
      <w:r w:rsidR="005D763B" w:rsidRPr="000B7FCD">
        <w:rPr>
          <w:color w:val="auto"/>
          <w:sz w:val="28"/>
          <w:szCs w:val="28"/>
        </w:rPr>
        <w:t>var izmantot iespēju pirms-kotācijas īstermiņa aizdevumam (</w:t>
      </w:r>
      <w:proofErr w:type="spellStart"/>
      <w:r w:rsidR="005D763B" w:rsidRPr="000B7FCD">
        <w:rPr>
          <w:color w:val="auto"/>
          <w:sz w:val="28"/>
          <w:szCs w:val="28"/>
        </w:rPr>
        <w:t>Bridge</w:t>
      </w:r>
      <w:proofErr w:type="spellEnd"/>
      <w:r w:rsidR="005D763B" w:rsidRPr="000B7FCD">
        <w:rPr>
          <w:color w:val="auto"/>
          <w:sz w:val="28"/>
          <w:szCs w:val="28"/>
        </w:rPr>
        <w:t xml:space="preserve"> </w:t>
      </w:r>
      <w:proofErr w:type="spellStart"/>
      <w:r w:rsidR="005D763B" w:rsidRPr="000B7FCD">
        <w:rPr>
          <w:color w:val="auto"/>
          <w:sz w:val="28"/>
          <w:szCs w:val="28"/>
        </w:rPr>
        <w:t>loan</w:t>
      </w:r>
      <w:proofErr w:type="spellEnd"/>
      <w:r w:rsidR="005D763B" w:rsidRPr="000B7FCD">
        <w:rPr>
          <w:color w:val="auto"/>
          <w:sz w:val="28"/>
          <w:szCs w:val="28"/>
        </w:rPr>
        <w:t>) sadarbībā ar</w:t>
      </w:r>
      <w:r w:rsidR="00007E18" w:rsidRPr="000B7FCD">
        <w:rPr>
          <w:color w:val="auto"/>
          <w:sz w:val="28"/>
          <w:szCs w:val="28"/>
        </w:rPr>
        <w:t xml:space="preserve"> AS “Attīstības finanšu institūciju </w:t>
      </w:r>
      <w:proofErr w:type="spellStart"/>
      <w:r w:rsidR="00007E18" w:rsidRPr="000B7FCD">
        <w:rPr>
          <w:color w:val="auto"/>
          <w:sz w:val="28"/>
          <w:szCs w:val="28"/>
        </w:rPr>
        <w:t>Altum</w:t>
      </w:r>
      <w:proofErr w:type="spellEnd"/>
      <w:r w:rsidR="00007E18" w:rsidRPr="000B7FCD">
        <w:rPr>
          <w:color w:val="auto"/>
          <w:sz w:val="28"/>
          <w:szCs w:val="28"/>
        </w:rPr>
        <w:t>”</w:t>
      </w:r>
      <w:r w:rsidR="000B7FCD">
        <w:rPr>
          <w:color w:val="auto"/>
          <w:sz w:val="28"/>
          <w:szCs w:val="28"/>
        </w:rPr>
        <w:t>, kopumā jau šobrīd piedāvāto pakalpojumu ietvaros</w:t>
      </w:r>
      <w:r w:rsidR="005B28DC" w:rsidRPr="000B7FCD">
        <w:rPr>
          <w:color w:val="auto"/>
          <w:sz w:val="28"/>
          <w:szCs w:val="28"/>
        </w:rPr>
        <w:t xml:space="preserve">. </w:t>
      </w:r>
      <w:r w:rsidR="003761FD" w:rsidRPr="000B7FCD">
        <w:rPr>
          <w:color w:val="auto"/>
          <w:sz w:val="28"/>
          <w:szCs w:val="28"/>
        </w:rPr>
        <w:t>Šis ir no atbalsta pasākuma atsevišķs papildinošs pakalpojums</w:t>
      </w:r>
      <w:r w:rsidR="00237B9E" w:rsidRPr="000B7FCD">
        <w:rPr>
          <w:color w:val="auto"/>
          <w:sz w:val="28"/>
          <w:szCs w:val="28"/>
        </w:rPr>
        <w:t xml:space="preserve"> un ārpus pilotprojekta budžeta</w:t>
      </w:r>
      <w:r w:rsidR="003761FD" w:rsidRPr="000B7FCD">
        <w:rPr>
          <w:color w:val="auto"/>
          <w:sz w:val="28"/>
          <w:szCs w:val="28"/>
        </w:rPr>
        <w:t xml:space="preserve">, kur </w:t>
      </w:r>
      <w:r w:rsidR="005B28DC" w:rsidRPr="000B7FCD">
        <w:rPr>
          <w:color w:val="auto"/>
          <w:sz w:val="28"/>
          <w:szCs w:val="28"/>
        </w:rPr>
        <w:t xml:space="preserve">netiek izmantoti </w:t>
      </w:r>
      <w:r w:rsidR="0041597A" w:rsidRPr="000B7FCD">
        <w:rPr>
          <w:color w:val="auto"/>
          <w:sz w:val="28"/>
          <w:szCs w:val="28"/>
        </w:rPr>
        <w:t>Eiropas Reģionālā attīstības fonda</w:t>
      </w:r>
      <w:r w:rsidR="005B28DC" w:rsidRPr="000B7FCD">
        <w:rPr>
          <w:color w:val="auto"/>
          <w:sz w:val="28"/>
          <w:szCs w:val="28"/>
        </w:rPr>
        <w:t xml:space="preserve"> līdzekļi.</w:t>
      </w:r>
      <w:r w:rsidR="00C300BB">
        <w:rPr>
          <w:color w:val="auto"/>
          <w:sz w:val="28"/>
          <w:szCs w:val="28"/>
        </w:rPr>
        <w:t xml:space="preserve"> </w:t>
      </w:r>
      <w:r w:rsidR="00A12FD7">
        <w:rPr>
          <w:color w:val="auto"/>
          <w:sz w:val="28"/>
          <w:szCs w:val="28"/>
        </w:rPr>
        <w:t xml:space="preserve"> Konsultantu vērtējumā pastāv tirgus nepilnība par uzņēmumu kotāciju biržā.</w:t>
      </w:r>
      <w:r w:rsidR="00C300BB">
        <w:rPr>
          <w:color w:val="auto"/>
          <w:sz w:val="28"/>
          <w:szCs w:val="28"/>
        </w:rPr>
        <w:t xml:space="preserve"> Starptautiskie salīdzinājum</w:t>
      </w:r>
      <w:r w:rsidR="00183202">
        <w:rPr>
          <w:color w:val="auto"/>
          <w:sz w:val="28"/>
          <w:szCs w:val="28"/>
        </w:rPr>
        <w:t>i</w:t>
      </w:r>
      <w:r w:rsidR="00C300BB">
        <w:rPr>
          <w:color w:val="auto"/>
          <w:sz w:val="28"/>
          <w:szCs w:val="28"/>
        </w:rPr>
        <w:t xml:space="preserve"> </w:t>
      </w:r>
      <w:r w:rsidR="00C300BB">
        <w:rPr>
          <w:color w:val="auto"/>
          <w:sz w:val="28"/>
          <w:szCs w:val="28"/>
        </w:rPr>
        <w:lastRenderedPageBreak/>
        <w:t>un Latvijas uzņēmumu aptaujas liecina par kapitāla finansējuma nepieciešamību uzņēmumos</w:t>
      </w:r>
      <w:r w:rsidR="00183202">
        <w:rPr>
          <w:color w:val="auto"/>
          <w:sz w:val="28"/>
          <w:szCs w:val="28"/>
        </w:rPr>
        <w:t xml:space="preserve"> un par uzņēmumu interesi</w:t>
      </w:r>
      <w:r w:rsidR="00C300BB">
        <w:rPr>
          <w:color w:val="auto"/>
          <w:sz w:val="28"/>
          <w:szCs w:val="28"/>
        </w:rPr>
        <w:t xml:space="preserve">, </w:t>
      </w:r>
      <w:r w:rsidR="00183202">
        <w:rPr>
          <w:color w:val="auto"/>
          <w:sz w:val="28"/>
          <w:szCs w:val="28"/>
        </w:rPr>
        <w:t>tomēr praktiski akciju kotāciju biržā ir veikuši tikai atsevišķi uzņēmumi. Analīze ir identificējusi pastāvošos šķēršļus kotācijai biržā, t.sk. augstas kotācijas sagatavošanas izmaksas, zema tirgus likviditāte un nepietiekamas uzņēmēju zināšanas. Turklāt uzņēmumiem nereti ir augstas parādsaistības, un tādēļ ir ierobežotas iespējas izmantot kredītiestāžu aizdevumus kotācijas procesa sagatavošanai.</w:t>
      </w:r>
    </w:p>
    <w:p w14:paraId="24B9CA97" w14:textId="77777777" w:rsidR="00625F63" w:rsidRPr="00126654" w:rsidRDefault="00625F63" w:rsidP="00126654">
      <w:pPr>
        <w:pStyle w:val="Default"/>
        <w:jc w:val="both"/>
        <w:rPr>
          <w:color w:val="auto"/>
          <w:sz w:val="28"/>
          <w:szCs w:val="28"/>
        </w:rPr>
      </w:pPr>
    </w:p>
    <w:p w14:paraId="00E7357B" w14:textId="3AD1DD24" w:rsidR="00126654" w:rsidRDefault="00126654" w:rsidP="00625F63">
      <w:pPr>
        <w:pStyle w:val="Default"/>
        <w:ind w:firstLine="720"/>
        <w:jc w:val="both"/>
        <w:rPr>
          <w:color w:val="auto"/>
          <w:sz w:val="28"/>
          <w:szCs w:val="28"/>
        </w:rPr>
      </w:pPr>
      <w:r w:rsidRPr="00126654">
        <w:rPr>
          <w:color w:val="auto"/>
          <w:sz w:val="28"/>
          <w:szCs w:val="28"/>
        </w:rPr>
        <w:t xml:space="preserve">Tāpat projekta </w:t>
      </w:r>
      <w:r w:rsidR="00320DAD">
        <w:rPr>
          <w:color w:val="auto"/>
          <w:sz w:val="28"/>
          <w:szCs w:val="28"/>
        </w:rPr>
        <w:t xml:space="preserve">konceptuālajā </w:t>
      </w:r>
      <w:r w:rsidRPr="00126654">
        <w:rPr>
          <w:color w:val="auto"/>
          <w:sz w:val="28"/>
          <w:szCs w:val="28"/>
        </w:rPr>
        <w:t xml:space="preserve">ziņojumā ir sniegts novērtējums par atbalsta pasākuma kopējām izmaksām un nepieciešamo finansējumu. </w:t>
      </w:r>
      <w:r w:rsidR="00A12FD7">
        <w:rPr>
          <w:color w:val="auto"/>
          <w:sz w:val="28"/>
          <w:szCs w:val="28"/>
        </w:rPr>
        <w:t>Lai īstenotu atbalsta pasākumu, ierosinām</w:t>
      </w:r>
      <w:r w:rsidRPr="00126654">
        <w:rPr>
          <w:color w:val="auto"/>
          <w:sz w:val="28"/>
          <w:szCs w:val="28"/>
        </w:rPr>
        <w:t xml:space="preserve"> trīs gadu </w:t>
      </w:r>
      <w:proofErr w:type="spellStart"/>
      <w:r w:rsidR="00A12FD7" w:rsidRPr="00126654">
        <w:rPr>
          <w:color w:val="auto"/>
          <w:sz w:val="28"/>
          <w:szCs w:val="28"/>
        </w:rPr>
        <w:t>pilotprogramm</w:t>
      </w:r>
      <w:r w:rsidR="00A12FD7">
        <w:rPr>
          <w:color w:val="auto"/>
          <w:sz w:val="28"/>
          <w:szCs w:val="28"/>
        </w:rPr>
        <w:t>u</w:t>
      </w:r>
      <w:proofErr w:type="spellEnd"/>
      <w:r w:rsidR="00A12FD7" w:rsidRPr="00126654">
        <w:rPr>
          <w:color w:val="auto"/>
          <w:sz w:val="28"/>
          <w:szCs w:val="28"/>
        </w:rPr>
        <w:t xml:space="preserve"> </w:t>
      </w:r>
      <w:r w:rsidRPr="00126654">
        <w:rPr>
          <w:color w:val="auto"/>
          <w:sz w:val="28"/>
          <w:szCs w:val="28"/>
        </w:rPr>
        <w:t xml:space="preserve">ar kopējo budžetu 2 miljoni </w:t>
      </w:r>
      <w:proofErr w:type="spellStart"/>
      <w:r w:rsidRPr="00625F63">
        <w:rPr>
          <w:i/>
          <w:color w:val="auto"/>
          <w:sz w:val="28"/>
          <w:szCs w:val="28"/>
        </w:rPr>
        <w:t>euro</w:t>
      </w:r>
      <w:proofErr w:type="spellEnd"/>
      <w:r w:rsidRPr="00126654">
        <w:rPr>
          <w:color w:val="auto"/>
          <w:sz w:val="28"/>
          <w:szCs w:val="28"/>
        </w:rPr>
        <w:t xml:space="preserve">, no kuriem 75% tiktu izlietoti akciju emisiju atbalstam (1,5 miljoni </w:t>
      </w:r>
      <w:proofErr w:type="spellStart"/>
      <w:r w:rsidRPr="00625F63">
        <w:rPr>
          <w:i/>
          <w:color w:val="auto"/>
          <w:sz w:val="28"/>
          <w:szCs w:val="28"/>
        </w:rPr>
        <w:t>euro</w:t>
      </w:r>
      <w:proofErr w:type="spellEnd"/>
      <w:r w:rsidRPr="00126654">
        <w:rPr>
          <w:color w:val="auto"/>
          <w:sz w:val="28"/>
          <w:szCs w:val="28"/>
        </w:rPr>
        <w:t xml:space="preserve">) un 25% tiktu izlietoti parāda vērtspapīru emisiju atbalstam (0,5 miljoni </w:t>
      </w:r>
      <w:proofErr w:type="spellStart"/>
      <w:r w:rsidRPr="00625F63">
        <w:rPr>
          <w:i/>
          <w:color w:val="auto"/>
          <w:sz w:val="28"/>
          <w:szCs w:val="28"/>
        </w:rPr>
        <w:t>euro</w:t>
      </w:r>
      <w:proofErr w:type="spellEnd"/>
      <w:r w:rsidRPr="00126654">
        <w:rPr>
          <w:color w:val="auto"/>
          <w:sz w:val="28"/>
          <w:szCs w:val="28"/>
        </w:rPr>
        <w:t xml:space="preserve">). </w:t>
      </w:r>
      <w:r w:rsidR="00625F63" w:rsidRPr="00126654">
        <w:rPr>
          <w:color w:val="auto"/>
          <w:sz w:val="28"/>
          <w:szCs w:val="28"/>
        </w:rPr>
        <w:t>Šāds</w:t>
      </w:r>
      <w:r w:rsidRPr="00126654">
        <w:rPr>
          <w:color w:val="auto"/>
          <w:sz w:val="28"/>
          <w:szCs w:val="28"/>
        </w:rPr>
        <w:t xml:space="preserve"> finansējums sniegtu </w:t>
      </w:r>
      <w:r w:rsidR="00625F63" w:rsidRPr="00126654">
        <w:rPr>
          <w:color w:val="auto"/>
          <w:sz w:val="28"/>
          <w:szCs w:val="28"/>
        </w:rPr>
        <w:t>iespēju</w:t>
      </w:r>
      <w:r w:rsidRPr="00126654">
        <w:rPr>
          <w:color w:val="auto"/>
          <w:sz w:val="28"/>
          <w:szCs w:val="28"/>
        </w:rPr>
        <w:t xml:space="preserve"> ik gadu atbalstīt vismaz piecu uzņēmumu akciju emisiju un vismaz piecu uzņēmumu</w:t>
      </w:r>
      <w:r w:rsidR="00625F63">
        <w:rPr>
          <w:color w:val="auto"/>
          <w:sz w:val="28"/>
          <w:szCs w:val="28"/>
        </w:rPr>
        <w:t xml:space="preserve"> </w:t>
      </w:r>
      <w:r w:rsidRPr="00126654">
        <w:rPr>
          <w:color w:val="auto"/>
          <w:sz w:val="28"/>
          <w:szCs w:val="28"/>
        </w:rPr>
        <w:t xml:space="preserve">obligāciju emisiju. </w:t>
      </w:r>
      <w:r w:rsidR="00625F63" w:rsidRPr="00126654">
        <w:rPr>
          <w:color w:val="auto"/>
          <w:sz w:val="28"/>
          <w:szCs w:val="28"/>
        </w:rPr>
        <w:t>Šis</w:t>
      </w:r>
      <w:r w:rsidRPr="00126654">
        <w:rPr>
          <w:color w:val="auto"/>
          <w:sz w:val="28"/>
          <w:szCs w:val="28"/>
        </w:rPr>
        <w:t xml:space="preserve"> plāns atbilst indikatīvajam novērtējumam par uzņēmēju interesi piesaistīt finansējumu biržā un izmantot atbalsta pasākumu. Trīs gadus ilgo </w:t>
      </w:r>
      <w:proofErr w:type="spellStart"/>
      <w:r w:rsidRPr="00126654">
        <w:rPr>
          <w:color w:val="auto"/>
          <w:sz w:val="28"/>
          <w:szCs w:val="28"/>
        </w:rPr>
        <w:t>pilotprogrammu</w:t>
      </w:r>
      <w:proofErr w:type="spellEnd"/>
      <w:r w:rsidRPr="00126654">
        <w:rPr>
          <w:color w:val="auto"/>
          <w:sz w:val="28"/>
          <w:szCs w:val="28"/>
        </w:rPr>
        <w:t xml:space="preserve"> ir plānots īstenot laika posmā no 20</w:t>
      </w:r>
      <w:r w:rsidR="00EA2B54">
        <w:rPr>
          <w:color w:val="auto"/>
          <w:sz w:val="28"/>
          <w:szCs w:val="28"/>
        </w:rPr>
        <w:t>20</w:t>
      </w:r>
      <w:r w:rsidRPr="00126654">
        <w:rPr>
          <w:color w:val="auto"/>
          <w:sz w:val="28"/>
          <w:szCs w:val="28"/>
        </w:rPr>
        <w:t>.gada līdz 202</w:t>
      </w:r>
      <w:r w:rsidR="00EA2B54">
        <w:rPr>
          <w:color w:val="auto"/>
          <w:sz w:val="28"/>
          <w:szCs w:val="28"/>
        </w:rPr>
        <w:t>2</w:t>
      </w:r>
      <w:r w:rsidRPr="00126654">
        <w:rPr>
          <w:color w:val="auto"/>
          <w:sz w:val="28"/>
          <w:szCs w:val="28"/>
        </w:rPr>
        <w:t>.gadam.</w:t>
      </w:r>
      <w:r w:rsidR="005B28DC" w:rsidRPr="005B28DC">
        <w:rPr>
          <w:color w:val="auto"/>
          <w:sz w:val="28"/>
          <w:szCs w:val="28"/>
        </w:rPr>
        <w:t xml:space="preserve"> </w:t>
      </w:r>
      <w:proofErr w:type="spellStart"/>
      <w:r w:rsidR="005B28DC">
        <w:rPr>
          <w:color w:val="auto"/>
          <w:sz w:val="28"/>
          <w:szCs w:val="28"/>
        </w:rPr>
        <w:t>Pilotprogrammas</w:t>
      </w:r>
      <w:proofErr w:type="spellEnd"/>
      <w:r w:rsidR="005B28DC">
        <w:rPr>
          <w:color w:val="auto"/>
          <w:sz w:val="28"/>
          <w:szCs w:val="28"/>
        </w:rPr>
        <w:t xml:space="preserve"> ietekme uz tirgus </w:t>
      </w:r>
      <w:r w:rsidR="00746D97">
        <w:rPr>
          <w:color w:val="auto"/>
          <w:sz w:val="28"/>
          <w:szCs w:val="28"/>
        </w:rPr>
        <w:t>kapitalizāciju</w:t>
      </w:r>
      <w:r w:rsidR="005B28DC">
        <w:rPr>
          <w:color w:val="auto"/>
          <w:sz w:val="28"/>
          <w:szCs w:val="28"/>
        </w:rPr>
        <w:t xml:space="preserve"> būs atkarīga no kotēto uzņ</w:t>
      </w:r>
      <w:r w:rsidR="00746D97">
        <w:rPr>
          <w:color w:val="auto"/>
          <w:sz w:val="28"/>
          <w:szCs w:val="28"/>
        </w:rPr>
        <w:t>ēmumu skaita un lieluma, un pastāv iespēja tirgus kapitalizāciju divkārt palielināt.</w:t>
      </w:r>
    </w:p>
    <w:p w14:paraId="34B6BC1C" w14:textId="77777777" w:rsidR="00625F63" w:rsidRPr="00126654" w:rsidRDefault="00625F63" w:rsidP="00625F63">
      <w:pPr>
        <w:pStyle w:val="Default"/>
        <w:ind w:firstLine="720"/>
        <w:jc w:val="both"/>
        <w:rPr>
          <w:color w:val="auto"/>
          <w:sz w:val="28"/>
          <w:szCs w:val="28"/>
        </w:rPr>
      </w:pPr>
    </w:p>
    <w:p w14:paraId="32730352" w14:textId="24DD9F76" w:rsidR="00625F63" w:rsidRPr="00126654" w:rsidRDefault="00126654">
      <w:pPr>
        <w:pStyle w:val="Default"/>
        <w:ind w:firstLine="720"/>
        <w:jc w:val="both"/>
        <w:rPr>
          <w:color w:val="auto"/>
          <w:sz w:val="28"/>
          <w:szCs w:val="28"/>
        </w:rPr>
      </w:pPr>
      <w:r w:rsidRPr="00126654">
        <w:rPr>
          <w:color w:val="auto"/>
          <w:sz w:val="28"/>
          <w:szCs w:val="28"/>
        </w:rPr>
        <w:t>Iespējamā finansējuma avota izvēle (atbilstoši piedāvātajiem variantiem) un vienošanās par izvēlēto ceļu ir nākamais būtiskākais solis šī atbalsta instrumenta sagatavošanā un ieviešanā. Ņemot vērā pašreizējās iespējas ES fondu 2014.- 2020.gada plānošanas periodā, projekta koncep</w:t>
      </w:r>
      <w:r w:rsidR="00320DAD">
        <w:rPr>
          <w:color w:val="auto"/>
          <w:sz w:val="28"/>
          <w:szCs w:val="28"/>
        </w:rPr>
        <w:t>tuālā</w:t>
      </w:r>
      <w:r w:rsidRPr="00126654">
        <w:rPr>
          <w:color w:val="auto"/>
          <w:sz w:val="28"/>
          <w:szCs w:val="28"/>
        </w:rPr>
        <w:t xml:space="preserve"> ziņojuma apspriešanas gaitā tika identificēti šādi iespējamā finansējuma avoti un alternatīvas:</w:t>
      </w:r>
    </w:p>
    <w:p w14:paraId="092BB5A5" w14:textId="0F580DA4" w:rsidR="00126654" w:rsidRPr="00F93383" w:rsidRDefault="00126654" w:rsidP="00C555CE">
      <w:pPr>
        <w:pStyle w:val="Default"/>
        <w:numPr>
          <w:ilvl w:val="0"/>
          <w:numId w:val="4"/>
        </w:numPr>
        <w:jc w:val="both"/>
        <w:rPr>
          <w:color w:val="auto"/>
          <w:sz w:val="28"/>
          <w:szCs w:val="28"/>
        </w:rPr>
      </w:pPr>
      <w:r w:rsidRPr="00F93383">
        <w:rPr>
          <w:color w:val="auto"/>
          <w:sz w:val="28"/>
          <w:szCs w:val="28"/>
        </w:rPr>
        <w:t xml:space="preserve">piešķirot finansējumu no izpildes rezerves, saskaņā ar </w:t>
      </w:r>
      <w:r w:rsidR="00F93383">
        <w:rPr>
          <w:color w:val="auto"/>
          <w:sz w:val="28"/>
          <w:szCs w:val="28"/>
        </w:rPr>
        <w:t>Eiropas Parlamenta un Padomes regulu</w:t>
      </w:r>
      <w:r w:rsidR="00F93383" w:rsidRPr="00F93383">
        <w:rPr>
          <w:color w:val="auto"/>
          <w:sz w:val="28"/>
          <w:szCs w:val="28"/>
        </w:rPr>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F93383">
        <w:rPr>
          <w:color w:val="auto"/>
          <w:sz w:val="28"/>
          <w:szCs w:val="28"/>
        </w:rPr>
        <w:t xml:space="preserve"> </w:t>
      </w:r>
      <w:r w:rsidRPr="00F93383">
        <w:rPr>
          <w:color w:val="auto"/>
          <w:sz w:val="28"/>
          <w:szCs w:val="28"/>
        </w:rPr>
        <w:t>20.pantu,</w:t>
      </w:r>
    </w:p>
    <w:p w14:paraId="6CE43E4D" w14:textId="00BE81AB" w:rsidR="00126654" w:rsidRDefault="00126654" w:rsidP="00625F63">
      <w:pPr>
        <w:pStyle w:val="Default"/>
        <w:numPr>
          <w:ilvl w:val="0"/>
          <w:numId w:val="4"/>
        </w:numPr>
        <w:jc w:val="both"/>
        <w:rPr>
          <w:color w:val="auto"/>
          <w:sz w:val="28"/>
          <w:szCs w:val="28"/>
        </w:rPr>
      </w:pPr>
      <w:r w:rsidRPr="00126654">
        <w:rPr>
          <w:color w:val="auto"/>
          <w:sz w:val="28"/>
          <w:szCs w:val="28"/>
        </w:rPr>
        <w:t>pārskatot finansējuma piešķīrumu 2014.-2020.gada atbalsta programmām uzņēmējdarbības un energoefektivitātes sekmēšanai</w:t>
      </w:r>
      <w:r w:rsidR="00785DEC">
        <w:rPr>
          <w:color w:val="auto"/>
          <w:sz w:val="28"/>
          <w:szCs w:val="28"/>
        </w:rPr>
        <w:t>.</w:t>
      </w:r>
    </w:p>
    <w:p w14:paraId="7317EBCD" w14:textId="77777777" w:rsidR="00785DEC" w:rsidRPr="00586FAC" w:rsidRDefault="00785DEC" w:rsidP="00785DEC">
      <w:pPr>
        <w:pStyle w:val="Default"/>
        <w:ind w:left="720"/>
        <w:jc w:val="both"/>
        <w:rPr>
          <w:color w:val="auto"/>
          <w:sz w:val="28"/>
          <w:szCs w:val="28"/>
        </w:rPr>
      </w:pPr>
    </w:p>
    <w:p w14:paraId="4588CF0A" w14:textId="653B281D" w:rsidR="009D5F63" w:rsidRPr="00586FAC" w:rsidRDefault="00785DEC" w:rsidP="00785DEC">
      <w:pPr>
        <w:pStyle w:val="Default"/>
        <w:jc w:val="both"/>
        <w:rPr>
          <w:color w:val="auto"/>
          <w:sz w:val="28"/>
          <w:szCs w:val="28"/>
        </w:rPr>
      </w:pPr>
      <w:r w:rsidRPr="00586FAC">
        <w:rPr>
          <w:color w:val="auto"/>
          <w:sz w:val="28"/>
          <w:szCs w:val="28"/>
        </w:rPr>
        <w:t xml:space="preserve">Ekonomikas ministrija kā </w:t>
      </w:r>
      <w:r w:rsidR="00A70A66">
        <w:rPr>
          <w:color w:val="auto"/>
          <w:sz w:val="28"/>
          <w:szCs w:val="28"/>
        </w:rPr>
        <w:t xml:space="preserve">ES fondu </w:t>
      </w:r>
      <w:r w:rsidRPr="00586FAC">
        <w:rPr>
          <w:color w:val="auto"/>
          <w:sz w:val="28"/>
          <w:szCs w:val="28"/>
        </w:rPr>
        <w:t>atbildīgā</w:t>
      </w:r>
      <w:r w:rsidR="00586FAC" w:rsidRPr="00586FAC">
        <w:rPr>
          <w:color w:val="auto"/>
          <w:sz w:val="28"/>
          <w:szCs w:val="28"/>
        </w:rPr>
        <w:t xml:space="preserve"> iestāde sagatavo priekšlikumu par finansējuma avota izvēli. </w:t>
      </w:r>
      <w:r w:rsidR="000D1BCE" w:rsidRPr="00586FAC">
        <w:rPr>
          <w:color w:val="auto"/>
          <w:sz w:val="28"/>
          <w:szCs w:val="28"/>
        </w:rPr>
        <w:t xml:space="preserve">Finanšu ministrija šajā jautājumā sniedz atbalstu savas kompetences ietvaros. </w:t>
      </w:r>
    </w:p>
    <w:p w14:paraId="1FDD535E" w14:textId="0C98E78E" w:rsidR="009F06E9" w:rsidRDefault="009F06E9" w:rsidP="002D197E">
      <w:pPr>
        <w:pStyle w:val="Default"/>
        <w:jc w:val="both"/>
        <w:rPr>
          <w:b/>
          <w:color w:val="auto"/>
          <w:sz w:val="28"/>
          <w:szCs w:val="28"/>
        </w:rPr>
      </w:pPr>
    </w:p>
    <w:p w14:paraId="60F7F100" w14:textId="765EF5C1" w:rsidR="00D50E85" w:rsidRDefault="00D50E85" w:rsidP="002D197E">
      <w:pPr>
        <w:pStyle w:val="Default"/>
        <w:jc w:val="both"/>
        <w:rPr>
          <w:b/>
          <w:color w:val="auto"/>
          <w:sz w:val="28"/>
          <w:szCs w:val="28"/>
        </w:rPr>
      </w:pPr>
    </w:p>
    <w:p w14:paraId="3406EFCA" w14:textId="0835EC17" w:rsidR="00D50E85" w:rsidRDefault="00D50E85" w:rsidP="002D197E">
      <w:pPr>
        <w:pStyle w:val="Default"/>
        <w:jc w:val="both"/>
        <w:rPr>
          <w:b/>
          <w:color w:val="auto"/>
          <w:sz w:val="28"/>
          <w:szCs w:val="28"/>
        </w:rPr>
      </w:pPr>
    </w:p>
    <w:p w14:paraId="17AEF22B" w14:textId="77777777" w:rsidR="00D50E85" w:rsidRDefault="00D50E85" w:rsidP="002D197E">
      <w:pPr>
        <w:pStyle w:val="Default"/>
        <w:jc w:val="both"/>
        <w:rPr>
          <w:b/>
          <w:color w:val="auto"/>
          <w:sz w:val="28"/>
          <w:szCs w:val="28"/>
        </w:rPr>
      </w:pPr>
    </w:p>
    <w:p w14:paraId="1B52C96C" w14:textId="579F733C" w:rsidR="009D5F63" w:rsidRDefault="00126654" w:rsidP="00FF62A5">
      <w:pPr>
        <w:pStyle w:val="Default"/>
        <w:ind w:left="720"/>
        <w:jc w:val="both"/>
        <w:rPr>
          <w:b/>
          <w:color w:val="auto"/>
          <w:sz w:val="28"/>
          <w:szCs w:val="28"/>
        </w:rPr>
      </w:pPr>
      <w:r w:rsidRPr="00126654">
        <w:rPr>
          <w:b/>
          <w:color w:val="auto"/>
          <w:sz w:val="28"/>
          <w:szCs w:val="28"/>
        </w:rPr>
        <w:lastRenderedPageBreak/>
        <w:t>3.</w:t>
      </w:r>
      <w:r w:rsidR="00702B4F">
        <w:rPr>
          <w:b/>
          <w:color w:val="auto"/>
          <w:sz w:val="28"/>
          <w:szCs w:val="28"/>
        </w:rPr>
        <w:t xml:space="preserve"> </w:t>
      </w:r>
      <w:r w:rsidRPr="00126654">
        <w:rPr>
          <w:b/>
          <w:color w:val="auto"/>
          <w:sz w:val="28"/>
          <w:szCs w:val="28"/>
        </w:rPr>
        <w:t>Priekšlikumi</w:t>
      </w:r>
    </w:p>
    <w:p w14:paraId="1B14AF46" w14:textId="7F8B996E" w:rsidR="00A70A66" w:rsidRDefault="00A70A66" w:rsidP="00FF62A5">
      <w:pPr>
        <w:pStyle w:val="Default"/>
        <w:ind w:left="720"/>
        <w:jc w:val="both"/>
        <w:rPr>
          <w:i/>
          <w:color w:val="auto"/>
          <w:sz w:val="28"/>
          <w:szCs w:val="28"/>
        </w:rPr>
      </w:pPr>
    </w:p>
    <w:p w14:paraId="298A0B3F" w14:textId="1F222D7E" w:rsidR="00A70A66" w:rsidRDefault="00040F43" w:rsidP="00A3084E">
      <w:pPr>
        <w:pStyle w:val="Default"/>
        <w:ind w:firstLine="720"/>
        <w:jc w:val="both"/>
        <w:rPr>
          <w:color w:val="auto"/>
          <w:sz w:val="28"/>
          <w:szCs w:val="28"/>
        </w:rPr>
      </w:pPr>
      <w:r>
        <w:rPr>
          <w:color w:val="auto"/>
          <w:sz w:val="28"/>
          <w:szCs w:val="28"/>
        </w:rPr>
        <w:t xml:space="preserve">Lai nodrošinātu </w:t>
      </w:r>
      <w:r w:rsidRPr="00040F43">
        <w:rPr>
          <w:color w:val="auto"/>
          <w:sz w:val="28"/>
          <w:szCs w:val="28"/>
        </w:rPr>
        <w:t>ar Ministru kabineta 2017.gada 21.marta rīkojumu Nr.126 “Par Finanšu sektora attīstības plānu 2017.–2019.gadam” apstiprinātā Finanšu sektora attīstības plāna 2017.-2019.gadam 3.1.</w:t>
      </w:r>
      <w:r>
        <w:rPr>
          <w:color w:val="auto"/>
          <w:sz w:val="28"/>
          <w:szCs w:val="28"/>
        </w:rPr>
        <w:t xml:space="preserve">1. apakšpunktā noteiktā uzdevuma izpildi </w:t>
      </w:r>
      <w:r w:rsidR="00A3084E">
        <w:rPr>
          <w:color w:val="auto"/>
          <w:sz w:val="28"/>
          <w:szCs w:val="28"/>
        </w:rPr>
        <w:t xml:space="preserve">, kā arī lai neapdraudētu </w:t>
      </w:r>
      <w:r w:rsidR="00A3084E" w:rsidRPr="00A3084E">
        <w:rPr>
          <w:color w:val="auto"/>
          <w:sz w:val="28"/>
          <w:szCs w:val="28"/>
        </w:rPr>
        <w:t>sadarbības projektu ar Eiropas Komisijas Strukturālo reformu atbalsta dienestu un ERAB “ES Struktūrfondu atbalsta instrumenta izstrāde MVU finansējuma piesaistei kapitāla tirgos”</w:t>
      </w:r>
      <w:r w:rsidR="00A3084E">
        <w:rPr>
          <w:color w:val="auto"/>
          <w:sz w:val="28"/>
          <w:szCs w:val="28"/>
        </w:rPr>
        <w:t>, ir nepieciešams konceptuāls lēmums par atbalsta pasākuma turpmāko īstenošanu.</w:t>
      </w:r>
    </w:p>
    <w:p w14:paraId="5DE712FD" w14:textId="77777777" w:rsidR="00A3084E" w:rsidRPr="00C70E10" w:rsidRDefault="00A3084E" w:rsidP="00A3084E">
      <w:pPr>
        <w:pStyle w:val="Default"/>
        <w:ind w:firstLine="720"/>
        <w:jc w:val="both"/>
        <w:rPr>
          <w:color w:val="auto"/>
          <w:sz w:val="28"/>
          <w:szCs w:val="28"/>
        </w:rPr>
      </w:pPr>
    </w:p>
    <w:p w14:paraId="4B61EA41" w14:textId="6DA9AD0C" w:rsidR="009F06E9" w:rsidRPr="00625F63" w:rsidRDefault="00126654">
      <w:pPr>
        <w:pStyle w:val="Default"/>
        <w:ind w:firstLine="720"/>
        <w:jc w:val="both"/>
        <w:rPr>
          <w:color w:val="auto"/>
          <w:sz w:val="28"/>
          <w:szCs w:val="28"/>
        </w:rPr>
      </w:pPr>
      <w:r w:rsidRPr="00625F63">
        <w:rPr>
          <w:color w:val="auto"/>
          <w:sz w:val="28"/>
          <w:szCs w:val="28"/>
        </w:rPr>
        <w:t>Ņemot vērā iepriekš minēto, atbalsta pasākuma “ES Struktūrfondu atbalsta instrumenta izstrāde MVU finansējuma piesaistei kapitāla tirgos” sagatavošana aptver šādus priekšlikumus:</w:t>
      </w:r>
    </w:p>
    <w:p w14:paraId="04286016" w14:textId="58C226D1" w:rsidR="00736099" w:rsidRPr="003905C3" w:rsidRDefault="00F93383" w:rsidP="003905C3">
      <w:pPr>
        <w:pStyle w:val="Default"/>
        <w:numPr>
          <w:ilvl w:val="0"/>
          <w:numId w:val="5"/>
        </w:numPr>
        <w:jc w:val="both"/>
        <w:rPr>
          <w:rFonts w:eastAsia="Times New Roman"/>
          <w:sz w:val="28"/>
          <w:szCs w:val="28"/>
          <w:lang w:eastAsia="lv-LV"/>
        </w:rPr>
      </w:pPr>
      <w:r>
        <w:rPr>
          <w:rFonts w:eastAsia="Times New Roman"/>
          <w:sz w:val="28"/>
          <w:szCs w:val="28"/>
          <w:lang w:eastAsia="lv-LV"/>
        </w:rPr>
        <w:t xml:space="preserve">noteikt, ka </w:t>
      </w:r>
      <w:r w:rsidR="002B70C2">
        <w:rPr>
          <w:rFonts w:eastAsia="Times New Roman"/>
          <w:sz w:val="28"/>
          <w:szCs w:val="28"/>
          <w:lang w:eastAsia="lv-LV"/>
        </w:rPr>
        <w:t>a</w:t>
      </w:r>
      <w:r w:rsidR="003905C3" w:rsidRPr="003905C3">
        <w:rPr>
          <w:rFonts w:eastAsia="Times New Roman"/>
          <w:sz w:val="28"/>
          <w:szCs w:val="28"/>
          <w:lang w:eastAsia="lv-LV"/>
        </w:rPr>
        <w:t>tbalsta pasākuma atbildīgās iestādes funkcijas veic Ekonomikas ministrija</w:t>
      </w:r>
      <w:r w:rsidR="002B70C2">
        <w:rPr>
          <w:rFonts w:eastAsia="Times New Roman"/>
          <w:sz w:val="28"/>
          <w:szCs w:val="28"/>
          <w:lang w:eastAsia="lv-LV"/>
        </w:rPr>
        <w:t>;</w:t>
      </w:r>
    </w:p>
    <w:p w14:paraId="54810030" w14:textId="6A116D00" w:rsidR="00715C1E" w:rsidRDefault="00715C1E" w:rsidP="00715C1E">
      <w:pPr>
        <w:pStyle w:val="Default"/>
        <w:numPr>
          <w:ilvl w:val="0"/>
          <w:numId w:val="5"/>
        </w:numPr>
        <w:jc w:val="both"/>
        <w:rPr>
          <w:rFonts w:eastAsia="Times New Roman"/>
          <w:sz w:val="28"/>
          <w:szCs w:val="28"/>
          <w:lang w:eastAsia="lv-LV"/>
        </w:rPr>
      </w:pPr>
      <w:r>
        <w:rPr>
          <w:rFonts w:eastAsia="Times New Roman"/>
          <w:sz w:val="28"/>
          <w:szCs w:val="28"/>
          <w:lang w:eastAsia="lv-LV"/>
        </w:rPr>
        <w:t>s</w:t>
      </w:r>
      <w:r w:rsidRPr="00715C1E">
        <w:rPr>
          <w:rFonts w:eastAsia="Times New Roman"/>
          <w:sz w:val="28"/>
          <w:szCs w:val="28"/>
          <w:lang w:eastAsia="lv-LV"/>
        </w:rPr>
        <w:t xml:space="preserve">askaņā ar projekta konceptuālo ziņojumu, Ekonomikas ministrijai sadarbībā ar Finanšu ministriju, tās kompetences ietvaros, līdz 2019.gada 15.decembrim izstrādāt specifiskā atbalsta mērķa īstenošanas noteikumus, projektu vērtēšanas kritērijus, </w:t>
      </w:r>
      <w:r w:rsidRPr="00D74ACC">
        <w:rPr>
          <w:rFonts w:eastAsia="Times New Roman"/>
          <w:sz w:val="28"/>
          <w:szCs w:val="28"/>
          <w:lang w:eastAsia="lv-LV"/>
        </w:rPr>
        <w:t xml:space="preserve">kritēriju piemērošanas metodiku un sākotnējo novērtējumu un iesniegt Ministru kabinetā specifiskā atbalsta mērķa īstenošanas noteikumus, izpildot </w:t>
      </w:r>
      <w:r w:rsidR="00D74ACC" w:rsidRPr="00040F43">
        <w:rPr>
          <w:rFonts w:eastAsia="Times New Roman"/>
          <w:bCs/>
          <w:sz w:val="28"/>
          <w:szCs w:val="28"/>
          <w:lang w:eastAsia="lv-LV"/>
        </w:rPr>
        <w:t xml:space="preserve">ar Ministru kabineta </w:t>
      </w:r>
      <w:r w:rsidR="00D74ACC" w:rsidRPr="00040F43">
        <w:rPr>
          <w:rFonts w:eastAsia="Times New Roman"/>
          <w:sz w:val="28"/>
          <w:szCs w:val="28"/>
          <w:lang w:eastAsia="lv-LV"/>
        </w:rPr>
        <w:t xml:space="preserve">2017.gada 21.marta </w:t>
      </w:r>
      <w:r w:rsidR="00D74ACC" w:rsidRPr="00040F43">
        <w:rPr>
          <w:rFonts w:eastAsia="Times New Roman"/>
          <w:bCs/>
          <w:sz w:val="28"/>
          <w:szCs w:val="28"/>
          <w:lang w:eastAsia="lv-LV"/>
        </w:rPr>
        <w:t>rīkojumu Nr.126</w:t>
      </w:r>
      <w:r w:rsidR="00D74ACC" w:rsidRPr="00040F43">
        <w:rPr>
          <w:rFonts w:eastAsia="Times New Roman"/>
          <w:sz w:val="28"/>
          <w:szCs w:val="28"/>
          <w:lang w:eastAsia="lv-LV"/>
        </w:rPr>
        <w:t xml:space="preserve"> “</w:t>
      </w:r>
      <w:r w:rsidR="00D74ACC" w:rsidRPr="00040F43">
        <w:rPr>
          <w:rFonts w:eastAsia="Times New Roman"/>
          <w:bCs/>
          <w:sz w:val="28"/>
          <w:szCs w:val="28"/>
          <w:lang w:eastAsia="lv-LV"/>
        </w:rPr>
        <w:t>Par Finanšu sektora attīstības plānu 2017.–2019.gadam” apstiprinātā</w:t>
      </w:r>
      <w:r w:rsidR="00D74ACC" w:rsidRPr="00D74ACC">
        <w:rPr>
          <w:rFonts w:eastAsia="Times New Roman"/>
          <w:sz w:val="28"/>
          <w:szCs w:val="28"/>
          <w:lang w:eastAsia="lv-LV"/>
        </w:rPr>
        <w:t xml:space="preserve"> </w:t>
      </w:r>
      <w:r w:rsidRPr="00D74ACC">
        <w:rPr>
          <w:rFonts w:eastAsia="Times New Roman"/>
          <w:sz w:val="28"/>
          <w:szCs w:val="28"/>
          <w:lang w:eastAsia="lv-LV"/>
        </w:rPr>
        <w:t>Finanšu sektora attīstības plān</w:t>
      </w:r>
      <w:r w:rsidR="00D74ACC">
        <w:rPr>
          <w:rFonts w:eastAsia="Times New Roman"/>
          <w:sz w:val="28"/>
          <w:szCs w:val="28"/>
          <w:lang w:eastAsia="lv-LV"/>
        </w:rPr>
        <w:t>a</w:t>
      </w:r>
      <w:r w:rsidRPr="00D74ACC">
        <w:rPr>
          <w:rFonts w:eastAsia="Times New Roman"/>
          <w:sz w:val="28"/>
          <w:szCs w:val="28"/>
          <w:lang w:eastAsia="lv-LV"/>
        </w:rPr>
        <w:t xml:space="preserve"> 2017.-2019.gadam 3.1.1. apakšpunktā noteikto uzdevumu;</w:t>
      </w:r>
    </w:p>
    <w:p w14:paraId="2BA8CB12" w14:textId="0191E168" w:rsidR="00BF7F0E" w:rsidRPr="00D65B94" w:rsidRDefault="00126654" w:rsidP="00715C1E">
      <w:pPr>
        <w:pStyle w:val="Default"/>
        <w:numPr>
          <w:ilvl w:val="0"/>
          <w:numId w:val="5"/>
        </w:numPr>
        <w:jc w:val="both"/>
        <w:rPr>
          <w:rFonts w:eastAsia="Times New Roman"/>
          <w:sz w:val="28"/>
          <w:szCs w:val="28"/>
          <w:lang w:eastAsia="lv-LV"/>
        </w:rPr>
      </w:pPr>
      <w:r w:rsidRPr="00126654">
        <w:rPr>
          <w:rFonts w:eastAsia="Times New Roman"/>
          <w:sz w:val="28"/>
          <w:szCs w:val="28"/>
          <w:lang w:eastAsia="lv-LV"/>
        </w:rPr>
        <w:t>Ekonomikas ministrijai</w:t>
      </w:r>
      <w:r w:rsidR="00067378">
        <w:rPr>
          <w:rFonts w:eastAsia="Times New Roman"/>
          <w:sz w:val="28"/>
          <w:szCs w:val="28"/>
          <w:lang w:eastAsia="lv-LV"/>
        </w:rPr>
        <w:t xml:space="preserve"> sadarbībā ar Finanšu ministriju, tās kompetences ietvaros,</w:t>
      </w:r>
      <w:r w:rsidRPr="00126654">
        <w:rPr>
          <w:rFonts w:eastAsia="Times New Roman"/>
          <w:sz w:val="28"/>
          <w:szCs w:val="28"/>
          <w:lang w:eastAsia="lv-LV"/>
        </w:rPr>
        <w:t xml:space="preserve"> </w:t>
      </w:r>
      <w:r w:rsidR="0023221E">
        <w:rPr>
          <w:rFonts w:eastAsia="Times New Roman"/>
          <w:sz w:val="28"/>
          <w:szCs w:val="28"/>
          <w:lang w:eastAsia="lv-LV"/>
        </w:rPr>
        <w:t xml:space="preserve">sagatavot </w:t>
      </w:r>
      <w:r w:rsidR="002B70C2">
        <w:rPr>
          <w:rFonts w:eastAsia="Times New Roman"/>
          <w:sz w:val="28"/>
          <w:szCs w:val="28"/>
          <w:lang w:eastAsia="lv-LV"/>
        </w:rPr>
        <w:t xml:space="preserve">un iesniegt Ministru kabinetā līdz 2019.gada 15.decembrim </w:t>
      </w:r>
      <w:r w:rsidR="0023221E">
        <w:rPr>
          <w:rFonts w:eastAsia="Times New Roman"/>
          <w:sz w:val="28"/>
          <w:szCs w:val="28"/>
          <w:lang w:eastAsia="lv-LV"/>
        </w:rPr>
        <w:t xml:space="preserve">priekšlikumu par </w:t>
      </w:r>
      <w:r w:rsidRPr="00126654">
        <w:rPr>
          <w:rFonts w:eastAsia="Times New Roman"/>
          <w:sz w:val="28"/>
          <w:szCs w:val="28"/>
          <w:lang w:eastAsia="lv-LV"/>
        </w:rPr>
        <w:t xml:space="preserve">atbalsta pasākuma finansējumu trīs gadu </w:t>
      </w:r>
      <w:proofErr w:type="spellStart"/>
      <w:r w:rsidRPr="00126654">
        <w:rPr>
          <w:rFonts w:eastAsia="Times New Roman"/>
          <w:sz w:val="28"/>
          <w:szCs w:val="28"/>
          <w:lang w:eastAsia="lv-LV"/>
        </w:rPr>
        <w:t>pilotprogrammai</w:t>
      </w:r>
      <w:proofErr w:type="spellEnd"/>
      <w:r w:rsidRPr="00126654">
        <w:rPr>
          <w:rFonts w:eastAsia="Times New Roman"/>
          <w:sz w:val="28"/>
          <w:szCs w:val="28"/>
          <w:lang w:eastAsia="lv-LV"/>
        </w:rPr>
        <w:t xml:space="preserve"> ar kopējo budžetu 2 miljoni </w:t>
      </w:r>
      <w:proofErr w:type="spellStart"/>
      <w:r w:rsidRPr="00625F63">
        <w:rPr>
          <w:rFonts w:eastAsia="Times New Roman"/>
          <w:i/>
          <w:sz w:val="28"/>
          <w:szCs w:val="28"/>
          <w:lang w:eastAsia="lv-LV"/>
        </w:rPr>
        <w:t>euro</w:t>
      </w:r>
      <w:proofErr w:type="spellEnd"/>
      <w:r w:rsidRPr="00126654">
        <w:rPr>
          <w:rFonts w:eastAsia="Times New Roman"/>
          <w:sz w:val="28"/>
          <w:szCs w:val="28"/>
          <w:lang w:eastAsia="lv-LV"/>
        </w:rPr>
        <w:t xml:space="preserve"> atbilstoši šajā ziņojumā piedāvātajām alternatīvām</w:t>
      </w:r>
      <w:r w:rsidR="002B70C2">
        <w:rPr>
          <w:rFonts w:eastAsia="Times New Roman"/>
          <w:sz w:val="28"/>
          <w:szCs w:val="28"/>
          <w:lang w:eastAsia="lv-LV"/>
        </w:rPr>
        <w:t>;</w:t>
      </w:r>
    </w:p>
    <w:p w14:paraId="2349CA18" w14:textId="0AFD4D3D" w:rsidR="00D65B94" w:rsidRPr="00126654" w:rsidRDefault="00F93383" w:rsidP="00D65B94">
      <w:pPr>
        <w:pStyle w:val="Default"/>
        <w:numPr>
          <w:ilvl w:val="0"/>
          <w:numId w:val="5"/>
        </w:numPr>
        <w:jc w:val="both"/>
        <w:rPr>
          <w:rFonts w:eastAsia="Times New Roman"/>
          <w:sz w:val="28"/>
          <w:szCs w:val="28"/>
          <w:lang w:eastAsia="lv-LV"/>
        </w:rPr>
      </w:pPr>
      <w:r>
        <w:rPr>
          <w:color w:val="auto"/>
          <w:sz w:val="28"/>
          <w:szCs w:val="28"/>
        </w:rPr>
        <w:t xml:space="preserve">noteikt, ka </w:t>
      </w:r>
      <w:r w:rsidR="002B70C2">
        <w:rPr>
          <w:color w:val="auto"/>
          <w:sz w:val="28"/>
          <w:szCs w:val="28"/>
        </w:rPr>
        <w:t>a</w:t>
      </w:r>
      <w:r w:rsidR="00D65B94" w:rsidRPr="00126654">
        <w:rPr>
          <w:color w:val="auto"/>
          <w:sz w:val="28"/>
          <w:szCs w:val="28"/>
        </w:rPr>
        <w:t>tbalsta pasākuma sadarbības iestādes funkcijas vei</w:t>
      </w:r>
      <w:r w:rsidR="00D65B94">
        <w:rPr>
          <w:color w:val="auto"/>
          <w:sz w:val="28"/>
          <w:szCs w:val="28"/>
        </w:rPr>
        <w:t>c</w:t>
      </w:r>
      <w:r w:rsidR="009B5E57">
        <w:rPr>
          <w:color w:val="auto"/>
          <w:sz w:val="28"/>
          <w:szCs w:val="28"/>
        </w:rPr>
        <w:t xml:space="preserve"> CFLA</w:t>
      </w:r>
      <w:r w:rsidR="00D65B94">
        <w:rPr>
          <w:color w:val="auto"/>
          <w:sz w:val="28"/>
          <w:szCs w:val="28"/>
        </w:rPr>
        <w:t>.</w:t>
      </w:r>
    </w:p>
    <w:p w14:paraId="0583331B" w14:textId="77777777" w:rsidR="00526BE3" w:rsidRPr="001153F1" w:rsidRDefault="00526BE3" w:rsidP="002A624B">
      <w:pPr>
        <w:pStyle w:val="Default"/>
        <w:ind w:firstLine="720"/>
        <w:jc w:val="both"/>
        <w:rPr>
          <w:rFonts w:eastAsia="Times New Roman"/>
          <w:sz w:val="28"/>
          <w:szCs w:val="28"/>
          <w:lang w:eastAsia="lv-LV"/>
        </w:rPr>
      </w:pPr>
    </w:p>
    <w:p w14:paraId="120602AD" w14:textId="77777777" w:rsidR="00895B1E" w:rsidRDefault="00895B1E" w:rsidP="00EE4470">
      <w:pPr>
        <w:pStyle w:val="Default"/>
        <w:jc w:val="both"/>
        <w:rPr>
          <w:color w:val="auto"/>
          <w:sz w:val="28"/>
          <w:szCs w:val="28"/>
        </w:rPr>
      </w:pPr>
    </w:p>
    <w:p w14:paraId="4B5D2DEE" w14:textId="34A25335" w:rsidR="00B028D5" w:rsidRDefault="00895B1E" w:rsidP="00895B1E">
      <w:pPr>
        <w:tabs>
          <w:tab w:val="left" w:pos="6237"/>
        </w:tabs>
        <w:rPr>
          <w:rFonts w:ascii="Times New Roman" w:hAnsi="Times New Roman" w:cs="Times New Roman"/>
          <w:sz w:val="28"/>
          <w:szCs w:val="28"/>
        </w:rPr>
      </w:pPr>
      <w:r w:rsidRPr="00895B1E">
        <w:rPr>
          <w:rFonts w:ascii="Times New Roman" w:hAnsi="Times New Roman" w:cs="Times New Roman"/>
          <w:sz w:val="28"/>
          <w:szCs w:val="28"/>
        </w:rPr>
        <w:t xml:space="preserve">Finanšu ministre                                                            </w:t>
      </w:r>
      <w:r w:rsidRPr="00895B1E">
        <w:rPr>
          <w:rFonts w:ascii="Times New Roman" w:hAnsi="Times New Roman" w:cs="Times New Roman"/>
          <w:sz w:val="28"/>
          <w:szCs w:val="28"/>
        </w:rPr>
        <w:tab/>
      </w:r>
      <w:r w:rsidRPr="00895B1E">
        <w:rPr>
          <w:rFonts w:ascii="Times New Roman" w:hAnsi="Times New Roman" w:cs="Times New Roman"/>
          <w:sz w:val="28"/>
          <w:szCs w:val="28"/>
        </w:rPr>
        <w:tab/>
      </w:r>
      <w:r w:rsidRPr="00895B1E">
        <w:rPr>
          <w:rFonts w:ascii="Times New Roman" w:hAnsi="Times New Roman" w:cs="Times New Roman"/>
          <w:sz w:val="28"/>
          <w:szCs w:val="28"/>
        </w:rPr>
        <w:tab/>
      </w:r>
      <w:proofErr w:type="spellStart"/>
      <w:r w:rsidRPr="00895B1E">
        <w:rPr>
          <w:rFonts w:ascii="Times New Roman" w:hAnsi="Times New Roman" w:cs="Times New Roman"/>
          <w:sz w:val="28"/>
          <w:szCs w:val="28"/>
        </w:rPr>
        <w:t>D.Reizniece</w:t>
      </w:r>
      <w:proofErr w:type="spellEnd"/>
      <w:r w:rsidRPr="00895B1E">
        <w:rPr>
          <w:rFonts w:ascii="Times New Roman" w:hAnsi="Times New Roman" w:cs="Times New Roman"/>
          <w:sz w:val="28"/>
          <w:szCs w:val="28"/>
        </w:rPr>
        <w:t>-Ozola</w:t>
      </w:r>
    </w:p>
    <w:p w14:paraId="4E80F25F" w14:textId="77777777" w:rsidR="00844E26" w:rsidRDefault="00844E26" w:rsidP="00B028D5">
      <w:pPr>
        <w:tabs>
          <w:tab w:val="left" w:pos="6237"/>
        </w:tabs>
        <w:spacing w:after="0"/>
        <w:rPr>
          <w:rFonts w:ascii="Times New Roman" w:hAnsi="Times New Roman" w:cs="Times New Roman"/>
          <w:sz w:val="20"/>
          <w:szCs w:val="20"/>
        </w:rPr>
      </w:pPr>
    </w:p>
    <w:p w14:paraId="1B4D7FA8" w14:textId="77777777" w:rsidR="00844E26" w:rsidRDefault="00844E26" w:rsidP="00B028D5">
      <w:pPr>
        <w:tabs>
          <w:tab w:val="left" w:pos="6237"/>
        </w:tabs>
        <w:spacing w:after="0"/>
        <w:rPr>
          <w:rFonts w:ascii="Times New Roman" w:hAnsi="Times New Roman" w:cs="Times New Roman"/>
          <w:sz w:val="20"/>
          <w:szCs w:val="20"/>
        </w:rPr>
      </w:pPr>
    </w:p>
    <w:p w14:paraId="191C46FC" w14:textId="77777777" w:rsidR="00844E26" w:rsidRDefault="00844E26" w:rsidP="00B028D5">
      <w:pPr>
        <w:tabs>
          <w:tab w:val="left" w:pos="6237"/>
        </w:tabs>
        <w:spacing w:after="0"/>
        <w:rPr>
          <w:rFonts w:ascii="Times New Roman" w:hAnsi="Times New Roman" w:cs="Times New Roman"/>
          <w:sz w:val="20"/>
          <w:szCs w:val="20"/>
        </w:rPr>
      </w:pPr>
    </w:p>
    <w:p w14:paraId="55AFB69C" w14:textId="77777777" w:rsidR="00844E26" w:rsidRDefault="00844E26" w:rsidP="00B028D5">
      <w:pPr>
        <w:tabs>
          <w:tab w:val="left" w:pos="6237"/>
        </w:tabs>
        <w:spacing w:after="0"/>
        <w:rPr>
          <w:rFonts w:ascii="Times New Roman" w:hAnsi="Times New Roman" w:cs="Times New Roman"/>
          <w:sz w:val="20"/>
          <w:szCs w:val="20"/>
        </w:rPr>
      </w:pPr>
    </w:p>
    <w:p w14:paraId="6CE799BB" w14:textId="77777777" w:rsidR="00844E26" w:rsidRDefault="00844E26" w:rsidP="00B028D5">
      <w:pPr>
        <w:tabs>
          <w:tab w:val="left" w:pos="6237"/>
        </w:tabs>
        <w:spacing w:after="0"/>
        <w:rPr>
          <w:rFonts w:ascii="Times New Roman" w:hAnsi="Times New Roman" w:cs="Times New Roman"/>
          <w:sz w:val="20"/>
          <w:szCs w:val="20"/>
        </w:rPr>
      </w:pPr>
    </w:p>
    <w:p w14:paraId="6D2CC966" w14:textId="77777777" w:rsidR="00844E26" w:rsidRDefault="00844E26" w:rsidP="00B028D5">
      <w:pPr>
        <w:tabs>
          <w:tab w:val="left" w:pos="6237"/>
        </w:tabs>
        <w:spacing w:after="0"/>
        <w:rPr>
          <w:rFonts w:ascii="Times New Roman" w:hAnsi="Times New Roman" w:cs="Times New Roman"/>
          <w:sz w:val="20"/>
          <w:szCs w:val="20"/>
        </w:rPr>
      </w:pPr>
    </w:p>
    <w:p w14:paraId="1B87242E" w14:textId="77777777" w:rsidR="00844E26" w:rsidRDefault="00844E26" w:rsidP="00B028D5">
      <w:pPr>
        <w:tabs>
          <w:tab w:val="left" w:pos="6237"/>
        </w:tabs>
        <w:spacing w:after="0"/>
        <w:rPr>
          <w:rFonts w:ascii="Times New Roman" w:hAnsi="Times New Roman" w:cs="Times New Roman"/>
          <w:sz w:val="20"/>
          <w:szCs w:val="20"/>
        </w:rPr>
      </w:pPr>
    </w:p>
    <w:p w14:paraId="7553B69B" w14:textId="77777777" w:rsidR="00844E26" w:rsidRDefault="00844E26" w:rsidP="00B028D5">
      <w:pPr>
        <w:tabs>
          <w:tab w:val="left" w:pos="6237"/>
        </w:tabs>
        <w:spacing w:after="0"/>
        <w:rPr>
          <w:rFonts w:ascii="Times New Roman" w:hAnsi="Times New Roman" w:cs="Times New Roman"/>
          <w:sz w:val="20"/>
          <w:szCs w:val="20"/>
        </w:rPr>
      </w:pPr>
    </w:p>
    <w:p w14:paraId="7863AECD" w14:textId="77777777" w:rsidR="00844E26" w:rsidRDefault="00844E26" w:rsidP="00B028D5">
      <w:pPr>
        <w:tabs>
          <w:tab w:val="left" w:pos="6237"/>
        </w:tabs>
        <w:spacing w:after="0"/>
        <w:rPr>
          <w:rFonts w:ascii="Times New Roman" w:hAnsi="Times New Roman" w:cs="Times New Roman"/>
          <w:sz w:val="20"/>
          <w:szCs w:val="20"/>
        </w:rPr>
      </w:pPr>
    </w:p>
    <w:p w14:paraId="57D7379B" w14:textId="7B68A3DF" w:rsidR="00B028D5" w:rsidRPr="000C1EAC" w:rsidRDefault="00B028D5" w:rsidP="00B028D5">
      <w:pPr>
        <w:tabs>
          <w:tab w:val="left" w:pos="6237"/>
        </w:tabs>
        <w:spacing w:after="0"/>
        <w:rPr>
          <w:rFonts w:ascii="Times New Roman" w:hAnsi="Times New Roman" w:cs="Times New Roman"/>
          <w:sz w:val="20"/>
          <w:szCs w:val="20"/>
        </w:rPr>
      </w:pPr>
      <w:r w:rsidRPr="000C1EAC">
        <w:rPr>
          <w:rFonts w:ascii="Times New Roman" w:hAnsi="Times New Roman" w:cs="Times New Roman"/>
          <w:sz w:val="20"/>
          <w:szCs w:val="20"/>
        </w:rPr>
        <w:t>Tiesnieks, 67095667</w:t>
      </w:r>
    </w:p>
    <w:p w14:paraId="2B77926E" w14:textId="5A8739AF" w:rsidR="00895B1E" w:rsidRDefault="00B028D5" w:rsidP="006613C8">
      <w:pPr>
        <w:tabs>
          <w:tab w:val="left" w:pos="6237"/>
        </w:tabs>
        <w:spacing w:after="0"/>
        <w:rPr>
          <w:sz w:val="28"/>
          <w:szCs w:val="28"/>
        </w:rPr>
      </w:pPr>
      <w:r w:rsidRPr="000C1EAC">
        <w:rPr>
          <w:rFonts w:ascii="Times New Roman" w:hAnsi="Times New Roman" w:cs="Times New Roman"/>
          <w:sz w:val="20"/>
          <w:szCs w:val="20"/>
        </w:rPr>
        <w:t>Imants.Tiesnieks@fm.gov.lv</w:t>
      </w:r>
    </w:p>
    <w:sectPr w:rsidR="00895B1E" w:rsidSect="004D14D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C4B70" w14:textId="77777777" w:rsidR="008D0A7A" w:rsidRDefault="008D0A7A" w:rsidP="006D2104">
      <w:pPr>
        <w:spacing w:after="0" w:line="240" w:lineRule="auto"/>
      </w:pPr>
      <w:r>
        <w:separator/>
      </w:r>
    </w:p>
  </w:endnote>
  <w:endnote w:type="continuationSeparator" w:id="0">
    <w:p w14:paraId="6B2F9708" w14:textId="77777777" w:rsidR="008D0A7A" w:rsidRDefault="008D0A7A" w:rsidP="006D2104">
      <w:pPr>
        <w:spacing w:after="0" w:line="240" w:lineRule="auto"/>
      </w:pPr>
      <w:r>
        <w:continuationSeparator/>
      </w:r>
    </w:p>
  </w:endnote>
  <w:endnote w:type="continuationNotice" w:id="1">
    <w:p w14:paraId="7DE66273" w14:textId="77777777" w:rsidR="008D0A7A" w:rsidRDefault="008D0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AF8D" w14:textId="77777777" w:rsidR="009802B1" w:rsidRDefault="00980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7A60" w14:textId="3282FE13" w:rsidR="00B83D37" w:rsidRPr="00425E94" w:rsidRDefault="00B02343" w:rsidP="00425E94">
    <w:pPr>
      <w:pStyle w:val="Footer"/>
    </w:pPr>
    <w:r w:rsidRPr="00B02343">
      <w:rPr>
        <w:rFonts w:ascii="Times New Roman" w:hAnsi="Times New Roman" w:cs="Times New Roman"/>
        <w:sz w:val="24"/>
        <w:szCs w:val="24"/>
      </w:rPr>
      <w:t>FM</w:t>
    </w:r>
    <w:r w:rsidR="00844E26">
      <w:rPr>
        <w:rFonts w:ascii="Times New Roman" w:hAnsi="Times New Roman" w:cs="Times New Roman"/>
        <w:sz w:val="24"/>
        <w:szCs w:val="24"/>
      </w:rPr>
      <w:t>zin</w:t>
    </w:r>
    <w:r w:rsidRPr="00B02343">
      <w:rPr>
        <w:rFonts w:ascii="Times New Roman" w:hAnsi="Times New Roman" w:cs="Times New Roman"/>
        <w:sz w:val="24"/>
        <w:szCs w:val="24"/>
      </w:rPr>
      <w:t>_</w:t>
    </w:r>
    <w:r w:rsidR="00052DD0">
      <w:rPr>
        <w:rFonts w:ascii="Times New Roman" w:hAnsi="Times New Roman" w:cs="Times New Roman"/>
        <w:sz w:val="24"/>
        <w:szCs w:val="24"/>
      </w:rPr>
      <w:t>08</w:t>
    </w:r>
    <w:r w:rsidR="006E24A3">
      <w:rPr>
        <w:rFonts w:ascii="Times New Roman" w:hAnsi="Times New Roman" w:cs="Times New Roman"/>
        <w:sz w:val="24"/>
        <w:szCs w:val="24"/>
      </w:rPr>
      <w:t>1118</w:t>
    </w:r>
    <w:r w:rsidR="00AB4E0F">
      <w:rPr>
        <w:rFonts w:ascii="Times New Roman" w:hAnsi="Times New Roman" w:cs="Times New Roman"/>
        <w:sz w:val="24"/>
        <w:szCs w:val="24"/>
      </w:rPr>
      <w:t>_</w:t>
    </w:r>
    <w:r w:rsidRPr="00B02343">
      <w:rPr>
        <w:rFonts w:ascii="Times New Roman" w:hAnsi="Times New Roman" w:cs="Times New Roman"/>
        <w:sz w:val="24"/>
        <w:szCs w:val="24"/>
      </w:rPr>
      <w:t>MVUkotacija.docx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E3BE" w14:textId="59F92BCA" w:rsidR="00425E94" w:rsidRDefault="00425E94" w:rsidP="00425E94">
    <w:pPr>
      <w:pStyle w:val="Footer"/>
      <w:rPr>
        <w:rFonts w:ascii="Times New Roman" w:hAnsi="Times New Roman" w:cs="Times New Roman"/>
        <w:sz w:val="24"/>
        <w:szCs w:val="24"/>
      </w:rPr>
    </w:pPr>
    <w:r w:rsidRPr="00425E94">
      <w:rPr>
        <w:rFonts w:ascii="Times New Roman" w:hAnsi="Times New Roman" w:cs="Times New Roman"/>
        <w:sz w:val="24"/>
        <w:szCs w:val="24"/>
      </w:rPr>
      <w:t>FM</w:t>
    </w:r>
    <w:r w:rsidR="00844E26">
      <w:rPr>
        <w:rFonts w:ascii="Times New Roman" w:hAnsi="Times New Roman" w:cs="Times New Roman"/>
        <w:sz w:val="24"/>
        <w:szCs w:val="24"/>
      </w:rPr>
      <w:t>zin</w:t>
    </w:r>
    <w:r w:rsidR="00A037B3">
      <w:rPr>
        <w:rFonts w:ascii="Times New Roman" w:hAnsi="Times New Roman" w:cs="Times New Roman"/>
        <w:sz w:val="24"/>
        <w:szCs w:val="24"/>
      </w:rPr>
      <w:t>_</w:t>
    </w:r>
    <w:r w:rsidR="00052DD0">
      <w:rPr>
        <w:rFonts w:ascii="Times New Roman" w:hAnsi="Times New Roman" w:cs="Times New Roman"/>
        <w:sz w:val="24"/>
        <w:szCs w:val="24"/>
      </w:rPr>
      <w:t>08</w:t>
    </w:r>
    <w:r w:rsidR="009802B1">
      <w:rPr>
        <w:rFonts w:ascii="Times New Roman" w:hAnsi="Times New Roman" w:cs="Times New Roman"/>
        <w:sz w:val="24"/>
        <w:szCs w:val="24"/>
      </w:rPr>
      <w:t>1118</w:t>
    </w:r>
    <w:r w:rsidR="00AB4E0F">
      <w:rPr>
        <w:rFonts w:ascii="Times New Roman" w:hAnsi="Times New Roman" w:cs="Times New Roman"/>
        <w:sz w:val="24"/>
        <w:szCs w:val="24"/>
      </w:rPr>
      <w:t>_</w:t>
    </w:r>
    <w:r w:rsidR="00B02343">
      <w:rPr>
        <w:rFonts w:ascii="Times New Roman" w:hAnsi="Times New Roman" w:cs="Times New Roman"/>
        <w:sz w:val="24"/>
        <w:szCs w:val="24"/>
      </w:rPr>
      <w:t>MVUkotacija.docx</w:t>
    </w:r>
  </w:p>
  <w:p w14:paraId="6C5F8CD7" w14:textId="77777777" w:rsidR="00A037B3" w:rsidRPr="00425E94" w:rsidRDefault="00A037B3" w:rsidP="00425E94">
    <w:pPr>
      <w:pStyle w:val="Footer"/>
      <w:rPr>
        <w:rFonts w:ascii="Times New Roman" w:hAnsi="Times New Roman" w:cs="Times New Roman"/>
        <w:sz w:val="24"/>
        <w:szCs w:val="24"/>
      </w:rPr>
    </w:pPr>
  </w:p>
  <w:p w14:paraId="0F10D6C1" w14:textId="77777777" w:rsidR="00B83D37" w:rsidRPr="00781124" w:rsidRDefault="00B83D37" w:rsidP="00781124">
    <w:pPr>
      <w:pStyle w:val="Footer"/>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C8678" w14:textId="77777777" w:rsidR="008D0A7A" w:rsidRDefault="008D0A7A" w:rsidP="006D2104">
      <w:pPr>
        <w:spacing w:after="0" w:line="240" w:lineRule="auto"/>
      </w:pPr>
      <w:r>
        <w:separator/>
      </w:r>
    </w:p>
  </w:footnote>
  <w:footnote w:type="continuationSeparator" w:id="0">
    <w:p w14:paraId="0318F529" w14:textId="77777777" w:rsidR="008D0A7A" w:rsidRDefault="008D0A7A" w:rsidP="006D2104">
      <w:pPr>
        <w:spacing w:after="0" w:line="240" w:lineRule="auto"/>
      </w:pPr>
      <w:r>
        <w:continuationSeparator/>
      </w:r>
    </w:p>
  </w:footnote>
  <w:footnote w:type="continuationNotice" w:id="1">
    <w:p w14:paraId="638862AB" w14:textId="77777777" w:rsidR="008D0A7A" w:rsidRDefault="008D0A7A">
      <w:pPr>
        <w:spacing w:after="0" w:line="240" w:lineRule="auto"/>
      </w:pPr>
    </w:p>
  </w:footnote>
  <w:footnote w:id="2">
    <w:p w14:paraId="56A9BAFB" w14:textId="171059BA" w:rsidR="007F28F5" w:rsidRDefault="007F28F5">
      <w:pPr>
        <w:pStyle w:val="FootnoteText"/>
      </w:pPr>
      <w:r>
        <w:rPr>
          <w:rStyle w:val="FootnoteReference"/>
        </w:rPr>
        <w:footnoteRef/>
      </w:r>
      <w:r>
        <w:t xml:space="preserve"> </w:t>
      </w:r>
      <w:r w:rsidRPr="007F28F5">
        <w:t>“</w:t>
      </w:r>
      <w:proofErr w:type="spellStart"/>
      <w:r w:rsidRPr="007F28F5">
        <w:t>Design</w:t>
      </w:r>
      <w:proofErr w:type="spellEnd"/>
      <w:r w:rsidRPr="007F28F5">
        <w:t xml:space="preserve"> </w:t>
      </w:r>
      <w:proofErr w:type="spellStart"/>
      <w:r w:rsidRPr="007F28F5">
        <w:t>Report</w:t>
      </w:r>
      <w:proofErr w:type="spellEnd"/>
      <w:r w:rsidRPr="007F28F5">
        <w:t xml:space="preserve">: </w:t>
      </w:r>
      <w:proofErr w:type="spellStart"/>
      <w:r w:rsidRPr="007F28F5">
        <w:t>Structural</w:t>
      </w:r>
      <w:proofErr w:type="spellEnd"/>
      <w:r w:rsidRPr="007F28F5">
        <w:t xml:space="preserve"> </w:t>
      </w:r>
      <w:proofErr w:type="spellStart"/>
      <w:r w:rsidRPr="007F28F5">
        <w:t>Fund</w:t>
      </w:r>
      <w:proofErr w:type="spellEnd"/>
      <w:r w:rsidRPr="007F28F5">
        <w:t xml:space="preserve"> </w:t>
      </w:r>
      <w:proofErr w:type="spellStart"/>
      <w:r w:rsidRPr="007F28F5">
        <w:t>Based</w:t>
      </w:r>
      <w:proofErr w:type="spellEnd"/>
      <w:r w:rsidRPr="007F28F5">
        <w:t xml:space="preserve"> SME </w:t>
      </w:r>
      <w:proofErr w:type="spellStart"/>
      <w:r w:rsidRPr="007F28F5">
        <w:t>Equity</w:t>
      </w:r>
      <w:proofErr w:type="spellEnd"/>
      <w:r w:rsidRPr="007F28F5">
        <w:t xml:space="preserve"> </w:t>
      </w:r>
      <w:proofErr w:type="spellStart"/>
      <w:r w:rsidRPr="007F28F5">
        <w:t>Support</w:t>
      </w:r>
      <w:proofErr w:type="spellEnd"/>
      <w:r w:rsidRPr="007F28F5">
        <w:t xml:space="preserve"> Instrument”</w:t>
      </w:r>
      <w:r>
        <w:t xml:space="preserve"> </w:t>
      </w:r>
      <w:proofErr w:type="spellStart"/>
      <w:r>
        <w:t>prepared</w:t>
      </w:r>
      <w:proofErr w:type="spellEnd"/>
      <w:r>
        <w:t xml:space="preserve"> </w:t>
      </w:r>
      <w:proofErr w:type="spellStart"/>
      <w:r>
        <w:t>by</w:t>
      </w:r>
      <w:proofErr w:type="spellEnd"/>
      <w:r>
        <w:t xml:space="preserve"> </w:t>
      </w:r>
      <w:proofErr w:type="spellStart"/>
      <w:r w:rsidRPr="007F28F5">
        <w:t>Mattig</w:t>
      </w:r>
      <w:proofErr w:type="spellEnd"/>
      <w:r w:rsidRPr="007F28F5">
        <w:t xml:space="preserve"> </w:t>
      </w:r>
      <w:proofErr w:type="spellStart"/>
      <w:r w:rsidRPr="007F28F5">
        <w:t>Management</w:t>
      </w:r>
      <w:proofErr w:type="spellEnd"/>
      <w:r w:rsidRPr="007F28F5">
        <w:t xml:space="preserve"> </w:t>
      </w:r>
      <w:proofErr w:type="spellStart"/>
      <w:r w:rsidRPr="007F28F5">
        <w:t>Partners</w:t>
      </w:r>
      <w:proofErr w:type="spellEnd"/>
      <w:r w:rsidRPr="007F28F5">
        <w:t xml:space="preserve"> </w:t>
      </w:r>
      <w:proofErr w:type="spellStart"/>
      <w:r w:rsidRPr="007F28F5">
        <w:t>GmbH</w:t>
      </w:r>
      <w:proofErr w:type="spellEnd"/>
      <w:r w:rsidRPr="007F28F5">
        <w:t xml:space="preserve">, SIA CE Services </w:t>
      </w:r>
      <w:proofErr w:type="spellStart"/>
      <w:r w:rsidRPr="007F28F5">
        <w:t>and</w:t>
      </w:r>
      <w:proofErr w:type="spellEnd"/>
      <w:r w:rsidRPr="007F28F5">
        <w:t xml:space="preserve"> Eversheds Sutherland Bitāns </w:t>
      </w:r>
      <w:proofErr w:type="spellStart"/>
      <w:r w:rsidRPr="007F28F5">
        <w:t>law</w:t>
      </w:r>
      <w:proofErr w:type="spellEnd"/>
      <w:r w:rsidRPr="007F28F5">
        <w:t xml:space="preserve"> </w:t>
      </w:r>
      <w:proofErr w:type="spellStart"/>
      <w:r w:rsidRPr="007F28F5">
        <w:t>firm</w:t>
      </w:r>
      <w:proofErr w:type="spellEnd"/>
      <w:r w:rsidRPr="007F28F5">
        <w:t>,</w:t>
      </w:r>
      <w:r>
        <w:t xml:space="preserve"> </w:t>
      </w:r>
      <w:proofErr w:type="spellStart"/>
      <w:r>
        <w:t>Riga</w:t>
      </w:r>
      <w:proofErr w:type="spellEnd"/>
      <w:r>
        <w:t xml:space="preserve"> </w:t>
      </w:r>
      <w:proofErr w:type="spellStart"/>
      <w:r>
        <w:t>and</w:t>
      </w:r>
      <w:proofErr w:type="spellEnd"/>
      <w:r>
        <w:t xml:space="preserve"> </w:t>
      </w:r>
      <w:proofErr w:type="spellStart"/>
      <w:r>
        <w:t>Vienna</w:t>
      </w:r>
      <w:proofErr w:type="spellEnd"/>
      <w:r>
        <w:t xml:space="preserve">, </w:t>
      </w:r>
      <w:proofErr w:type="spellStart"/>
      <w:r>
        <w:t>July</w:t>
      </w:r>
      <w:proofErr w:type="spellEnd"/>
      <w:r>
        <w:t xml:space="preserve"> 2018 </w:t>
      </w:r>
      <w:r w:rsidRPr="007F28F5">
        <w:t>(angļu val.)</w:t>
      </w:r>
    </w:p>
    <w:p w14:paraId="758E4D46" w14:textId="77777777" w:rsidR="007F28F5" w:rsidRDefault="007F28F5">
      <w:pPr>
        <w:pStyle w:val="FootnoteText"/>
      </w:pPr>
    </w:p>
  </w:footnote>
  <w:footnote w:id="3">
    <w:p w14:paraId="2DFA2A7D" w14:textId="382F21BA" w:rsidR="00EB3502" w:rsidRDefault="00EB3502">
      <w:pPr>
        <w:pStyle w:val="FootnoteText"/>
      </w:pPr>
      <w:r>
        <w:rPr>
          <w:rStyle w:val="FootnoteReference"/>
        </w:rPr>
        <w:footnoteRef/>
      </w:r>
      <w:r>
        <w:t xml:space="preserve"> </w:t>
      </w:r>
      <w:r w:rsidRPr="00EB3502">
        <w:t xml:space="preserve">CEIC </w:t>
      </w:r>
      <w:proofErr w:type="spellStart"/>
      <w:r w:rsidRPr="00EB3502">
        <w:t>data</w:t>
      </w:r>
      <w:proofErr w:type="spellEnd"/>
      <w:r w:rsidRPr="00EB3502">
        <w:t>, https://www.ceicdata.com</w:t>
      </w:r>
    </w:p>
  </w:footnote>
  <w:footnote w:id="4">
    <w:p w14:paraId="31B63F91" w14:textId="60CA0ED5" w:rsidR="00EB3502" w:rsidRPr="00EB3502" w:rsidRDefault="00EB3502" w:rsidP="00EB3502">
      <w:pPr>
        <w:pStyle w:val="FootnoteText"/>
      </w:pPr>
      <w:r>
        <w:rPr>
          <w:rStyle w:val="FootnoteReference"/>
        </w:rPr>
        <w:footnoteRef/>
      </w:r>
      <w:r>
        <w:t xml:space="preserve"> </w:t>
      </w:r>
      <w:r w:rsidRPr="00EB3502">
        <w:t>OECD, 2015. “</w:t>
      </w:r>
      <w:proofErr w:type="spellStart"/>
      <w:r w:rsidRPr="00EB3502">
        <w:t>New</w:t>
      </w:r>
      <w:proofErr w:type="spellEnd"/>
      <w:r w:rsidRPr="00EB3502">
        <w:t xml:space="preserve"> </w:t>
      </w:r>
      <w:proofErr w:type="spellStart"/>
      <w:r w:rsidRPr="00EB3502">
        <w:t>Approaches</w:t>
      </w:r>
      <w:proofErr w:type="spellEnd"/>
      <w:r w:rsidRPr="00EB3502">
        <w:t xml:space="preserve"> to SME </w:t>
      </w:r>
      <w:proofErr w:type="spellStart"/>
      <w:r w:rsidRPr="00EB3502">
        <w:t>and</w:t>
      </w:r>
      <w:proofErr w:type="spellEnd"/>
      <w:r w:rsidRPr="00EB3502">
        <w:t xml:space="preserve"> </w:t>
      </w:r>
      <w:proofErr w:type="spellStart"/>
      <w:r w:rsidRPr="00EB3502">
        <w:t>Entrepreneurship</w:t>
      </w:r>
      <w:proofErr w:type="spellEnd"/>
      <w:r w:rsidRPr="00EB3502">
        <w:t xml:space="preserve"> </w:t>
      </w:r>
      <w:proofErr w:type="spellStart"/>
      <w:r w:rsidRPr="00EB3502">
        <w:t>Financing</w:t>
      </w:r>
      <w:proofErr w:type="spellEnd"/>
      <w:r w:rsidRPr="00EB3502">
        <w:t xml:space="preserve">: </w:t>
      </w:r>
      <w:proofErr w:type="spellStart"/>
      <w:r w:rsidRPr="00EB3502">
        <w:t>Broadening</w:t>
      </w:r>
      <w:proofErr w:type="spellEnd"/>
      <w:r w:rsidRPr="00EB3502">
        <w:t xml:space="preserve"> </w:t>
      </w:r>
      <w:proofErr w:type="spellStart"/>
      <w:r w:rsidRPr="00EB3502">
        <w:t>the</w:t>
      </w:r>
      <w:proofErr w:type="spellEnd"/>
      <w:r w:rsidRPr="00EB3502">
        <w:t xml:space="preserve"> </w:t>
      </w:r>
      <w:proofErr w:type="spellStart"/>
      <w:r w:rsidRPr="00EB3502">
        <w:t>Range</w:t>
      </w:r>
      <w:proofErr w:type="spellEnd"/>
      <w:r w:rsidRPr="00EB3502">
        <w:t xml:space="preserve"> </w:t>
      </w:r>
      <w:proofErr w:type="spellStart"/>
      <w:r w:rsidRPr="00EB3502">
        <w:t>of</w:t>
      </w:r>
      <w:proofErr w:type="spellEnd"/>
      <w:r w:rsidRPr="00EB3502">
        <w:t xml:space="preserve"> Instruments”.</w:t>
      </w:r>
    </w:p>
  </w:footnote>
  <w:footnote w:id="5">
    <w:p w14:paraId="269186E5" w14:textId="602C89F2" w:rsidR="00EB3502" w:rsidRDefault="00EB3502">
      <w:pPr>
        <w:pStyle w:val="FootnoteText"/>
      </w:pPr>
      <w:r>
        <w:rPr>
          <w:rStyle w:val="FootnoteReference"/>
        </w:rPr>
        <w:footnoteRef/>
      </w:r>
      <w:r>
        <w:t xml:space="preserve"> </w:t>
      </w:r>
      <w:r w:rsidRPr="00EB3502">
        <w:t xml:space="preserve">Eiropas Komisija, 2017. </w:t>
      </w:r>
      <w:proofErr w:type="spellStart"/>
      <w:r w:rsidRPr="00EB3502">
        <w:t>Survey</w:t>
      </w:r>
      <w:proofErr w:type="spellEnd"/>
      <w:r w:rsidRPr="00EB3502">
        <w:t xml:space="preserve"> </w:t>
      </w:r>
      <w:proofErr w:type="spellStart"/>
      <w:r w:rsidRPr="00EB3502">
        <w:t>on</w:t>
      </w:r>
      <w:proofErr w:type="spellEnd"/>
      <w:r w:rsidRPr="00EB3502">
        <w:t xml:space="preserve"> </w:t>
      </w:r>
      <w:proofErr w:type="spellStart"/>
      <w:r w:rsidRPr="00EB3502">
        <w:t>the</w:t>
      </w:r>
      <w:proofErr w:type="spellEnd"/>
      <w:r w:rsidRPr="00EB3502">
        <w:t xml:space="preserve"> </w:t>
      </w:r>
      <w:proofErr w:type="spellStart"/>
      <w:r w:rsidRPr="00EB3502">
        <w:t>access</w:t>
      </w:r>
      <w:proofErr w:type="spellEnd"/>
      <w:r w:rsidRPr="00EB3502">
        <w:t xml:space="preserve"> to </w:t>
      </w:r>
      <w:proofErr w:type="spellStart"/>
      <w:r w:rsidRPr="00EB3502">
        <w:t>finance</w:t>
      </w:r>
      <w:proofErr w:type="spellEnd"/>
      <w:r w:rsidRPr="00EB3502">
        <w:t xml:space="preserve"> </w:t>
      </w:r>
      <w:proofErr w:type="spellStart"/>
      <w:r w:rsidRPr="00EB3502">
        <w:t>of</w:t>
      </w:r>
      <w:proofErr w:type="spellEnd"/>
      <w:r w:rsidRPr="00EB3502">
        <w:t xml:space="preserve"> </w:t>
      </w:r>
      <w:proofErr w:type="spellStart"/>
      <w:r w:rsidRPr="00EB3502">
        <w:t>entrprises</w:t>
      </w:r>
      <w:proofErr w:type="spellEnd"/>
      <w:r w:rsidRPr="00EB3502">
        <w:t xml:space="preserve"> (SAFE).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1B75" w14:textId="77777777" w:rsidR="009802B1" w:rsidRDefault="00980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94038"/>
      <w:docPartObj>
        <w:docPartGallery w:val="Page Numbers (Top of Page)"/>
        <w:docPartUnique/>
      </w:docPartObj>
    </w:sdtPr>
    <w:sdtEndPr>
      <w:rPr>
        <w:noProof/>
      </w:rPr>
    </w:sdtEndPr>
    <w:sdtContent>
      <w:p w14:paraId="23A30505" w14:textId="029657F1" w:rsidR="00B83D37" w:rsidRDefault="00B83D37">
        <w:pPr>
          <w:pStyle w:val="Header"/>
          <w:jc w:val="center"/>
        </w:pPr>
        <w:r>
          <w:fldChar w:fldCharType="begin"/>
        </w:r>
        <w:r>
          <w:instrText xml:space="preserve"> PAGE   \* MERGEFORMAT </w:instrText>
        </w:r>
        <w:r>
          <w:fldChar w:fldCharType="separate"/>
        </w:r>
        <w:r w:rsidR="000D4B5A">
          <w:rPr>
            <w:noProof/>
          </w:rPr>
          <w:t>7</w:t>
        </w:r>
        <w:r>
          <w:rPr>
            <w:noProof/>
          </w:rPr>
          <w:fldChar w:fldCharType="end"/>
        </w:r>
      </w:p>
    </w:sdtContent>
  </w:sdt>
  <w:p w14:paraId="400462B7" w14:textId="77777777" w:rsidR="00B83D37" w:rsidRDefault="00B83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C0E8" w14:textId="77777777" w:rsidR="009802B1" w:rsidRDefault="00980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0AD"/>
    <w:multiLevelType w:val="hybridMultilevel"/>
    <w:tmpl w:val="87F2E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804935"/>
    <w:multiLevelType w:val="hybridMultilevel"/>
    <w:tmpl w:val="8E2491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101328"/>
    <w:multiLevelType w:val="hybridMultilevel"/>
    <w:tmpl w:val="C1381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7F0B24"/>
    <w:multiLevelType w:val="hybridMultilevel"/>
    <w:tmpl w:val="BCF44C8A"/>
    <w:lvl w:ilvl="0" w:tplc="F17E1BE6">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4" w15:restartNumberingAfterBreak="0">
    <w:nsid w:val="73AE2986"/>
    <w:multiLevelType w:val="hybridMultilevel"/>
    <w:tmpl w:val="32C89824"/>
    <w:lvl w:ilvl="0" w:tplc="93D278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E"/>
    <w:rsid w:val="00004878"/>
    <w:rsid w:val="0000648D"/>
    <w:rsid w:val="00007E18"/>
    <w:rsid w:val="00012D19"/>
    <w:rsid w:val="00014835"/>
    <w:rsid w:val="00024984"/>
    <w:rsid w:val="000256E2"/>
    <w:rsid w:val="0002770B"/>
    <w:rsid w:val="00032AF5"/>
    <w:rsid w:val="0003715C"/>
    <w:rsid w:val="00040A12"/>
    <w:rsid w:val="00040F43"/>
    <w:rsid w:val="00041593"/>
    <w:rsid w:val="0004202B"/>
    <w:rsid w:val="00044E6E"/>
    <w:rsid w:val="00051F21"/>
    <w:rsid w:val="0005290A"/>
    <w:rsid w:val="00052DD0"/>
    <w:rsid w:val="00056601"/>
    <w:rsid w:val="000575F4"/>
    <w:rsid w:val="0006281E"/>
    <w:rsid w:val="000628CD"/>
    <w:rsid w:val="000652AC"/>
    <w:rsid w:val="00067378"/>
    <w:rsid w:val="000717C9"/>
    <w:rsid w:val="00082E51"/>
    <w:rsid w:val="0008549F"/>
    <w:rsid w:val="000869A3"/>
    <w:rsid w:val="00086E2B"/>
    <w:rsid w:val="00091BD8"/>
    <w:rsid w:val="000932C9"/>
    <w:rsid w:val="000956C8"/>
    <w:rsid w:val="00096F40"/>
    <w:rsid w:val="00097E4F"/>
    <w:rsid w:val="000A0DF9"/>
    <w:rsid w:val="000A1E06"/>
    <w:rsid w:val="000A2F00"/>
    <w:rsid w:val="000A2F8F"/>
    <w:rsid w:val="000A37D2"/>
    <w:rsid w:val="000A5A00"/>
    <w:rsid w:val="000A74CE"/>
    <w:rsid w:val="000B134B"/>
    <w:rsid w:val="000B58D4"/>
    <w:rsid w:val="000B7FCD"/>
    <w:rsid w:val="000C009B"/>
    <w:rsid w:val="000C148A"/>
    <w:rsid w:val="000C1EAC"/>
    <w:rsid w:val="000C257F"/>
    <w:rsid w:val="000C3ED4"/>
    <w:rsid w:val="000D0E40"/>
    <w:rsid w:val="000D1BCE"/>
    <w:rsid w:val="000D30E5"/>
    <w:rsid w:val="000D3AFB"/>
    <w:rsid w:val="000D4862"/>
    <w:rsid w:val="000D4B5A"/>
    <w:rsid w:val="000D7AEA"/>
    <w:rsid w:val="000E7AF7"/>
    <w:rsid w:val="00100001"/>
    <w:rsid w:val="001008A2"/>
    <w:rsid w:val="00103C9E"/>
    <w:rsid w:val="001075DE"/>
    <w:rsid w:val="001153F1"/>
    <w:rsid w:val="00120C08"/>
    <w:rsid w:val="00121188"/>
    <w:rsid w:val="0012258C"/>
    <w:rsid w:val="00125673"/>
    <w:rsid w:val="00126654"/>
    <w:rsid w:val="00133C29"/>
    <w:rsid w:val="00141F02"/>
    <w:rsid w:val="001425AD"/>
    <w:rsid w:val="0014364D"/>
    <w:rsid w:val="00143874"/>
    <w:rsid w:val="00143FA3"/>
    <w:rsid w:val="001447D8"/>
    <w:rsid w:val="00144CD0"/>
    <w:rsid w:val="00146EEA"/>
    <w:rsid w:val="00151155"/>
    <w:rsid w:val="00156CC3"/>
    <w:rsid w:val="001603B7"/>
    <w:rsid w:val="00164D1E"/>
    <w:rsid w:val="00165D9C"/>
    <w:rsid w:val="00166978"/>
    <w:rsid w:val="0016697B"/>
    <w:rsid w:val="00166FAE"/>
    <w:rsid w:val="00172B5F"/>
    <w:rsid w:val="00183202"/>
    <w:rsid w:val="00187ECB"/>
    <w:rsid w:val="00192C68"/>
    <w:rsid w:val="001968B2"/>
    <w:rsid w:val="001A2E69"/>
    <w:rsid w:val="001A397A"/>
    <w:rsid w:val="001B24DD"/>
    <w:rsid w:val="001B5618"/>
    <w:rsid w:val="001B65AA"/>
    <w:rsid w:val="001B70C5"/>
    <w:rsid w:val="001C04EC"/>
    <w:rsid w:val="001C5820"/>
    <w:rsid w:val="001D5524"/>
    <w:rsid w:val="001D570B"/>
    <w:rsid w:val="001E1D21"/>
    <w:rsid w:val="001E3A86"/>
    <w:rsid w:val="001E549D"/>
    <w:rsid w:val="001F468F"/>
    <w:rsid w:val="001F4D30"/>
    <w:rsid w:val="001F5337"/>
    <w:rsid w:val="001F5F54"/>
    <w:rsid w:val="001F7391"/>
    <w:rsid w:val="00200752"/>
    <w:rsid w:val="002010E9"/>
    <w:rsid w:val="00201A18"/>
    <w:rsid w:val="00204760"/>
    <w:rsid w:val="00204BCC"/>
    <w:rsid w:val="00220ACF"/>
    <w:rsid w:val="00221880"/>
    <w:rsid w:val="00223299"/>
    <w:rsid w:val="00223481"/>
    <w:rsid w:val="00223675"/>
    <w:rsid w:val="0023191D"/>
    <w:rsid w:val="0023221E"/>
    <w:rsid w:val="00234BE2"/>
    <w:rsid w:val="00236A4B"/>
    <w:rsid w:val="00237B9E"/>
    <w:rsid w:val="00242DC9"/>
    <w:rsid w:val="002470D8"/>
    <w:rsid w:val="00252C89"/>
    <w:rsid w:val="002539E0"/>
    <w:rsid w:val="002656E7"/>
    <w:rsid w:val="002804AB"/>
    <w:rsid w:val="002820B5"/>
    <w:rsid w:val="00282121"/>
    <w:rsid w:val="002850BA"/>
    <w:rsid w:val="00286F65"/>
    <w:rsid w:val="002924EC"/>
    <w:rsid w:val="002941BD"/>
    <w:rsid w:val="002A0084"/>
    <w:rsid w:val="002A0AAC"/>
    <w:rsid w:val="002A60ED"/>
    <w:rsid w:val="002A624B"/>
    <w:rsid w:val="002A66FA"/>
    <w:rsid w:val="002B23FA"/>
    <w:rsid w:val="002B70C2"/>
    <w:rsid w:val="002C1558"/>
    <w:rsid w:val="002C16CA"/>
    <w:rsid w:val="002C3FCC"/>
    <w:rsid w:val="002D197E"/>
    <w:rsid w:val="002D4ACF"/>
    <w:rsid w:val="002D66C2"/>
    <w:rsid w:val="002D7291"/>
    <w:rsid w:val="002E7E30"/>
    <w:rsid w:val="002F4B25"/>
    <w:rsid w:val="002F5A9E"/>
    <w:rsid w:val="00310DC4"/>
    <w:rsid w:val="00312A93"/>
    <w:rsid w:val="00314D2C"/>
    <w:rsid w:val="0031520C"/>
    <w:rsid w:val="00317A9D"/>
    <w:rsid w:val="003207FE"/>
    <w:rsid w:val="003208EE"/>
    <w:rsid w:val="00320DAD"/>
    <w:rsid w:val="003354FC"/>
    <w:rsid w:val="003421B2"/>
    <w:rsid w:val="003470E3"/>
    <w:rsid w:val="00354E3F"/>
    <w:rsid w:val="0035544B"/>
    <w:rsid w:val="003652D8"/>
    <w:rsid w:val="00365B1E"/>
    <w:rsid w:val="00367E6E"/>
    <w:rsid w:val="00367F05"/>
    <w:rsid w:val="00374358"/>
    <w:rsid w:val="003761FD"/>
    <w:rsid w:val="00380B00"/>
    <w:rsid w:val="00385438"/>
    <w:rsid w:val="003900A9"/>
    <w:rsid w:val="003901C1"/>
    <w:rsid w:val="003905C3"/>
    <w:rsid w:val="003930D9"/>
    <w:rsid w:val="003941E1"/>
    <w:rsid w:val="003944AE"/>
    <w:rsid w:val="0039486D"/>
    <w:rsid w:val="00397FD4"/>
    <w:rsid w:val="003A10E2"/>
    <w:rsid w:val="003A269D"/>
    <w:rsid w:val="003A36F3"/>
    <w:rsid w:val="003A72BB"/>
    <w:rsid w:val="003B1985"/>
    <w:rsid w:val="003B3F28"/>
    <w:rsid w:val="003C3505"/>
    <w:rsid w:val="003D3D99"/>
    <w:rsid w:val="003D4A49"/>
    <w:rsid w:val="003E2220"/>
    <w:rsid w:val="003E2FD9"/>
    <w:rsid w:val="003F078D"/>
    <w:rsid w:val="003F3C38"/>
    <w:rsid w:val="003F5E6A"/>
    <w:rsid w:val="00400070"/>
    <w:rsid w:val="00406E39"/>
    <w:rsid w:val="004150AE"/>
    <w:rsid w:val="0041597A"/>
    <w:rsid w:val="00420ADE"/>
    <w:rsid w:val="004214DF"/>
    <w:rsid w:val="00425E94"/>
    <w:rsid w:val="004323F7"/>
    <w:rsid w:val="004342DB"/>
    <w:rsid w:val="004352A3"/>
    <w:rsid w:val="00435346"/>
    <w:rsid w:val="00437C1C"/>
    <w:rsid w:val="00441730"/>
    <w:rsid w:val="0044174C"/>
    <w:rsid w:val="0044405A"/>
    <w:rsid w:val="00444AF2"/>
    <w:rsid w:val="00457261"/>
    <w:rsid w:val="004637E2"/>
    <w:rsid w:val="004649A8"/>
    <w:rsid w:val="00467554"/>
    <w:rsid w:val="00470D0D"/>
    <w:rsid w:val="00481196"/>
    <w:rsid w:val="0048460E"/>
    <w:rsid w:val="0048766B"/>
    <w:rsid w:val="00492933"/>
    <w:rsid w:val="00494D14"/>
    <w:rsid w:val="004A73E6"/>
    <w:rsid w:val="004B3408"/>
    <w:rsid w:val="004B45ED"/>
    <w:rsid w:val="004B62BF"/>
    <w:rsid w:val="004C2A02"/>
    <w:rsid w:val="004C2A35"/>
    <w:rsid w:val="004C33CD"/>
    <w:rsid w:val="004D0DA7"/>
    <w:rsid w:val="004D1327"/>
    <w:rsid w:val="004D14DF"/>
    <w:rsid w:val="004D16DB"/>
    <w:rsid w:val="004E0616"/>
    <w:rsid w:val="004E2393"/>
    <w:rsid w:val="004E3F0E"/>
    <w:rsid w:val="004E4E2B"/>
    <w:rsid w:val="004E6ED5"/>
    <w:rsid w:val="004F11A9"/>
    <w:rsid w:val="004F232A"/>
    <w:rsid w:val="004F406E"/>
    <w:rsid w:val="00502662"/>
    <w:rsid w:val="00503419"/>
    <w:rsid w:val="00503488"/>
    <w:rsid w:val="00504681"/>
    <w:rsid w:val="00507ADA"/>
    <w:rsid w:val="005130E2"/>
    <w:rsid w:val="00513D77"/>
    <w:rsid w:val="0051694F"/>
    <w:rsid w:val="00523295"/>
    <w:rsid w:val="00523407"/>
    <w:rsid w:val="00525031"/>
    <w:rsid w:val="005256B9"/>
    <w:rsid w:val="00526B65"/>
    <w:rsid w:val="00526BE3"/>
    <w:rsid w:val="005336B8"/>
    <w:rsid w:val="00540198"/>
    <w:rsid w:val="0054045F"/>
    <w:rsid w:val="0054227E"/>
    <w:rsid w:val="0054413D"/>
    <w:rsid w:val="005450B7"/>
    <w:rsid w:val="00546C78"/>
    <w:rsid w:val="005520E4"/>
    <w:rsid w:val="00553BD9"/>
    <w:rsid w:val="005551E8"/>
    <w:rsid w:val="005561C4"/>
    <w:rsid w:val="0056036F"/>
    <w:rsid w:val="00562A7D"/>
    <w:rsid w:val="005639BB"/>
    <w:rsid w:val="005670DA"/>
    <w:rsid w:val="005702BE"/>
    <w:rsid w:val="00574725"/>
    <w:rsid w:val="0057476C"/>
    <w:rsid w:val="005770B0"/>
    <w:rsid w:val="00585DF7"/>
    <w:rsid w:val="00586FAC"/>
    <w:rsid w:val="00587B94"/>
    <w:rsid w:val="00591764"/>
    <w:rsid w:val="00592984"/>
    <w:rsid w:val="005933FC"/>
    <w:rsid w:val="005A1D72"/>
    <w:rsid w:val="005A67F5"/>
    <w:rsid w:val="005B28DC"/>
    <w:rsid w:val="005C70C3"/>
    <w:rsid w:val="005D4D05"/>
    <w:rsid w:val="005D5171"/>
    <w:rsid w:val="005D763B"/>
    <w:rsid w:val="005E3609"/>
    <w:rsid w:val="005F2DEA"/>
    <w:rsid w:val="0060583D"/>
    <w:rsid w:val="00612817"/>
    <w:rsid w:val="006132FC"/>
    <w:rsid w:val="006138DC"/>
    <w:rsid w:val="0062058A"/>
    <w:rsid w:val="00625F63"/>
    <w:rsid w:val="006277D7"/>
    <w:rsid w:val="00633213"/>
    <w:rsid w:val="006341C3"/>
    <w:rsid w:val="00635545"/>
    <w:rsid w:val="00640C7B"/>
    <w:rsid w:val="00643CD5"/>
    <w:rsid w:val="00650158"/>
    <w:rsid w:val="00650BA5"/>
    <w:rsid w:val="00651F23"/>
    <w:rsid w:val="0065337F"/>
    <w:rsid w:val="0065722C"/>
    <w:rsid w:val="00660D43"/>
    <w:rsid w:val="006613C8"/>
    <w:rsid w:val="006672E2"/>
    <w:rsid w:val="00680691"/>
    <w:rsid w:val="006807A2"/>
    <w:rsid w:val="006832CD"/>
    <w:rsid w:val="00686FBA"/>
    <w:rsid w:val="006920FE"/>
    <w:rsid w:val="006932F4"/>
    <w:rsid w:val="00695034"/>
    <w:rsid w:val="0069611C"/>
    <w:rsid w:val="00696CCF"/>
    <w:rsid w:val="006A51D3"/>
    <w:rsid w:val="006B187B"/>
    <w:rsid w:val="006B4665"/>
    <w:rsid w:val="006B5ED4"/>
    <w:rsid w:val="006B762E"/>
    <w:rsid w:val="006C03BA"/>
    <w:rsid w:val="006C0A93"/>
    <w:rsid w:val="006C7A46"/>
    <w:rsid w:val="006D0CF5"/>
    <w:rsid w:val="006D2104"/>
    <w:rsid w:val="006D2E99"/>
    <w:rsid w:val="006D6FB9"/>
    <w:rsid w:val="006E217F"/>
    <w:rsid w:val="006E24A3"/>
    <w:rsid w:val="006E2847"/>
    <w:rsid w:val="006E3E47"/>
    <w:rsid w:val="006E573F"/>
    <w:rsid w:val="006F0109"/>
    <w:rsid w:val="006F090B"/>
    <w:rsid w:val="006F12D7"/>
    <w:rsid w:val="006F27A6"/>
    <w:rsid w:val="006F6CDA"/>
    <w:rsid w:val="00702B4F"/>
    <w:rsid w:val="00704571"/>
    <w:rsid w:val="0070762B"/>
    <w:rsid w:val="00712324"/>
    <w:rsid w:val="0071236E"/>
    <w:rsid w:val="00713152"/>
    <w:rsid w:val="00715C1E"/>
    <w:rsid w:val="00720E1F"/>
    <w:rsid w:val="00725E38"/>
    <w:rsid w:val="00731244"/>
    <w:rsid w:val="00732409"/>
    <w:rsid w:val="0073420D"/>
    <w:rsid w:val="00736099"/>
    <w:rsid w:val="00740DAD"/>
    <w:rsid w:val="0074149F"/>
    <w:rsid w:val="00744D90"/>
    <w:rsid w:val="00746097"/>
    <w:rsid w:val="00746D97"/>
    <w:rsid w:val="0075004B"/>
    <w:rsid w:val="00750D8F"/>
    <w:rsid w:val="00752C7F"/>
    <w:rsid w:val="00754E94"/>
    <w:rsid w:val="007553A1"/>
    <w:rsid w:val="00763245"/>
    <w:rsid w:val="00766CA4"/>
    <w:rsid w:val="0077176A"/>
    <w:rsid w:val="007719D0"/>
    <w:rsid w:val="00777EB3"/>
    <w:rsid w:val="00780489"/>
    <w:rsid w:val="00781124"/>
    <w:rsid w:val="00785DEC"/>
    <w:rsid w:val="00786659"/>
    <w:rsid w:val="00787BFC"/>
    <w:rsid w:val="00791330"/>
    <w:rsid w:val="00792FB1"/>
    <w:rsid w:val="00793470"/>
    <w:rsid w:val="007A425A"/>
    <w:rsid w:val="007A53B0"/>
    <w:rsid w:val="007A6206"/>
    <w:rsid w:val="007B0663"/>
    <w:rsid w:val="007B30F9"/>
    <w:rsid w:val="007B3B18"/>
    <w:rsid w:val="007C21B5"/>
    <w:rsid w:val="007C6D56"/>
    <w:rsid w:val="007D2D0E"/>
    <w:rsid w:val="007D71CE"/>
    <w:rsid w:val="007E0EAA"/>
    <w:rsid w:val="007E4B07"/>
    <w:rsid w:val="007E639F"/>
    <w:rsid w:val="007F28F5"/>
    <w:rsid w:val="007F2AE9"/>
    <w:rsid w:val="007F46BF"/>
    <w:rsid w:val="0080408E"/>
    <w:rsid w:val="00806360"/>
    <w:rsid w:val="0081332E"/>
    <w:rsid w:val="008200FE"/>
    <w:rsid w:val="0082106F"/>
    <w:rsid w:val="008243A3"/>
    <w:rsid w:val="00824438"/>
    <w:rsid w:val="00824862"/>
    <w:rsid w:val="00832505"/>
    <w:rsid w:val="00833DFB"/>
    <w:rsid w:val="00836F70"/>
    <w:rsid w:val="0083721A"/>
    <w:rsid w:val="008420BD"/>
    <w:rsid w:val="00843064"/>
    <w:rsid w:val="00843B9E"/>
    <w:rsid w:val="00844E26"/>
    <w:rsid w:val="00845520"/>
    <w:rsid w:val="00850633"/>
    <w:rsid w:val="008512E7"/>
    <w:rsid w:val="00854A5F"/>
    <w:rsid w:val="0086231B"/>
    <w:rsid w:val="00863CA4"/>
    <w:rsid w:val="00865F1E"/>
    <w:rsid w:val="00866319"/>
    <w:rsid w:val="008732D2"/>
    <w:rsid w:val="0087621A"/>
    <w:rsid w:val="0087762B"/>
    <w:rsid w:val="00884DF5"/>
    <w:rsid w:val="0088702B"/>
    <w:rsid w:val="00890A6C"/>
    <w:rsid w:val="00895B1E"/>
    <w:rsid w:val="008969B4"/>
    <w:rsid w:val="008A1A3B"/>
    <w:rsid w:val="008A4957"/>
    <w:rsid w:val="008A4DDF"/>
    <w:rsid w:val="008B00F6"/>
    <w:rsid w:val="008B020E"/>
    <w:rsid w:val="008B40D5"/>
    <w:rsid w:val="008C216E"/>
    <w:rsid w:val="008D0A7A"/>
    <w:rsid w:val="008D31ED"/>
    <w:rsid w:val="008D4198"/>
    <w:rsid w:val="008D520C"/>
    <w:rsid w:val="008D6B3D"/>
    <w:rsid w:val="008E0A84"/>
    <w:rsid w:val="008E1288"/>
    <w:rsid w:val="008E2743"/>
    <w:rsid w:val="008E2AB1"/>
    <w:rsid w:val="008F3428"/>
    <w:rsid w:val="008F7085"/>
    <w:rsid w:val="00904F4D"/>
    <w:rsid w:val="009064D2"/>
    <w:rsid w:val="00910356"/>
    <w:rsid w:val="00910C80"/>
    <w:rsid w:val="0091292E"/>
    <w:rsid w:val="00915E03"/>
    <w:rsid w:val="00923D4C"/>
    <w:rsid w:val="00924CA2"/>
    <w:rsid w:val="00930E6F"/>
    <w:rsid w:val="0093180D"/>
    <w:rsid w:val="00931D2F"/>
    <w:rsid w:val="00932251"/>
    <w:rsid w:val="0093329B"/>
    <w:rsid w:val="00933AC3"/>
    <w:rsid w:val="00934279"/>
    <w:rsid w:val="009351EB"/>
    <w:rsid w:val="00935DA1"/>
    <w:rsid w:val="00936E06"/>
    <w:rsid w:val="00944E6A"/>
    <w:rsid w:val="00945655"/>
    <w:rsid w:val="0094710B"/>
    <w:rsid w:val="0095342D"/>
    <w:rsid w:val="00955ECD"/>
    <w:rsid w:val="00957D25"/>
    <w:rsid w:val="00962866"/>
    <w:rsid w:val="00964204"/>
    <w:rsid w:val="00967BC4"/>
    <w:rsid w:val="00972D7D"/>
    <w:rsid w:val="009735B4"/>
    <w:rsid w:val="00975790"/>
    <w:rsid w:val="009766F0"/>
    <w:rsid w:val="009802B1"/>
    <w:rsid w:val="00994CE5"/>
    <w:rsid w:val="00996C7E"/>
    <w:rsid w:val="009A4E2E"/>
    <w:rsid w:val="009A70B5"/>
    <w:rsid w:val="009B21B2"/>
    <w:rsid w:val="009B5E57"/>
    <w:rsid w:val="009B665C"/>
    <w:rsid w:val="009C09FB"/>
    <w:rsid w:val="009C0EB5"/>
    <w:rsid w:val="009C1551"/>
    <w:rsid w:val="009C5947"/>
    <w:rsid w:val="009D2A75"/>
    <w:rsid w:val="009D518F"/>
    <w:rsid w:val="009D5871"/>
    <w:rsid w:val="009D5F63"/>
    <w:rsid w:val="009D73FF"/>
    <w:rsid w:val="009E0026"/>
    <w:rsid w:val="009E078C"/>
    <w:rsid w:val="009E0E0F"/>
    <w:rsid w:val="009E2A12"/>
    <w:rsid w:val="009E40FC"/>
    <w:rsid w:val="009E4BD4"/>
    <w:rsid w:val="009E4D93"/>
    <w:rsid w:val="009E5017"/>
    <w:rsid w:val="009E57F4"/>
    <w:rsid w:val="009E7443"/>
    <w:rsid w:val="009F06E9"/>
    <w:rsid w:val="009F4128"/>
    <w:rsid w:val="009F49C7"/>
    <w:rsid w:val="009F5A3D"/>
    <w:rsid w:val="00A0011E"/>
    <w:rsid w:val="00A01C36"/>
    <w:rsid w:val="00A037B3"/>
    <w:rsid w:val="00A03B30"/>
    <w:rsid w:val="00A076B0"/>
    <w:rsid w:val="00A10022"/>
    <w:rsid w:val="00A12FD7"/>
    <w:rsid w:val="00A1754B"/>
    <w:rsid w:val="00A227FA"/>
    <w:rsid w:val="00A23786"/>
    <w:rsid w:val="00A238A8"/>
    <w:rsid w:val="00A23A0A"/>
    <w:rsid w:val="00A2495B"/>
    <w:rsid w:val="00A24FF5"/>
    <w:rsid w:val="00A3084E"/>
    <w:rsid w:val="00A32AB5"/>
    <w:rsid w:val="00A3416F"/>
    <w:rsid w:val="00A43377"/>
    <w:rsid w:val="00A435FB"/>
    <w:rsid w:val="00A4415D"/>
    <w:rsid w:val="00A45788"/>
    <w:rsid w:val="00A50D6C"/>
    <w:rsid w:val="00A50FF2"/>
    <w:rsid w:val="00A615D7"/>
    <w:rsid w:val="00A630B0"/>
    <w:rsid w:val="00A6599B"/>
    <w:rsid w:val="00A70A66"/>
    <w:rsid w:val="00A71CD2"/>
    <w:rsid w:val="00A82F14"/>
    <w:rsid w:val="00A9376D"/>
    <w:rsid w:val="00A95974"/>
    <w:rsid w:val="00A97DFE"/>
    <w:rsid w:val="00AA2DA9"/>
    <w:rsid w:val="00AA47C2"/>
    <w:rsid w:val="00AA73F8"/>
    <w:rsid w:val="00AB4E0F"/>
    <w:rsid w:val="00AB5431"/>
    <w:rsid w:val="00AB664C"/>
    <w:rsid w:val="00AB74FE"/>
    <w:rsid w:val="00AC04B1"/>
    <w:rsid w:val="00AC50BB"/>
    <w:rsid w:val="00AC7977"/>
    <w:rsid w:val="00AD0C02"/>
    <w:rsid w:val="00AD22E2"/>
    <w:rsid w:val="00AD4514"/>
    <w:rsid w:val="00AD5245"/>
    <w:rsid w:val="00AE21CE"/>
    <w:rsid w:val="00AF73C9"/>
    <w:rsid w:val="00B00C16"/>
    <w:rsid w:val="00B02343"/>
    <w:rsid w:val="00B028D5"/>
    <w:rsid w:val="00B06CF5"/>
    <w:rsid w:val="00B078E7"/>
    <w:rsid w:val="00B12A16"/>
    <w:rsid w:val="00B13085"/>
    <w:rsid w:val="00B1436C"/>
    <w:rsid w:val="00B1544A"/>
    <w:rsid w:val="00B166FA"/>
    <w:rsid w:val="00B20E68"/>
    <w:rsid w:val="00B21F97"/>
    <w:rsid w:val="00B22178"/>
    <w:rsid w:val="00B266E9"/>
    <w:rsid w:val="00B27ED9"/>
    <w:rsid w:val="00B322C0"/>
    <w:rsid w:val="00B369C3"/>
    <w:rsid w:val="00B55CAE"/>
    <w:rsid w:val="00B56FF3"/>
    <w:rsid w:val="00B63661"/>
    <w:rsid w:val="00B6500E"/>
    <w:rsid w:val="00B65EA2"/>
    <w:rsid w:val="00B73D62"/>
    <w:rsid w:val="00B7634F"/>
    <w:rsid w:val="00B83D37"/>
    <w:rsid w:val="00B8622D"/>
    <w:rsid w:val="00B876C4"/>
    <w:rsid w:val="00B92E87"/>
    <w:rsid w:val="00BA2245"/>
    <w:rsid w:val="00BA535C"/>
    <w:rsid w:val="00BA546F"/>
    <w:rsid w:val="00BA7222"/>
    <w:rsid w:val="00BA7A19"/>
    <w:rsid w:val="00BB2489"/>
    <w:rsid w:val="00BC471C"/>
    <w:rsid w:val="00BC7239"/>
    <w:rsid w:val="00BD3F89"/>
    <w:rsid w:val="00BD6062"/>
    <w:rsid w:val="00BD63DF"/>
    <w:rsid w:val="00BE42E2"/>
    <w:rsid w:val="00BE6C9C"/>
    <w:rsid w:val="00BE79EA"/>
    <w:rsid w:val="00BF207A"/>
    <w:rsid w:val="00BF2525"/>
    <w:rsid w:val="00BF57E6"/>
    <w:rsid w:val="00BF62A8"/>
    <w:rsid w:val="00BF7F0E"/>
    <w:rsid w:val="00C02881"/>
    <w:rsid w:val="00C02C28"/>
    <w:rsid w:val="00C03279"/>
    <w:rsid w:val="00C04B95"/>
    <w:rsid w:val="00C1375D"/>
    <w:rsid w:val="00C1581F"/>
    <w:rsid w:val="00C17ECD"/>
    <w:rsid w:val="00C21283"/>
    <w:rsid w:val="00C223AC"/>
    <w:rsid w:val="00C26217"/>
    <w:rsid w:val="00C300BB"/>
    <w:rsid w:val="00C37917"/>
    <w:rsid w:val="00C42025"/>
    <w:rsid w:val="00C42674"/>
    <w:rsid w:val="00C42AD2"/>
    <w:rsid w:val="00C56426"/>
    <w:rsid w:val="00C61652"/>
    <w:rsid w:val="00C62BF9"/>
    <w:rsid w:val="00C62D50"/>
    <w:rsid w:val="00C70E10"/>
    <w:rsid w:val="00C74390"/>
    <w:rsid w:val="00C80E0D"/>
    <w:rsid w:val="00C80F99"/>
    <w:rsid w:val="00C909B7"/>
    <w:rsid w:val="00C92F3D"/>
    <w:rsid w:val="00C949C1"/>
    <w:rsid w:val="00C96123"/>
    <w:rsid w:val="00C96A64"/>
    <w:rsid w:val="00CA02CA"/>
    <w:rsid w:val="00CB2B66"/>
    <w:rsid w:val="00CC2439"/>
    <w:rsid w:val="00CC34C5"/>
    <w:rsid w:val="00CC4A09"/>
    <w:rsid w:val="00CC5695"/>
    <w:rsid w:val="00CC757F"/>
    <w:rsid w:val="00CD5F9B"/>
    <w:rsid w:val="00CD7516"/>
    <w:rsid w:val="00CE1CC4"/>
    <w:rsid w:val="00CE5A49"/>
    <w:rsid w:val="00CE753D"/>
    <w:rsid w:val="00CF2A2E"/>
    <w:rsid w:val="00CF2ADD"/>
    <w:rsid w:val="00CF2EE4"/>
    <w:rsid w:val="00CF39D4"/>
    <w:rsid w:val="00D0115B"/>
    <w:rsid w:val="00D03F44"/>
    <w:rsid w:val="00D06C2E"/>
    <w:rsid w:val="00D13A43"/>
    <w:rsid w:val="00D27A97"/>
    <w:rsid w:val="00D32997"/>
    <w:rsid w:val="00D33586"/>
    <w:rsid w:val="00D37009"/>
    <w:rsid w:val="00D377D7"/>
    <w:rsid w:val="00D41D3D"/>
    <w:rsid w:val="00D42347"/>
    <w:rsid w:val="00D43916"/>
    <w:rsid w:val="00D50E85"/>
    <w:rsid w:val="00D5472F"/>
    <w:rsid w:val="00D566D5"/>
    <w:rsid w:val="00D6297D"/>
    <w:rsid w:val="00D65B94"/>
    <w:rsid w:val="00D70DBD"/>
    <w:rsid w:val="00D71D2C"/>
    <w:rsid w:val="00D72A84"/>
    <w:rsid w:val="00D73253"/>
    <w:rsid w:val="00D74ACC"/>
    <w:rsid w:val="00D8078B"/>
    <w:rsid w:val="00D85922"/>
    <w:rsid w:val="00D8751A"/>
    <w:rsid w:val="00D91B79"/>
    <w:rsid w:val="00DA4710"/>
    <w:rsid w:val="00DB5B23"/>
    <w:rsid w:val="00DC04F5"/>
    <w:rsid w:val="00DC240D"/>
    <w:rsid w:val="00DD155F"/>
    <w:rsid w:val="00DD45F8"/>
    <w:rsid w:val="00DE1CEF"/>
    <w:rsid w:val="00DE3D02"/>
    <w:rsid w:val="00DF0E56"/>
    <w:rsid w:val="00E15BCD"/>
    <w:rsid w:val="00E20B0E"/>
    <w:rsid w:val="00E20E5A"/>
    <w:rsid w:val="00E258CE"/>
    <w:rsid w:val="00E32650"/>
    <w:rsid w:val="00E37BC6"/>
    <w:rsid w:val="00E4014A"/>
    <w:rsid w:val="00E449A2"/>
    <w:rsid w:val="00E53554"/>
    <w:rsid w:val="00E55189"/>
    <w:rsid w:val="00E55665"/>
    <w:rsid w:val="00E60BCD"/>
    <w:rsid w:val="00E60F4F"/>
    <w:rsid w:val="00E61AD0"/>
    <w:rsid w:val="00E645F0"/>
    <w:rsid w:val="00E6501C"/>
    <w:rsid w:val="00E66EE7"/>
    <w:rsid w:val="00E66F98"/>
    <w:rsid w:val="00E72EC5"/>
    <w:rsid w:val="00E84058"/>
    <w:rsid w:val="00E841E2"/>
    <w:rsid w:val="00E845B8"/>
    <w:rsid w:val="00E910D0"/>
    <w:rsid w:val="00E915BF"/>
    <w:rsid w:val="00E93007"/>
    <w:rsid w:val="00E964D5"/>
    <w:rsid w:val="00EA2B54"/>
    <w:rsid w:val="00EB3502"/>
    <w:rsid w:val="00EB411A"/>
    <w:rsid w:val="00EB4724"/>
    <w:rsid w:val="00EB4962"/>
    <w:rsid w:val="00EC08E5"/>
    <w:rsid w:val="00EC4637"/>
    <w:rsid w:val="00EC47FB"/>
    <w:rsid w:val="00EC70FF"/>
    <w:rsid w:val="00EC7F11"/>
    <w:rsid w:val="00ED78AE"/>
    <w:rsid w:val="00EE2316"/>
    <w:rsid w:val="00EE4470"/>
    <w:rsid w:val="00EE50F7"/>
    <w:rsid w:val="00EF482F"/>
    <w:rsid w:val="00EF49DF"/>
    <w:rsid w:val="00EF618A"/>
    <w:rsid w:val="00F02550"/>
    <w:rsid w:val="00F05C09"/>
    <w:rsid w:val="00F060D0"/>
    <w:rsid w:val="00F11713"/>
    <w:rsid w:val="00F15490"/>
    <w:rsid w:val="00F16D04"/>
    <w:rsid w:val="00F216E4"/>
    <w:rsid w:val="00F23C44"/>
    <w:rsid w:val="00F25E6D"/>
    <w:rsid w:val="00F314A2"/>
    <w:rsid w:val="00F31527"/>
    <w:rsid w:val="00F31CAD"/>
    <w:rsid w:val="00F34DE4"/>
    <w:rsid w:val="00F35DEF"/>
    <w:rsid w:val="00F401FB"/>
    <w:rsid w:val="00F43DA4"/>
    <w:rsid w:val="00F47921"/>
    <w:rsid w:val="00F52006"/>
    <w:rsid w:val="00F606A8"/>
    <w:rsid w:val="00F762BE"/>
    <w:rsid w:val="00F76D55"/>
    <w:rsid w:val="00F8044E"/>
    <w:rsid w:val="00F87C18"/>
    <w:rsid w:val="00F9114A"/>
    <w:rsid w:val="00F93383"/>
    <w:rsid w:val="00F950A1"/>
    <w:rsid w:val="00F969EC"/>
    <w:rsid w:val="00F97695"/>
    <w:rsid w:val="00FA6197"/>
    <w:rsid w:val="00FA7B98"/>
    <w:rsid w:val="00FB20A8"/>
    <w:rsid w:val="00FB5A49"/>
    <w:rsid w:val="00FB6A41"/>
    <w:rsid w:val="00FC3FB3"/>
    <w:rsid w:val="00FC3FFA"/>
    <w:rsid w:val="00FD3902"/>
    <w:rsid w:val="00FD4327"/>
    <w:rsid w:val="00FD67BC"/>
    <w:rsid w:val="00FE136A"/>
    <w:rsid w:val="00FE2202"/>
    <w:rsid w:val="00FF4AA2"/>
    <w:rsid w:val="00FF62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D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A8"/>
  </w:style>
  <w:style w:type="paragraph" w:styleId="Heading2">
    <w:name w:val="heading 2"/>
    <w:basedOn w:val="Normal"/>
    <w:next w:val="Normal"/>
    <w:link w:val="Heading2Char"/>
    <w:qFormat/>
    <w:rsid w:val="00C17ECD"/>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C1"/>
    <w:pPr>
      <w:ind w:left="720"/>
      <w:contextualSpacing/>
    </w:pPr>
  </w:style>
  <w:style w:type="paragraph" w:styleId="Header">
    <w:name w:val="header"/>
    <w:basedOn w:val="Normal"/>
    <w:link w:val="HeaderChar"/>
    <w:uiPriority w:val="99"/>
    <w:unhideWhenUsed/>
    <w:rsid w:val="006D21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2104"/>
  </w:style>
  <w:style w:type="paragraph" w:styleId="Footer">
    <w:name w:val="footer"/>
    <w:basedOn w:val="Normal"/>
    <w:link w:val="FooterChar"/>
    <w:uiPriority w:val="99"/>
    <w:unhideWhenUsed/>
    <w:rsid w:val="006D2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2104"/>
  </w:style>
  <w:style w:type="paragraph" w:styleId="BalloonText">
    <w:name w:val="Balloon Text"/>
    <w:basedOn w:val="Normal"/>
    <w:link w:val="BalloonTextChar"/>
    <w:uiPriority w:val="99"/>
    <w:semiHidden/>
    <w:unhideWhenUsed/>
    <w:rsid w:val="00AC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BB"/>
    <w:rPr>
      <w:rFonts w:ascii="Segoe UI" w:hAnsi="Segoe UI" w:cs="Segoe UI"/>
      <w:sz w:val="18"/>
      <w:szCs w:val="18"/>
    </w:rPr>
  </w:style>
  <w:style w:type="paragraph" w:customStyle="1" w:styleId="Default">
    <w:name w:val="Default"/>
    <w:rsid w:val="00097E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804AB"/>
    <w:rPr>
      <w:color w:val="0563C1" w:themeColor="hyperlink"/>
      <w:u w:val="single"/>
    </w:rPr>
  </w:style>
  <w:style w:type="character" w:styleId="CommentReference">
    <w:name w:val="annotation reference"/>
    <w:basedOn w:val="DefaultParagraphFont"/>
    <w:uiPriority w:val="99"/>
    <w:semiHidden/>
    <w:unhideWhenUsed/>
    <w:rsid w:val="00ED78AE"/>
    <w:rPr>
      <w:sz w:val="16"/>
      <w:szCs w:val="16"/>
    </w:rPr>
  </w:style>
  <w:style w:type="paragraph" w:styleId="CommentText">
    <w:name w:val="annotation text"/>
    <w:basedOn w:val="Normal"/>
    <w:link w:val="CommentTextChar"/>
    <w:uiPriority w:val="99"/>
    <w:semiHidden/>
    <w:unhideWhenUsed/>
    <w:rsid w:val="00ED78AE"/>
    <w:pPr>
      <w:spacing w:line="240" w:lineRule="auto"/>
    </w:pPr>
    <w:rPr>
      <w:sz w:val="20"/>
      <w:szCs w:val="20"/>
    </w:rPr>
  </w:style>
  <w:style w:type="character" w:customStyle="1" w:styleId="CommentTextChar">
    <w:name w:val="Comment Text Char"/>
    <w:basedOn w:val="DefaultParagraphFont"/>
    <w:link w:val="CommentText"/>
    <w:uiPriority w:val="99"/>
    <w:semiHidden/>
    <w:rsid w:val="00ED78AE"/>
    <w:rPr>
      <w:sz w:val="20"/>
      <w:szCs w:val="20"/>
    </w:rPr>
  </w:style>
  <w:style w:type="paragraph" w:styleId="CommentSubject">
    <w:name w:val="annotation subject"/>
    <w:basedOn w:val="CommentText"/>
    <w:next w:val="CommentText"/>
    <w:link w:val="CommentSubjectChar"/>
    <w:uiPriority w:val="99"/>
    <w:semiHidden/>
    <w:unhideWhenUsed/>
    <w:rsid w:val="00ED78AE"/>
    <w:rPr>
      <w:b/>
      <w:bCs/>
    </w:rPr>
  </w:style>
  <w:style w:type="character" w:customStyle="1" w:styleId="CommentSubjectChar">
    <w:name w:val="Comment Subject Char"/>
    <w:basedOn w:val="CommentTextChar"/>
    <w:link w:val="CommentSubject"/>
    <w:uiPriority w:val="99"/>
    <w:semiHidden/>
    <w:rsid w:val="00ED78AE"/>
    <w:rPr>
      <w:b/>
      <w:bCs/>
      <w:sz w:val="20"/>
      <w:szCs w:val="20"/>
    </w:rPr>
  </w:style>
  <w:style w:type="table" w:styleId="TableGrid">
    <w:name w:val="Table Grid"/>
    <w:basedOn w:val="TableNormal"/>
    <w:uiPriority w:val="39"/>
    <w:rsid w:val="0077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FD4327"/>
    <w:pPr>
      <w:spacing w:after="0" w:line="240" w:lineRule="auto"/>
    </w:pPr>
    <w:rPr>
      <w:sz w:val="20"/>
      <w:szCs w:val="20"/>
    </w:rPr>
  </w:style>
  <w:style w:type="character" w:customStyle="1" w:styleId="FootnoteTextChar">
    <w:name w:val="Footnote Text Char"/>
    <w:aliases w:val="Fußnote Char1,Fußnote Char Char,Fußnote Char Char Char Char,Fußnotentext Char Char1,Fußnotentext Char1 Char1 Char,Fußnotentext Char Char Char Char Char,Fußnotentext Char1 Char Char Char Char1,Fußnotentext Char Char Char,Fußn Char"/>
    <w:basedOn w:val="DefaultParagraphFont"/>
    <w:link w:val="FootnoteText"/>
    <w:uiPriority w:val="99"/>
    <w:rsid w:val="00FD4327"/>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tref"/>
    <w:basedOn w:val="DefaultParagraphFont"/>
    <w:link w:val="CharCharCharChar"/>
    <w:uiPriority w:val="99"/>
    <w:unhideWhenUsed/>
    <w:rsid w:val="00FD4327"/>
    <w:rPr>
      <w:vertAlign w:val="superscript"/>
    </w:rPr>
  </w:style>
  <w:style w:type="table" w:customStyle="1" w:styleId="TableGrid6">
    <w:name w:val="Table Grid6"/>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17ECD"/>
    <w:rPr>
      <w:rFonts w:ascii="Times New Roman" w:eastAsia="Times New Roman" w:hAnsi="Times New Roman" w:cs="Times New Roman"/>
      <w:b/>
      <w:bCs/>
      <w:sz w:val="24"/>
      <w:szCs w:val="24"/>
    </w:rPr>
  </w:style>
  <w:style w:type="paragraph" w:styleId="BodyText">
    <w:name w:val="Body Text"/>
    <w:basedOn w:val="Normal"/>
    <w:link w:val="BodyTextChar"/>
    <w:rsid w:val="00C17EC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7ECD"/>
    <w:rPr>
      <w:rFonts w:ascii="Times New Roman" w:eastAsia="Times New Roman" w:hAnsi="Times New Roman" w:cs="Times New Roman"/>
      <w:sz w:val="24"/>
      <w:szCs w:val="24"/>
    </w:rPr>
  </w:style>
  <w:style w:type="paragraph" w:styleId="Revision">
    <w:name w:val="Revision"/>
    <w:hidden/>
    <w:uiPriority w:val="99"/>
    <w:semiHidden/>
    <w:rsid w:val="00F25E6D"/>
    <w:pPr>
      <w:spacing w:after="0" w:line="240" w:lineRule="auto"/>
    </w:pPr>
  </w:style>
  <w:style w:type="paragraph" w:customStyle="1" w:styleId="Nobeigums">
    <w:name w:val="Nobeigums"/>
    <w:basedOn w:val="Normal"/>
    <w:rsid w:val="00EB411A"/>
    <w:pPr>
      <w:spacing w:after="0" w:line="240" w:lineRule="auto"/>
    </w:pPr>
    <w:rPr>
      <w:rFonts w:ascii="Times New Roman" w:eastAsia="Times New Roman" w:hAnsi="Times New Roman" w:cs="Times New Roman"/>
      <w:sz w:val="24"/>
      <w:szCs w:val="20"/>
      <w:lang w:val="en-US"/>
    </w:rPr>
  </w:style>
  <w:style w:type="paragraph" w:customStyle="1" w:styleId="tv2132">
    <w:name w:val="tv2132"/>
    <w:basedOn w:val="Normal"/>
    <w:rsid w:val="00EB411A"/>
    <w:pPr>
      <w:spacing w:after="0" w:line="360" w:lineRule="auto"/>
      <w:ind w:firstLine="300"/>
    </w:pPr>
    <w:rPr>
      <w:rFonts w:ascii="Times New Roman" w:eastAsia="Times New Roman" w:hAnsi="Times New Roman" w:cs="Times New Roman"/>
      <w:color w:val="414142"/>
      <w:sz w:val="20"/>
      <w:szCs w:val="20"/>
      <w:lang w:eastAsia="lv-LV"/>
    </w:rPr>
  </w:style>
  <w:style w:type="character" w:styleId="FollowedHyperlink">
    <w:name w:val="FollowedHyperlink"/>
    <w:basedOn w:val="DefaultParagraphFont"/>
    <w:uiPriority w:val="99"/>
    <w:semiHidden/>
    <w:unhideWhenUsed/>
    <w:rsid w:val="00E32650"/>
    <w:rPr>
      <w:color w:val="954F72" w:themeColor="followedHyperlink"/>
      <w:u w:val="single"/>
    </w:rPr>
  </w:style>
  <w:style w:type="paragraph" w:customStyle="1" w:styleId="CharCharCharChar">
    <w:name w:val="Char Char Char Char"/>
    <w:aliases w:val="Char2"/>
    <w:basedOn w:val="Normal"/>
    <w:next w:val="Normal"/>
    <w:link w:val="FootnoteReference"/>
    <w:uiPriority w:val="99"/>
    <w:rsid w:val="005D4D05"/>
    <w:pPr>
      <w:spacing w:line="240" w:lineRule="exact"/>
      <w:jc w:val="both"/>
      <w:textAlignment w:val="baseline"/>
    </w:pPr>
    <w:rPr>
      <w:vertAlign w:val="superscript"/>
    </w:rPr>
  </w:style>
  <w:style w:type="paragraph" w:styleId="NormalWeb">
    <w:name w:val="Normal (Web)"/>
    <w:basedOn w:val="Normal"/>
    <w:uiPriority w:val="99"/>
    <w:semiHidden/>
    <w:unhideWhenUsed/>
    <w:rsid w:val="000A2F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CC4A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4567">
      <w:bodyDiv w:val="1"/>
      <w:marLeft w:val="0"/>
      <w:marRight w:val="0"/>
      <w:marTop w:val="0"/>
      <w:marBottom w:val="0"/>
      <w:divBdr>
        <w:top w:val="none" w:sz="0" w:space="0" w:color="auto"/>
        <w:left w:val="none" w:sz="0" w:space="0" w:color="auto"/>
        <w:bottom w:val="none" w:sz="0" w:space="0" w:color="auto"/>
        <w:right w:val="none" w:sz="0" w:space="0" w:color="auto"/>
      </w:divBdr>
    </w:div>
    <w:div w:id="541868751">
      <w:bodyDiv w:val="1"/>
      <w:marLeft w:val="0"/>
      <w:marRight w:val="0"/>
      <w:marTop w:val="0"/>
      <w:marBottom w:val="0"/>
      <w:divBdr>
        <w:top w:val="none" w:sz="0" w:space="0" w:color="auto"/>
        <w:left w:val="none" w:sz="0" w:space="0" w:color="auto"/>
        <w:bottom w:val="none" w:sz="0" w:space="0" w:color="auto"/>
        <w:right w:val="none" w:sz="0" w:space="0" w:color="auto"/>
      </w:divBdr>
    </w:div>
    <w:div w:id="825779955">
      <w:bodyDiv w:val="1"/>
      <w:marLeft w:val="0"/>
      <w:marRight w:val="0"/>
      <w:marTop w:val="0"/>
      <w:marBottom w:val="0"/>
      <w:divBdr>
        <w:top w:val="none" w:sz="0" w:space="0" w:color="auto"/>
        <w:left w:val="none" w:sz="0" w:space="0" w:color="auto"/>
        <w:bottom w:val="none" w:sz="0" w:space="0" w:color="auto"/>
        <w:right w:val="none" w:sz="0" w:space="0" w:color="auto"/>
      </w:divBdr>
    </w:div>
    <w:div w:id="1078089067">
      <w:bodyDiv w:val="1"/>
      <w:marLeft w:val="0"/>
      <w:marRight w:val="0"/>
      <w:marTop w:val="0"/>
      <w:marBottom w:val="0"/>
      <w:divBdr>
        <w:top w:val="none" w:sz="0" w:space="0" w:color="auto"/>
        <w:left w:val="none" w:sz="0" w:space="0" w:color="auto"/>
        <w:bottom w:val="none" w:sz="0" w:space="0" w:color="auto"/>
        <w:right w:val="none" w:sz="0" w:space="0" w:color="auto"/>
      </w:divBdr>
    </w:div>
    <w:div w:id="1089691667">
      <w:bodyDiv w:val="1"/>
      <w:marLeft w:val="0"/>
      <w:marRight w:val="0"/>
      <w:marTop w:val="0"/>
      <w:marBottom w:val="0"/>
      <w:divBdr>
        <w:top w:val="none" w:sz="0" w:space="0" w:color="auto"/>
        <w:left w:val="none" w:sz="0" w:space="0" w:color="auto"/>
        <w:bottom w:val="none" w:sz="0" w:space="0" w:color="auto"/>
        <w:right w:val="none" w:sz="0" w:space="0" w:color="auto"/>
      </w:divBdr>
    </w:div>
    <w:div w:id="1119027985">
      <w:bodyDiv w:val="1"/>
      <w:marLeft w:val="0"/>
      <w:marRight w:val="0"/>
      <w:marTop w:val="0"/>
      <w:marBottom w:val="0"/>
      <w:divBdr>
        <w:top w:val="none" w:sz="0" w:space="0" w:color="auto"/>
        <w:left w:val="none" w:sz="0" w:space="0" w:color="auto"/>
        <w:bottom w:val="none" w:sz="0" w:space="0" w:color="auto"/>
        <w:right w:val="none" w:sz="0" w:space="0" w:color="auto"/>
      </w:divBdr>
    </w:div>
    <w:div w:id="1127048745">
      <w:bodyDiv w:val="1"/>
      <w:marLeft w:val="0"/>
      <w:marRight w:val="0"/>
      <w:marTop w:val="0"/>
      <w:marBottom w:val="0"/>
      <w:divBdr>
        <w:top w:val="none" w:sz="0" w:space="0" w:color="auto"/>
        <w:left w:val="none" w:sz="0" w:space="0" w:color="auto"/>
        <w:bottom w:val="none" w:sz="0" w:space="0" w:color="auto"/>
        <w:right w:val="none" w:sz="0" w:space="0" w:color="auto"/>
      </w:divBdr>
    </w:div>
    <w:div w:id="1217887640">
      <w:bodyDiv w:val="1"/>
      <w:marLeft w:val="0"/>
      <w:marRight w:val="0"/>
      <w:marTop w:val="0"/>
      <w:marBottom w:val="0"/>
      <w:divBdr>
        <w:top w:val="none" w:sz="0" w:space="0" w:color="auto"/>
        <w:left w:val="none" w:sz="0" w:space="0" w:color="auto"/>
        <w:bottom w:val="none" w:sz="0" w:space="0" w:color="auto"/>
        <w:right w:val="none" w:sz="0" w:space="0" w:color="auto"/>
      </w:divBdr>
    </w:div>
    <w:div w:id="1359891962">
      <w:bodyDiv w:val="1"/>
      <w:marLeft w:val="0"/>
      <w:marRight w:val="0"/>
      <w:marTop w:val="0"/>
      <w:marBottom w:val="0"/>
      <w:divBdr>
        <w:top w:val="none" w:sz="0" w:space="0" w:color="auto"/>
        <w:left w:val="none" w:sz="0" w:space="0" w:color="auto"/>
        <w:bottom w:val="none" w:sz="0" w:space="0" w:color="auto"/>
        <w:right w:val="none" w:sz="0" w:space="0" w:color="auto"/>
      </w:divBdr>
    </w:div>
    <w:div w:id="1593660420">
      <w:bodyDiv w:val="1"/>
      <w:marLeft w:val="0"/>
      <w:marRight w:val="0"/>
      <w:marTop w:val="0"/>
      <w:marBottom w:val="0"/>
      <w:divBdr>
        <w:top w:val="none" w:sz="0" w:space="0" w:color="auto"/>
        <w:left w:val="none" w:sz="0" w:space="0" w:color="auto"/>
        <w:bottom w:val="none" w:sz="0" w:space="0" w:color="auto"/>
        <w:right w:val="none" w:sz="0" w:space="0" w:color="auto"/>
      </w:divBdr>
    </w:div>
    <w:div w:id="17892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6E20-441B-425A-9CBD-3F92DFA8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12035</Words>
  <Characters>6861</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Informatīvais ziņojums "ES fondu atbalsta instrumenta izstrāde MVU finansējuma piesaistei kapitāla tirgos"</vt:lpstr>
    </vt:vector>
  </TitlesOfParts>
  <Manager/>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"ES fondu atbalsta instrumenta izstrāde MVU finansējuma piesaistei kapitāla tirgos"</dc:title>
  <dc:subject>Informatīvais ziņojums</dc:subject>
  <dc:creator/>
  <cp:keywords/>
  <dc:description>Tiesnieks, 67095667
Imants.Tiesnieks@fm.gov.lv</dc:description>
  <cp:lastModifiedBy/>
  <cp:revision>1</cp:revision>
  <dcterms:created xsi:type="dcterms:W3CDTF">2018-11-09T11:09:00Z</dcterms:created>
  <dcterms:modified xsi:type="dcterms:W3CDTF">2018-11-13T13:37:00Z</dcterms:modified>
</cp:coreProperties>
</file>