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6DD95B" w14:textId="77777777" w:rsidR="000952B3" w:rsidRPr="001351FC" w:rsidRDefault="00B650B7" w:rsidP="001351FC">
      <w:pPr>
        <w:jc w:val="center"/>
        <w:rPr>
          <w:b/>
        </w:rPr>
      </w:pPr>
      <w:r w:rsidRPr="001351FC">
        <w:rPr>
          <w:b/>
        </w:rPr>
        <w:t>Ministru kabineta noteikumu projekta</w:t>
      </w:r>
    </w:p>
    <w:p w14:paraId="27383188" w14:textId="5052D8AE" w:rsidR="001351FC" w:rsidRDefault="00B650B7" w:rsidP="0015241F">
      <w:pPr>
        <w:jc w:val="center"/>
        <w:rPr>
          <w:b/>
        </w:rPr>
      </w:pPr>
      <w:r w:rsidRPr="009755BE">
        <w:rPr>
          <w:b/>
        </w:rPr>
        <w:t>“</w:t>
      </w:r>
      <w:r w:rsidR="00BB393B" w:rsidRPr="00BB393B">
        <w:rPr>
          <w:b/>
        </w:rPr>
        <w:t>Grozījumi Ministru kabineta 2017. gad</w:t>
      </w:r>
      <w:r w:rsidR="00BB393B">
        <w:rPr>
          <w:b/>
        </w:rPr>
        <w:t>a 6. jūnija noteikumos Nr. 315 “Darbības programmas “Izaugsme un nodarbinātība”</w:t>
      </w:r>
      <w:r w:rsidR="00BB393B" w:rsidRPr="00BB393B">
        <w:rPr>
          <w:b/>
        </w:rPr>
        <w:t xml:space="preserve"> 1.</w:t>
      </w:r>
      <w:r w:rsidR="00BB393B">
        <w:rPr>
          <w:b/>
        </w:rPr>
        <w:t>1.1. specifiskā atbalsta mērķa “</w:t>
      </w:r>
      <w:r w:rsidR="00BB393B" w:rsidRPr="00BB393B">
        <w:rPr>
          <w:b/>
        </w:rPr>
        <w:t>Palielināt Latvijas zinātnisko institūciju pētniecisko un inovatīvo kapacitāti un spēju piesaistīt ārējo finansējumu, ieguldot cilvēk</w:t>
      </w:r>
      <w:r w:rsidR="00BB393B">
        <w:rPr>
          <w:b/>
        </w:rPr>
        <w:t>resursos un infrastruktūrā” 1.1.1.5. pasākuma “</w:t>
      </w:r>
      <w:r w:rsidR="00BB393B" w:rsidRPr="00BB393B">
        <w:rPr>
          <w:b/>
        </w:rPr>
        <w:t>Atbalsts starptautiskās sadarbības proj</w:t>
      </w:r>
      <w:r w:rsidR="00BB393B">
        <w:rPr>
          <w:b/>
        </w:rPr>
        <w:t xml:space="preserve">ektiem pētniecībā un inovācijās” </w:t>
      </w:r>
      <w:r w:rsidR="00BB393B" w:rsidRPr="00BB393B">
        <w:rPr>
          <w:b/>
        </w:rPr>
        <w:t>pirmās, otrās un trešās projektu iesniegumu atlas</w:t>
      </w:r>
      <w:r w:rsidR="00BB393B">
        <w:rPr>
          <w:b/>
        </w:rPr>
        <w:t>es kārtas īstenošanas noteikumi”</w:t>
      </w:r>
      <w:r w:rsidR="0020262C">
        <w:rPr>
          <w:b/>
        </w:rPr>
        <w:t>”</w:t>
      </w:r>
      <w:r w:rsidR="00BB393B">
        <w:rPr>
          <w:b/>
        </w:rPr>
        <w:t xml:space="preserve"> </w:t>
      </w:r>
      <w:r w:rsidR="000952B3" w:rsidRPr="001351FC">
        <w:rPr>
          <w:b/>
        </w:rPr>
        <w:t>sākotnējās ietekmes novērtējuma ziņojums (anotācija)</w:t>
      </w:r>
    </w:p>
    <w:p w14:paraId="4A0644E9" w14:textId="77777777" w:rsidR="00AE1DA4" w:rsidRPr="001351FC" w:rsidRDefault="00AE1DA4" w:rsidP="0015241F">
      <w:pPr>
        <w:jc w:val="center"/>
        <w:rPr>
          <w: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3"/>
        <w:gridCol w:w="5987"/>
      </w:tblGrid>
      <w:tr w:rsidR="00ED6931" w14:paraId="374AF7B2" w14:textId="77777777" w:rsidTr="00DB3879">
        <w:tc>
          <w:tcPr>
            <w:tcW w:w="918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1D0EE19" w14:textId="77777777" w:rsidR="000952B3" w:rsidRPr="001351FC" w:rsidRDefault="00B650B7" w:rsidP="001351FC">
            <w:pPr>
              <w:pStyle w:val="ListParagraph"/>
              <w:tabs>
                <w:tab w:val="left" w:pos="2268"/>
                <w:tab w:val="left" w:pos="2410"/>
              </w:tabs>
              <w:ind w:left="1080"/>
              <w:jc w:val="center"/>
              <w:rPr>
                <w:b/>
                <w:sz w:val="24"/>
                <w:szCs w:val="24"/>
                <w:lang w:eastAsia="en-US"/>
              </w:rPr>
            </w:pPr>
            <w:r w:rsidRPr="001351FC">
              <w:rPr>
                <w:b/>
                <w:bCs/>
                <w:sz w:val="24"/>
                <w:szCs w:val="24"/>
              </w:rPr>
              <w:t>Tiesību akta projekta anotācijas kopsavilkums</w:t>
            </w:r>
          </w:p>
        </w:tc>
      </w:tr>
      <w:tr w:rsidR="00ED6931" w14:paraId="6457A4FB" w14:textId="77777777" w:rsidTr="00DB3879">
        <w:tc>
          <w:tcPr>
            <w:tcW w:w="3193" w:type="dxa"/>
            <w:tcBorders>
              <w:top w:val="single" w:sz="4" w:space="0" w:color="auto"/>
              <w:left w:val="single" w:sz="4" w:space="0" w:color="auto"/>
              <w:bottom w:val="single" w:sz="4" w:space="0" w:color="auto"/>
              <w:right w:val="single" w:sz="4" w:space="0" w:color="auto"/>
            </w:tcBorders>
            <w:shd w:val="clear" w:color="auto" w:fill="auto"/>
          </w:tcPr>
          <w:p w14:paraId="520D2D7F" w14:textId="77777777" w:rsidR="000952B3" w:rsidRPr="001351FC" w:rsidRDefault="00B650B7" w:rsidP="001351FC">
            <w:pPr>
              <w:tabs>
                <w:tab w:val="left" w:pos="1904"/>
              </w:tabs>
              <w:rPr>
                <w:lang w:eastAsia="en-US"/>
              </w:rPr>
            </w:pPr>
            <w:r w:rsidRPr="001351FC">
              <w:t>Mērķis, risinājums u</w:t>
            </w:r>
            <w:r w:rsidR="004210D4" w:rsidRPr="001351FC">
              <w:t>n projekta spēkā stāšanās laiks</w:t>
            </w:r>
          </w:p>
        </w:tc>
        <w:tc>
          <w:tcPr>
            <w:tcW w:w="5987" w:type="dxa"/>
            <w:tcBorders>
              <w:top w:val="single" w:sz="4" w:space="0" w:color="auto"/>
              <w:left w:val="single" w:sz="4" w:space="0" w:color="auto"/>
              <w:bottom w:val="single" w:sz="4" w:space="0" w:color="auto"/>
              <w:right w:val="single" w:sz="4" w:space="0" w:color="auto"/>
            </w:tcBorders>
            <w:shd w:val="clear" w:color="auto" w:fill="auto"/>
            <w:vAlign w:val="center"/>
          </w:tcPr>
          <w:p w14:paraId="44AC2269" w14:textId="6774DF69" w:rsidR="00BB393B" w:rsidRDefault="00C85B2A" w:rsidP="00FE7643">
            <w:pPr>
              <w:jc w:val="both"/>
            </w:pPr>
            <w:r w:rsidRPr="00A16A05">
              <w:rPr>
                <w:bCs/>
              </w:rPr>
              <w:t>M</w:t>
            </w:r>
            <w:r w:rsidRPr="00BB393B">
              <w:t>inis</w:t>
            </w:r>
            <w:r w:rsidR="00786AB4">
              <w:t xml:space="preserve">tru kabineta noteikumu projekts </w:t>
            </w:r>
            <w:r w:rsidR="005C1803">
              <w:t>sagatavots ar mērķi nodrošināt MK noteikumu Nr. 315</w:t>
            </w:r>
            <w:r w:rsidR="005C1803">
              <w:rPr>
                <w:rStyle w:val="FootnoteReference"/>
              </w:rPr>
              <w:footnoteReference w:id="1"/>
            </w:r>
            <w:r w:rsidR="005C1803">
              <w:t xml:space="preserve"> atbilstību </w:t>
            </w:r>
            <w:r w:rsidR="005C1803" w:rsidRPr="005C1803">
              <w:t xml:space="preserve">Eiropas Savienības struktūrfondu </w:t>
            </w:r>
            <w:r w:rsidR="006403D5">
              <w:t>un Kohēzijas fonda 2014.- 2020. </w:t>
            </w:r>
            <w:r w:rsidR="00E67F36">
              <w:t xml:space="preserve">gada plānošanas </w:t>
            </w:r>
            <w:r w:rsidR="005C1803" w:rsidRPr="005C1803">
              <w:t xml:space="preserve">perioda darbības programmā </w:t>
            </w:r>
            <w:r w:rsidR="005C1803" w:rsidRPr="004E0702">
              <w:t>“Izaugsme un nodarbinātība”</w:t>
            </w:r>
            <w:r w:rsidR="005C1803">
              <w:t xml:space="preserve"> noteiktajai 1.1.1.5. pasākuma “</w:t>
            </w:r>
            <w:r w:rsidR="005C1803" w:rsidRPr="00BB393B">
              <w:t>Atbalsts starptautiskās sadarbības projektiem pētniecībā un inovācijās</w:t>
            </w:r>
            <w:r w:rsidR="005C1803">
              <w:t xml:space="preserve">” </w:t>
            </w:r>
            <w:r w:rsidR="005C1803" w:rsidRPr="00BB393B">
              <w:t>(turpmāk</w:t>
            </w:r>
            <w:r w:rsidR="005C1803" w:rsidRPr="00A16A05">
              <w:t xml:space="preserve"> – </w:t>
            </w:r>
            <w:r w:rsidR="005C1803">
              <w:t>1.1.1.5. pasākums) kopējā iznākuma rādītāja vērtībai, atbilstoši Eiropas Komisijas lēmumā apstiprinātajam</w:t>
            </w:r>
            <w:r w:rsidR="00BB393B">
              <w:t>.</w:t>
            </w:r>
          </w:p>
          <w:p w14:paraId="6C67C759" w14:textId="3C79D084" w:rsidR="000952B3" w:rsidRPr="00A16A05" w:rsidRDefault="00A16A05" w:rsidP="00C85B2A">
            <w:pPr>
              <w:jc w:val="both"/>
              <w:rPr>
                <w:rFonts w:eastAsia="Times New Roman"/>
              </w:rPr>
            </w:pPr>
            <w:r>
              <w:t>Paredzēts, ka noteikumu projekts stāsies spēkā Oficiālo publikāciju un tiesiskās informācijas likumā noteiktajā kārtībā</w:t>
            </w:r>
            <w:r>
              <w:rPr>
                <w:lang w:val="x-none"/>
              </w:rPr>
              <w:t>.</w:t>
            </w:r>
          </w:p>
        </w:tc>
      </w:tr>
    </w:tbl>
    <w:p w14:paraId="11611092" w14:textId="1AB0EE30" w:rsidR="000952B3" w:rsidRPr="001351FC" w:rsidRDefault="000952B3" w:rsidP="001351FC"/>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4"/>
        <w:gridCol w:w="2379"/>
        <w:gridCol w:w="5987"/>
      </w:tblGrid>
      <w:tr w:rsidR="00ED6931" w14:paraId="57FE3E7E" w14:textId="77777777" w:rsidTr="00DB3879">
        <w:tc>
          <w:tcPr>
            <w:tcW w:w="91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53C56D48" w14:textId="77777777" w:rsidR="000952B3" w:rsidRPr="001351FC" w:rsidRDefault="00B650B7" w:rsidP="001351FC">
            <w:pPr>
              <w:pStyle w:val="ListParagraph"/>
              <w:tabs>
                <w:tab w:val="left" w:pos="2268"/>
                <w:tab w:val="left" w:pos="2410"/>
              </w:tabs>
              <w:ind w:left="1080"/>
              <w:jc w:val="center"/>
              <w:rPr>
                <w:b/>
                <w:sz w:val="24"/>
                <w:szCs w:val="24"/>
                <w:lang w:eastAsia="en-US"/>
              </w:rPr>
            </w:pPr>
            <w:r w:rsidRPr="001351FC">
              <w:rPr>
                <w:b/>
                <w:bCs/>
                <w:sz w:val="24"/>
                <w:szCs w:val="24"/>
              </w:rPr>
              <w:t>I. Tiesību akta projekta izstrādes nepieciešamība</w:t>
            </w:r>
          </w:p>
        </w:tc>
      </w:tr>
      <w:tr w:rsidR="00ED6931" w14:paraId="64D4EB35" w14:textId="77777777" w:rsidTr="00DB3879">
        <w:tc>
          <w:tcPr>
            <w:tcW w:w="814" w:type="dxa"/>
            <w:tcBorders>
              <w:top w:val="single" w:sz="4" w:space="0" w:color="auto"/>
              <w:left w:val="single" w:sz="4" w:space="0" w:color="auto"/>
              <w:bottom w:val="single" w:sz="4" w:space="0" w:color="auto"/>
              <w:right w:val="single" w:sz="4" w:space="0" w:color="auto"/>
            </w:tcBorders>
            <w:shd w:val="clear" w:color="auto" w:fill="auto"/>
          </w:tcPr>
          <w:p w14:paraId="4FB051B9" w14:textId="77777777" w:rsidR="000952B3" w:rsidRPr="001351FC" w:rsidRDefault="00B650B7" w:rsidP="001351FC">
            <w:pPr>
              <w:jc w:val="center"/>
              <w:rPr>
                <w:lang w:eastAsia="en-US"/>
              </w:rPr>
            </w:pPr>
            <w:r w:rsidRPr="001351FC">
              <w:t>1.</w:t>
            </w:r>
          </w:p>
        </w:tc>
        <w:tc>
          <w:tcPr>
            <w:tcW w:w="2379" w:type="dxa"/>
            <w:tcBorders>
              <w:top w:val="single" w:sz="4" w:space="0" w:color="auto"/>
              <w:left w:val="single" w:sz="4" w:space="0" w:color="auto"/>
              <w:bottom w:val="single" w:sz="4" w:space="0" w:color="auto"/>
              <w:right w:val="single" w:sz="4" w:space="0" w:color="auto"/>
            </w:tcBorders>
            <w:shd w:val="clear" w:color="auto" w:fill="auto"/>
          </w:tcPr>
          <w:p w14:paraId="3A3BF9E7" w14:textId="77777777" w:rsidR="000952B3" w:rsidRPr="001351FC" w:rsidRDefault="00B650B7" w:rsidP="001351FC">
            <w:pPr>
              <w:tabs>
                <w:tab w:val="left" w:pos="1904"/>
              </w:tabs>
              <w:rPr>
                <w:lang w:eastAsia="en-US"/>
              </w:rPr>
            </w:pPr>
            <w:r w:rsidRPr="001351FC">
              <w:t>Pamatojums</w:t>
            </w:r>
          </w:p>
        </w:tc>
        <w:tc>
          <w:tcPr>
            <w:tcW w:w="5987" w:type="dxa"/>
            <w:tcBorders>
              <w:top w:val="single" w:sz="4" w:space="0" w:color="auto"/>
              <w:left w:val="single" w:sz="4" w:space="0" w:color="auto"/>
              <w:bottom w:val="single" w:sz="4" w:space="0" w:color="auto"/>
              <w:right w:val="single" w:sz="4" w:space="0" w:color="auto"/>
            </w:tcBorders>
            <w:shd w:val="clear" w:color="auto" w:fill="auto"/>
            <w:vAlign w:val="center"/>
          </w:tcPr>
          <w:p w14:paraId="4D5F8743" w14:textId="079014EC" w:rsidR="005C1803" w:rsidRPr="00E16B77" w:rsidRDefault="00786AB4" w:rsidP="00786AB4">
            <w:pPr>
              <w:jc w:val="both"/>
              <w:rPr>
                <w:rFonts w:eastAsia="Times New Roman"/>
              </w:rPr>
            </w:pPr>
            <w:r w:rsidRPr="00A16A05">
              <w:rPr>
                <w:bCs/>
              </w:rPr>
              <w:t>M</w:t>
            </w:r>
            <w:r w:rsidRPr="00BB393B">
              <w:t>inis</w:t>
            </w:r>
            <w:r>
              <w:t>tru kabineta n</w:t>
            </w:r>
            <w:r w:rsidRPr="004E0702">
              <w:t xml:space="preserve">oteikumu projekts </w:t>
            </w:r>
            <w:r w:rsidRPr="00BB393B">
              <w:t>“Grozījumi Ministru kabineta 2017. gada 6. jūnija noteikumos Nr. 315 “Darbības programmas “Izaugsme un nodarbinātība” 1.1.1. specifiskā atbalsta mērķa “Palielināt Latvijas zinātnisko institūciju pētniecisko un inovatīvo kapacitāti un spēju piesaistīt ārējo finansējumu, ieguldot cilvēkresursos un infrastruktūrā” 1.1.1.5. pasākuma “Atbalsts starptautiskās sadarbības projektiem pētniecībā un inovācijās” pirmās, otrās un trešās projektu iesniegumu atlases kārtas īstenošanas noteikumi”” (turpmāk</w:t>
            </w:r>
            <w:r w:rsidRPr="00A16A05">
              <w:t xml:space="preserve"> – noteikumu projekts)</w:t>
            </w:r>
            <w:r>
              <w:t xml:space="preserve"> izstrādāts pēc Izglītības un zinātnes ministrijas </w:t>
            </w:r>
            <w:r>
              <w:rPr>
                <w:rFonts w:eastAsia="Times New Roman"/>
              </w:rPr>
              <w:t xml:space="preserve">(turpmāk – IZM) </w:t>
            </w:r>
            <w:r>
              <w:t>iniciatīvas, ievērojot</w:t>
            </w:r>
            <w:r>
              <w:rPr>
                <w:rFonts w:eastAsia="Times New Roman"/>
              </w:rPr>
              <w:t xml:space="preserve"> </w:t>
            </w:r>
            <w:r w:rsidR="00E67F36" w:rsidRPr="005C1803">
              <w:t>Eiropas Savienības struktūrfondu un Kohēzijas fonda 2014.- 2020. gada plānošanas perioda </w:t>
            </w:r>
            <w:r w:rsidR="00E67F36" w:rsidRPr="00044C80">
              <w:rPr>
                <w:rFonts w:eastAsia="Times New Roman"/>
              </w:rPr>
              <w:t xml:space="preserve"> </w:t>
            </w:r>
            <w:r w:rsidRPr="00044C80">
              <w:rPr>
                <w:rFonts w:eastAsia="Times New Roman"/>
              </w:rPr>
              <w:t>darbības programmā “Izaugsme un nodarbinātība”</w:t>
            </w:r>
            <w:r>
              <w:rPr>
                <w:rFonts w:eastAsia="Times New Roman"/>
              </w:rPr>
              <w:t xml:space="preserve"> veiktos grozījumus</w:t>
            </w:r>
            <w:r w:rsidR="00B650B7" w:rsidRPr="001351FC">
              <w:rPr>
                <w:rFonts w:eastAsia="Times New Roman"/>
              </w:rPr>
              <w:t>.</w:t>
            </w:r>
            <w:r w:rsidR="005C1803">
              <w:t xml:space="preserve">  </w:t>
            </w:r>
          </w:p>
        </w:tc>
      </w:tr>
      <w:tr w:rsidR="00ED6931" w14:paraId="0CFF28F5" w14:textId="77777777" w:rsidTr="00DB3879">
        <w:tc>
          <w:tcPr>
            <w:tcW w:w="814" w:type="dxa"/>
            <w:tcBorders>
              <w:top w:val="single" w:sz="4" w:space="0" w:color="auto"/>
              <w:left w:val="single" w:sz="4" w:space="0" w:color="auto"/>
              <w:bottom w:val="single" w:sz="4" w:space="0" w:color="auto"/>
              <w:right w:val="single" w:sz="4" w:space="0" w:color="auto"/>
            </w:tcBorders>
            <w:shd w:val="clear" w:color="auto" w:fill="auto"/>
          </w:tcPr>
          <w:p w14:paraId="5750303C" w14:textId="77777777" w:rsidR="00055596" w:rsidRPr="001351FC" w:rsidRDefault="00B650B7" w:rsidP="001351FC">
            <w:pPr>
              <w:jc w:val="center"/>
              <w:rPr>
                <w:lang w:eastAsia="en-US"/>
              </w:rPr>
            </w:pPr>
            <w:r w:rsidRPr="001351FC">
              <w:t>2.</w:t>
            </w:r>
          </w:p>
        </w:tc>
        <w:tc>
          <w:tcPr>
            <w:tcW w:w="2379" w:type="dxa"/>
            <w:tcBorders>
              <w:top w:val="single" w:sz="4" w:space="0" w:color="auto"/>
              <w:left w:val="single" w:sz="4" w:space="0" w:color="auto"/>
              <w:bottom w:val="single" w:sz="4" w:space="0" w:color="auto"/>
              <w:right w:val="single" w:sz="4" w:space="0" w:color="auto"/>
            </w:tcBorders>
            <w:shd w:val="clear" w:color="auto" w:fill="auto"/>
          </w:tcPr>
          <w:p w14:paraId="3A5761C9" w14:textId="77777777" w:rsidR="00055596" w:rsidRPr="001351FC" w:rsidRDefault="00B650B7" w:rsidP="001351FC">
            <w:pPr>
              <w:jc w:val="both"/>
              <w:rPr>
                <w:lang w:eastAsia="en-US"/>
              </w:rPr>
            </w:pPr>
            <w:r w:rsidRPr="001351FC">
              <w:t xml:space="preserve">Pašreizējā situācija un problēmas, kuru risināšanai tiesību akta projekts izstrādāts, tiesiskā regulējuma mērķis un būtība </w:t>
            </w:r>
          </w:p>
        </w:tc>
        <w:tc>
          <w:tcPr>
            <w:tcW w:w="5987" w:type="dxa"/>
            <w:tcBorders>
              <w:top w:val="single" w:sz="4" w:space="0" w:color="auto"/>
              <w:left w:val="single" w:sz="4" w:space="0" w:color="auto"/>
              <w:bottom w:val="single" w:sz="4" w:space="0" w:color="auto"/>
              <w:right w:val="single" w:sz="4" w:space="0" w:color="auto"/>
            </w:tcBorders>
            <w:shd w:val="clear" w:color="auto" w:fill="auto"/>
          </w:tcPr>
          <w:p w14:paraId="7EE43DD9" w14:textId="13A8217D" w:rsidR="004048C7" w:rsidRPr="003F0DD3" w:rsidRDefault="004048C7" w:rsidP="001A7223">
            <w:pPr>
              <w:jc w:val="both"/>
            </w:pPr>
            <w:r>
              <w:t>N</w:t>
            </w:r>
            <w:r w:rsidR="00786AB4">
              <w:t xml:space="preserve">oteikumu projekts </w:t>
            </w:r>
            <w:r w:rsidRPr="004E0702">
              <w:t xml:space="preserve">paredz precizēt </w:t>
            </w:r>
            <w:r w:rsidR="00000B7A">
              <w:t xml:space="preserve">MK noteikumu Nr. 315 </w:t>
            </w:r>
            <w:r w:rsidR="005B11A3">
              <w:t xml:space="preserve">redakciju </w:t>
            </w:r>
            <w:r w:rsidR="003F0DD3">
              <w:t xml:space="preserve">un </w:t>
            </w:r>
            <w:r>
              <w:rPr>
                <w:b/>
              </w:rPr>
              <w:t>samazināt</w:t>
            </w:r>
            <w:r w:rsidR="006E755A">
              <w:rPr>
                <w:b/>
              </w:rPr>
              <w:t xml:space="preserve"> līdz 31.12.2018. sasniedzamā</w:t>
            </w:r>
            <w:r w:rsidRPr="004E0702">
              <w:rPr>
                <w:b/>
              </w:rPr>
              <w:t xml:space="preserve"> starpposma </w:t>
            </w:r>
            <w:r>
              <w:rPr>
                <w:b/>
              </w:rPr>
              <w:t>iznākuma rādītāja</w:t>
            </w:r>
            <w:r w:rsidR="006E755A">
              <w:rPr>
                <w:b/>
              </w:rPr>
              <w:t xml:space="preserve"> un līdz 31.12.2023. sasniedzamā iznākuma rādītāja</w:t>
            </w:r>
            <w:r>
              <w:rPr>
                <w:b/>
              </w:rPr>
              <w:t xml:space="preserve"> vērtību.</w:t>
            </w:r>
          </w:p>
          <w:p w14:paraId="6062B3AE" w14:textId="499BBE2E" w:rsidR="00EE1431" w:rsidRPr="00782C36" w:rsidRDefault="00523237" w:rsidP="001A7223">
            <w:pPr>
              <w:jc w:val="both"/>
              <w:rPr>
                <w:rFonts w:eastAsia="Times New Roman"/>
              </w:rPr>
            </w:pPr>
            <w:r>
              <w:rPr>
                <w:rFonts w:eastAsia="Times New Roman"/>
              </w:rPr>
              <w:t xml:space="preserve">2017. gada februārī </w:t>
            </w:r>
            <w:r w:rsidR="00786AB4">
              <w:rPr>
                <w:rFonts w:eastAsia="Times New Roman"/>
              </w:rPr>
              <w:t xml:space="preserve">IZM </w:t>
            </w:r>
            <w:r w:rsidR="00AD1252">
              <w:rPr>
                <w:rFonts w:eastAsia="Times New Roman"/>
              </w:rPr>
              <w:t xml:space="preserve">rosināja </w:t>
            </w:r>
            <w:r w:rsidR="00AD1252" w:rsidRPr="00044C80">
              <w:rPr>
                <w:rFonts w:eastAsia="Times New Roman"/>
              </w:rPr>
              <w:t xml:space="preserve">grozījumus </w:t>
            </w:r>
            <w:r w:rsidR="006403D5" w:rsidRPr="005C1803">
              <w:t>Eiropas Savienības struktūrfondu un Kohēzijas fonda 2014.- 2020. gada plānošanas perioda </w:t>
            </w:r>
            <w:r w:rsidR="006403D5" w:rsidRPr="00044C80">
              <w:rPr>
                <w:rFonts w:eastAsia="Times New Roman"/>
              </w:rPr>
              <w:t xml:space="preserve"> </w:t>
            </w:r>
            <w:r w:rsidR="00AD1252" w:rsidRPr="00044C80">
              <w:rPr>
                <w:rFonts w:eastAsia="Times New Roman"/>
              </w:rPr>
              <w:t>darbības programmā “Izaugsme un nodarbinātība”</w:t>
            </w:r>
            <w:r>
              <w:rPr>
                <w:rFonts w:eastAsia="Times New Roman"/>
              </w:rPr>
              <w:t xml:space="preserve">, kas </w:t>
            </w:r>
            <w:r w:rsidR="00FC052C">
              <w:rPr>
                <w:rFonts w:eastAsia="Times New Roman"/>
              </w:rPr>
              <w:t xml:space="preserve">tostarp </w:t>
            </w:r>
            <w:r>
              <w:rPr>
                <w:rFonts w:eastAsia="Times New Roman"/>
              </w:rPr>
              <w:t xml:space="preserve">paredzēja </w:t>
            </w:r>
            <w:r w:rsidRPr="00523237">
              <w:rPr>
                <w:rFonts w:eastAsia="Times New Roman"/>
              </w:rPr>
              <w:t xml:space="preserve">iznākuma rādītāja “virs </w:t>
            </w:r>
            <w:r w:rsidRPr="00523237">
              <w:rPr>
                <w:rFonts w:eastAsia="Times New Roman"/>
              </w:rPr>
              <w:lastRenderedPageBreak/>
              <w:t xml:space="preserve">kvalitātes sliekšņa novērtēto un ERAF atbalstīto </w:t>
            </w:r>
            <w:proofErr w:type="spellStart"/>
            <w:r w:rsidRPr="00523237">
              <w:rPr>
                <w:rFonts w:eastAsia="Times New Roman"/>
              </w:rPr>
              <w:t>Horizon</w:t>
            </w:r>
            <w:proofErr w:type="spellEnd"/>
            <w:r w:rsidRPr="00523237">
              <w:rPr>
                <w:rFonts w:eastAsia="Times New Roman"/>
              </w:rPr>
              <w:t xml:space="preserve"> 2020 projektu pieteikumu skaits, t.sk. </w:t>
            </w:r>
            <w:proofErr w:type="spellStart"/>
            <w:r w:rsidRPr="00523237">
              <w:rPr>
                <w:rFonts w:eastAsia="Times New Roman"/>
                <w:i/>
              </w:rPr>
              <w:t>BalticBonus</w:t>
            </w:r>
            <w:proofErr w:type="spellEnd"/>
            <w:r w:rsidRPr="00523237">
              <w:rPr>
                <w:rFonts w:eastAsia="Times New Roman"/>
              </w:rPr>
              <w:t xml:space="preserve"> iniciatīvas ietvaros”</w:t>
            </w:r>
            <w:bookmarkStart w:id="0" w:name="_GoBack"/>
            <w:r w:rsidRPr="00523237">
              <w:rPr>
                <w:rFonts w:eastAsia="Times New Roman"/>
              </w:rPr>
              <w:t xml:space="preserve"> (i.1.1.1.d) vērtības samazinājumu</w:t>
            </w:r>
            <w:r w:rsidR="006403D5">
              <w:rPr>
                <w:rFonts w:eastAsia="Times New Roman"/>
              </w:rPr>
              <w:t xml:space="preserve"> 2023. </w:t>
            </w:r>
            <w:r>
              <w:rPr>
                <w:rFonts w:eastAsia="Times New Roman"/>
              </w:rPr>
              <w:t>gadā</w:t>
            </w:r>
            <w:r w:rsidRPr="00523237">
              <w:rPr>
                <w:rFonts w:eastAsia="Times New Roman"/>
              </w:rPr>
              <w:t xml:space="preserve">, pamatojoties </w:t>
            </w:r>
            <w:bookmarkEnd w:id="0"/>
            <w:r w:rsidRPr="00523237">
              <w:rPr>
                <w:rFonts w:eastAsia="Times New Roman"/>
              </w:rPr>
              <w:t xml:space="preserve">uz Komisijas Īstenošanas Regulas (ES) Nr. 215/2014 5. panta 6. punktā un Eiropas Parlamenta un Padomes Regulas (ES) Nr. 1303/2013 </w:t>
            </w:r>
            <w:r w:rsidR="006403D5">
              <w:rPr>
                <w:rFonts w:eastAsia="Times New Roman"/>
              </w:rPr>
              <w:t>II pielikuma 5. </w:t>
            </w:r>
            <w:r w:rsidR="00782C36">
              <w:rPr>
                <w:rFonts w:eastAsia="Times New Roman"/>
              </w:rPr>
              <w:t xml:space="preserve">punktā noteikto </w:t>
            </w:r>
            <w:r w:rsidR="00782C36" w:rsidRPr="00782C36">
              <w:rPr>
                <w:rFonts w:eastAsia="Times New Roman"/>
              </w:rPr>
              <w:t>attiecībā par nepareiziem pieņēmumiem un sociālekonomisko situāciju nozarē</w:t>
            </w:r>
            <w:r w:rsidR="00782C36">
              <w:rPr>
                <w:rFonts w:eastAsia="Times New Roman"/>
              </w:rPr>
              <w:t>, kā rezultātā plānotā vērtība tika</w:t>
            </w:r>
            <w:r w:rsidR="00782C36" w:rsidRPr="00782C36">
              <w:rPr>
                <w:rFonts w:eastAsia="Times New Roman"/>
              </w:rPr>
              <w:t xml:space="preserve"> noteikta pārāk augsta.</w:t>
            </w:r>
          </w:p>
          <w:p w14:paraId="122F6AF2" w14:textId="4B0AFC0A" w:rsidR="00782C36" w:rsidRPr="00782C36" w:rsidRDefault="003E05A2" w:rsidP="00782C36">
            <w:pPr>
              <w:jc w:val="both"/>
              <w:rPr>
                <w:rFonts w:eastAsia="Times New Roman"/>
              </w:rPr>
            </w:pPr>
            <w:r>
              <w:rPr>
                <w:rFonts w:eastAsia="Times New Roman"/>
              </w:rPr>
              <w:t>S</w:t>
            </w:r>
            <w:r w:rsidR="00782C36" w:rsidRPr="00782C36">
              <w:rPr>
                <w:rFonts w:eastAsia="Times New Roman"/>
              </w:rPr>
              <w:t xml:space="preserve">ociālekonomisko apstākļu rezultātā </w:t>
            </w:r>
            <w:r>
              <w:rPr>
                <w:rFonts w:eastAsia="Times New Roman"/>
              </w:rPr>
              <w:t xml:space="preserve">ir </w:t>
            </w:r>
            <w:r w:rsidR="00782C36" w:rsidRPr="00782C36">
              <w:rPr>
                <w:rFonts w:eastAsia="Times New Roman"/>
              </w:rPr>
              <w:t>mainījušies iznākuma rādītāja sasniegšanu ietekmējošie faktori, tādi kā pieņēmums par zinātnes jomai plānotā valsts budžeta finansējuma apmēra pieaugumu un ar to saistīto zinātniskajās institūcijās nodarbinātā zinātniskā personāla skaitu attiecīgajā laika periodā.</w:t>
            </w:r>
          </w:p>
          <w:p w14:paraId="1FB55B5F" w14:textId="44AF4EBF" w:rsidR="00782C36" w:rsidRPr="00782C36" w:rsidRDefault="00782C36" w:rsidP="00782C36">
            <w:pPr>
              <w:jc w:val="both"/>
              <w:rPr>
                <w:rFonts w:eastAsia="Times New Roman"/>
              </w:rPr>
            </w:pPr>
            <w:r w:rsidRPr="00782C36">
              <w:rPr>
                <w:rFonts w:eastAsia="Times New Roman"/>
              </w:rPr>
              <w:t xml:space="preserve">Ņemot vērā iepriekš minētos faktorus, kā arī diskusijas ar nozari pārstāvošajām zinātniskajām un augstākās izglītības institūcijām, izstrādājot 1.1.1.5. pasākuma sākotnējo novērtējumu un </w:t>
            </w:r>
            <w:r w:rsidR="009B7421">
              <w:rPr>
                <w:rFonts w:eastAsia="Times New Roman"/>
              </w:rPr>
              <w:t>investīciju ieviešanas</w:t>
            </w:r>
            <w:r w:rsidR="009B7421" w:rsidRPr="00782C36">
              <w:rPr>
                <w:rFonts w:eastAsia="Times New Roman"/>
              </w:rPr>
              <w:t xml:space="preserve"> </w:t>
            </w:r>
            <w:r w:rsidRPr="00782C36">
              <w:rPr>
                <w:rFonts w:eastAsia="Times New Roman"/>
              </w:rPr>
              <w:t xml:space="preserve">nosacījumus,  </w:t>
            </w:r>
            <w:r w:rsidR="003E05A2">
              <w:rPr>
                <w:rFonts w:eastAsia="Times New Roman"/>
              </w:rPr>
              <w:t xml:space="preserve">tika </w:t>
            </w:r>
            <w:r w:rsidRPr="00782C36">
              <w:rPr>
                <w:rFonts w:eastAsia="Times New Roman"/>
              </w:rPr>
              <w:t xml:space="preserve">nonākts pie secinājuma, ka plānotā iznākuma rādītāja i.1.1.1.d vērtība noteikta nesamērīgi augsta. </w:t>
            </w:r>
            <w:r w:rsidR="003E05A2">
              <w:rPr>
                <w:rFonts w:eastAsia="Times New Roman"/>
              </w:rPr>
              <w:t>i.1.1.1.d vērtība rosināja</w:t>
            </w:r>
            <w:r w:rsidRPr="00782C36">
              <w:rPr>
                <w:rFonts w:eastAsia="Times New Roman"/>
              </w:rPr>
              <w:t xml:space="preserve"> zinātniskās institūcijas izstrādāt kvantitatīvi daudz, finansiāli nelielus un cilvēkresursu kapacitātes ziņā mazietilpīgus projektu iesniegumus </w:t>
            </w:r>
            <w:r w:rsidR="009B7421">
              <w:rPr>
                <w:rFonts w:eastAsia="Times New Roman"/>
              </w:rPr>
              <w:t xml:space="preserve">Eiropas Savienības Pētniecības un inovācijas pamatprogrammas </w:t>
            </w:r>
            <w:r w:rsidR="003E05A2">
              <w:rPr>
                <w:rFonts w:eastAsia="Times New Roman"/>
              </w:rPr>
              <w:t>“</w:t>
            </w:r>
            <w:r w:rsidRPr="00782C36">
              <w:rPr>
                <w:rFonts w:eastAsia="Times New Roman"/>
              </w:rPr>
              <w:t>Apvārsnis 2020</w:t>
            </w:r>
            <w:r w:rsidR="003E05A2">
              <w:rPr>
                <w:rFonts w:eastAsia="Times New Roman"/>
              </w:rPr>
              <w:t>”</w:t>
            </w:r>
            <w:r w:rsidRPr="00782C36">
              <w:rPr>
                <w:rFonts w:eastAsia="Times New Roman"/>
              </w:rPr>
              <w:t xml:space="preserve"> </w:t>
            </w:r>
            <w:r w:rsidR="009B7421">
              <w:rPr>
                <w:rFonts w:eastAsia="Times New Roman"/>
              </w:rPr>
              <w:t xml:space="preserve">(turpmāk – programma “Apvārsnis 2020”) </w:t>
            </w:r>
            <w:r w:rsidRPr="00782C36">
              <w:rPr>
                <w:rFonts w:eastAsia="Times New Roman"/>
              </w:rPr>
              <w:t xml:space="preserve">apakšprogrammās, kas zinātniskajām institūcijām atbilstoši to specializācijai ne vienmēr var būt stratēģiski nozīmīgi un nepieciešami. Turpretī zinātnes, tehnoloģiju attīstības un inovāciju politikas mērķis ir motivēt izstrādāt starptautiska mēroga zinātniski nozīmīgus projektu iesniegumus, kas parasti ir finansiāli un cilvēkresursu ziņā ietilpīgi. Šādi projekti sekmē attiecīgās institūcijas specializācijas jomas vai pētniecības virziena attīstību, starptautisko atpazīstamību un plašu attiecīgo zinātnes jomu vai nozari pārstāvošo sadarbības tīklu veidošanos un turpmāku sadarbību nākamo </w:t>
            </w:r>
            <w:r w:rsidR="009B7421">
              <w:rPr>
                <w:rFonts w:eastAsia="Times New Roman"/>
              </w:rPr>
              <w:t xml:space="preserve">programmas </w:t>
            </w:r>
            <w:r w:rsidR="003E05A2">
              <w:rPr>
                <w:rFonts w:eastAsia="Times New Roman"/>
              </w:rPr>
              <w:t>“</w:t>
            </w:r>
            <w:r w:rsidRPr="00782C36">
              <w:rPr>
                <w:rFonts w:eastAsia="Times New Roman"/>
              </w:rPr>
              <w:t>Apvārsnis 2020</w:t>
            </w:r>
            <w:r w:rsidR="003E05A2">
              <w:rPr>
                <w:rFonts w:eastAsia="Times New Roman"/>
              </w:rPr>
              <w:t xml:space="preserve">” </w:t>
            </w:r>
            <w:r w:rsidRPr="00782C36">
              <w:rPr>
                <w:rFonts w:eastAsia="Times New Roman"/>
              </w:rPr>
              <w:t xml:space="preserve">apakšprogrammu projektu iesniegumu vai citu finanšu instrumentu ietvaros. </w:t>
            </w:r>
          </w:p>
          <w:p w14:paraId="0B7F17F1" w14:textId="77EC8A74" w:rsidR="00782C36" w:rsidRPr="00782C36" w:rsidRDefault="00782C36" w:rsidP="00782C36">
            <w:pPr>
              <w:jc w:val="both"/>
              <w:rPr>
                <w:rFonts w:eastAsia="Times New Roman"/>
              </w:rPr>
            </w:pPr>
            <w:r w:rsidRPr="00782C36">
              <w:rPr>
                <w:rFonts w:eastAsia="Times New Roman"/>
              </w:rPr>
              <w:t xml:space="preserve">Lai valsts zinātniskās institūcijas un augstskolas nodrošinātu zinātniski nozīmīgu, finansiāli un cilvēkresursu ziņā ietilpīgu projektu iesniegumu iesniegšanu un to īstenošanu </w:t>
            </w:r>
            <w:r w:rsidR="009B7421">
              <w:rPr>
                <w:rFonts w:eastAsia="Times New Roman"/>
              </w:rPr>
              <w:t xml:space="preserve">programmas </w:t>
            </w:r>
            <w:r w:rsidR="003E05A2">
              <w:rPr>
                <w:rFonts w:eastAsia="Times New Roman"/>
              </w:rPr>
              <w:t>“</w:t>
            </w:r>
            <w:r w:rsidRPr="00782C36">
              <w:rPr>
                <w:rFonts w:eastAsia="Times New Roman"/>
              </w:rPr>
              <w:t>Apvārsnis 2020</w:t>
            </w:r>
            <w:r w:rsidR="003E05A2">
              <w:rPr>
                <w:rFonts w:eastAsia="Times New Roman"/>
              </w:rPr>
              <w:t>”</w:t>
            </w:r>
            <w:r w:rsidRPr="00782C36">
              <w:rPr>
                <w:rFonts w:eastAsia="Times New Roman"/>
              </w:rPr>
              <w:t xml:space="preserve"> ietvaros, nepieciešama atbilstoša cilvēkresursu kapacitāte. </w:t>
            </w:r>
          </w:p>
          <w:p w14:paraId="25C63685" w14:textId="40F16899" w:rsidR="00782C36" w:rsidRPr="00782C36" w:rsidRDefault="00782C36" w:rsidP="00782C36">
            <w:pPr>
              <w:jc w:val="both"/>
              <w:rPr>
                <w:rFonts w:eastAsia="Times New Roman"/>
              </w:rPr>
            </w:pPr>
            <w:r w:rsidRPr="00782C36">
              <w:rPr>
                <w:rFonts w:eastAsia="Times New Roman"/>
              </w:rPr>
              <w:t xml:space="preserve">Plānotais valsts budžeta finansējuma apmērs zinātniskās darbības nodrošināšanai ietekmē tai skaitā valsts zinātniskās institūcijās un augstskolās, kas saņem zinātnes bāzes finansējumu, nodarbinātā zinātniskā personāla (vadošie pētnieki, pētnieki un zinātniskie asistenti) skaitu </w:t>
            </w:r>
            <w:r w:rsidR="009B7421">
              <w:rPr>
                <w:rFonts w:eastAsia="Times New Roman"/>
              </w:rPr>
              <w:t>pilna</w:t>
            </w:r>
            <w:r w:rsidR="00CE5D85">
              <w:rPr>
                <w:rFonts w:eastAsia="Times New Roman"/>
              </w:rPr>
              <w:t xml:space="preserve"> darba </w:t>
            </w:r>
            <w:r w:rsidR="009B7421">
              <w:rPr>
                <w:rFonts w:eastAsia="Times New Roman"/>
              </w:rPr>
              <w:t xml:space="preserve">laika ekvivalenta (turpmāk – </w:t>
            </w:r>
            <w:r w:rsidRPr="00782C36">
              <w:rPr>
                <w:rFonts w:eastAsia="Times New Roman"/>
              </w:rPr>
              <w:t>PLE</w:t>
            </w:r>
            <w:r w:rsidR="009B7421">
              <w:rPr>
                <w:rFonts w:eastAsia="Times New Roman"/>
              </w:rPr>
              <w:t>)</w:t>
            </w:r>
            <w:r w:rsidRPr="00782C36">
              <w:rPr>
                <w:rFonts w:eastAsia="Times New Roman"/>
              </w:rPr>
              <w:t xml:space="preserve"> izteiksmē. </w:t>
            </w:r>
          </w:p>
          <w:p w14:paraId="4026481C" w14:textId="4D2D986B" w:rsidR="00782C36" w:rsidRDefault="00782C36" w:rsidP="00782C36">
            <w:pPr>
              <w:jc w:val="both"/>
              <w:rPr>
                <w:color w:val="000000"/>
              </w:rPr>
            </w:pPr>
            <w:r w:rsidRPr="00782C36">
              <w:rPr>
                <w:rFonts w:eastAsia="Times New Roman"/>
              </w:rPr>
              <w:t xml:space="preserve">Sākotnēji darbības programmas “Izaugsme un nodarbinātība” sagatavošanas laikā IZM pieņēma, ka valsts budžeta izdevumi zinātnei pakāpeniski ik gadu pieaugs, tai </w:t>
            </w:r>
            <w:r w:rsidRPr="00782C36">
              <w:rPr>
                <w:rFonts w:eastAsia="Times New Roman"/>
              </w:rPr>
              <w:lastRenderedPageBreak/>
              <w:t>skaitā ļaujot ievērojami palielināt zinātniskās institūcijās nodarbinātā zinātniskā personāla skaitu PLE izteiksmē</w:t>
            </w:r>
            <w:r w:rsidRPr="003E05A2">
              <w:rPr>
                <w:rFonts w:eastAsia="Times New Roman"/>
                <w:vertAlign w:val="superscript"/>
              </w:rPr>
              <w:footnoteReference w:id="2"/>
            </w:r>
            <w:r w:rsidRPr="003E05A2">
              <w:rPr>
                <w:rFonts w:eastAsia="Times New Roman"/>
              </w:rPr>
              <w:t>.</w:t>
            </w:r>
            <w:r w:rsidRPr="00782C36">
              <w:rPr>
                <w:rFonts w:eastAsia="Times New Roman"/>
              </w:rPr>
              <w:t xml:space="preserve"> Tomēr, ņemot vērā esošo politisko un ekonomisko situāciju pasaulē, Eiropas Savienībā un Latvijā, šobrīd netiek paredzēts valsts budžeta finansējuma pieaugums zinātnei tādā apjomā, kādā tas 2014. gadā</w:t>
            </w:r>
            <w:r w:rsidR="007F7448">
              <w:rPr>
                <w:rStyle w:val="FootnoteReference"/>
                <w:rFonts w:eastAsia="Times New Roman"/>
              </w:rPr>
              <w:footnoteReference w:id="3"/>
            </w:r>
            <w:r w:rsidRPr="00782C36">
              <w:rPr>
                <w:rFonts w:eastAsia="Times New Roman"/>
              </w:rPr>
              <w:t xml:space="preserve"> tika plānots. Saskaņā ar likumu “Par vidēja termiņa budžeta ietvaru 201</w:t>
            </w:r>
            <w:r w:rsidR="001D45E6">
              <w:rPr>
                <w:rFonts w:eastAsia="Times New Roman"/>
              </w:rPr>
              <w:t>8., 2019. un 2020</w:t>
            </w:r>
            <w:r w:rsidRPr="00782C36">
              <w:rPr>
                <w:rFonts w:eastAsia="Times New Roman"/>
              </w:rPr>
              <w:t>. gadam”</w:t>
            </w:r>
            <w:r w:rsidR="00286420">
              <w:rPr>
                <w:rStyle w:val="FootnoteReference"/>
                <w:rFonts w:eastAsia="Times New Roman"/>
              </w:rPr>
              <w:footnoteReference w:id="4"/>
            </w:r>
            <w:r w:rsidR="009B7421">
              <w:rPr>
                <w:rFonts w:eastAsia="Times New Roman"/>
              </w:rPr>
              <w:t xml:space="preserve"> paredzams, ka</w:t>
            </w:r>
            <w:r w:rsidRPr="00782C36">
              <w:rPr>
                <w:rFonts w:eastAsia="Times New Roman"/>
              </w:rPr>
              <w:t xml:space="preserve"> valsts pamatbudžeta izdevumu apjoms zinātnei </w:t>
            </w:r>
            <w:r w:rsidR="0082224C">
              <w:rPr>
                <w:rFonts w:eastAsia="Times New Roman"/>
              </w:rPr>
              <w:t xml:space="preserve">saglabāsies </w:t>
            </w:r>
            <w:r w:rsidR="009B7421">
              <w:rPr>
                <w:rFonts w:eastAsia="Times New Roman"/>
              </w:rPr>
              <w:t xml:space="preserve">gandrīz </w:t>
            </w:r>
            <w:r w:rsidR="0082224C">
              <w:rPr>
                <w:rFonts w:eastAsia="Times New Roman"/>
              </w:rPr>
              <w:t>nemainīgā līmenī,</w:t>
            </w:r>
            <w:r w:rsidRPr="00782C36">
              <w:rPr>
                <w:rFonts w:eastAsia="Times New Roman"/>
              </w:rPr>
              <w:t xml:space="preserve"> t.i. 2017. gadā  </w:t>
            </w:r>
            <w:r w:rsidRPr="00E16B77">
              <w:rPr>
                <w:rFonts w:eastAsia="Times New Roman"/>
              </w:rPr>
              <w:t xml:space="preserve">tie bija </w:t>
            </w:r>
            <w:r w:rsidR="00994359" w:rsidRPr="00E16B77">
              <w:rPr>
                <w:rFonts w:eastAsia="Times New Roman"/>
              </w:rPr>
              <w:t>41,55</w:t>
            </w:r>
            <w:r w:rsidRPr="00E16B77">
              <w:rPr>
                <w:rFonts w:eastAsia="Times New Roman"/>
              </w:rPr>
              <w:t xml:space="preserve"> </w:t>
            </w:r>
            <w:proofErr w:type="spellStart"/>
            <w:r w:rsidRPr="00E16B77">
              <w:rPr>
                <w:rFonts w:eastAsia="Times New Roman"/>
              </w:rPr>
              <w:t>milj.</w:t>
            </w:r>
            <w:r w:rsidRPr="00251A42">
              <w:rPr>
                <w:rFonts w:eastAsia="Times New Roman"/>
                <w:i/>
              </w:rPr>
              <w:t>euro</w:t>
            </w:r>
            <w:proofErr w:type="spellEnd"/>
            <w:r w:rsidRPr="00E16B77">
              <w:rPr>
                <w:rFonts w:eastAsia="Times New Roman"/>
              </w:rPr>
              <w:t xml:space="preserve">, 2018. gadā </w:t>
            </w:r>
            <w:r w:rsidR="00994359" w:rsidRPr="00E16B77">
              <w:rPr>
                <w:rFonts w:eastAsia="Times New Roman"/>
              </w:rPr>
              <w:t>43,88</w:t>
            </w:r>
            <w:r w:rsidRPr="00E16B77">
              <w:rPr>
                <w:rFonts w:eastAsia="Times New Roman"/>
              </w:rPr>
              <w:t xml:space="preserve"> milj. </w:t>
            </w:r>
            <w:proofErr w:type="spellStart"/>
            <w:r w:rsidRPr="00251A42">
              <w:rPr>
                <w:rFonts w:eastAsia="Times New Roman"/>
                <w:i/>
              </w:rPr>
              <w:t>eu</w:t>
            </w:r>
            <w:r w:rsidRPr="00251A42">
              <w:rPr>
                <w:i/>
                <w:color w:val="000000"/>
              </w:rPr>
              <w:t>ro</w:t>
            </w:r>
            <w:proofErr w:type="spellEnd"/>
            <w:r w:rsidR="001D45E6">
              <w:rPr>
                <w:color w:val="000000"/>
              </w:rPr>
              <w:t xml:space="preserve">, </w:t>
            </w:r>
            <w:r w:rsidRPr="00E16B77">
              <w:rPr>
                <w:color w:val="000000"/>
              </w:rPr>
              <w:t xml:space="preserve">2019. gadā </w:t>
            </w:r>
            <w:r w:rsidR="00994359" w:rsidRPr="00E16B77">
              <w:rPr>
                <w:color w:val="000000"/>
              </w:rPr>
              <w:t>42,04</w:t>
            </w:r>
            <w:r w:rsidRPr="00E16B77">
              <w:rPr>
                <w:color w:val="000000"/>
              </w:rPr>
              <w:t xml:space="preserve"> milj.</w:t>
            </w:r>
            <w:r>
              <w:rPr>
                <w:color w:val="000000"/>
              </w:rPr>
              <w:t xml:space="preserve"> </w:t>
            </w:r>
            <w:proofErr w:type="spellStart"/>
            <w:r w:rsidRPr="00251A42">
              <w:rPr>
                <w:i/>
                <w:color w:val="000000"/>
              </w:rPr>
              <w:t>euro</w:t>
            </w:r>
            <w:proofErr w:type="spellEnd"/>
            <w:r w:rsidR="001D45E6">
              <w:rPr>
                <w:i/>
                <w:color w:val="000000"/>
              </w:rPr>
              <w:t xml:space="preserve"> </w:t>
            </w:r>
            <w:r w:rsidR="001D45E6" w:rsidRPr="001D45E6">
              <w:rPr>
                <w:color w:val="000000"/>
              </w:rPr>
              <w:t>un 2020. gadā</w:t>
            </w:r>
            <w:r w:rsidR="001D45E6">
              <w:rPr>
                <w:color w:val="000000"/>
              </w:rPr>
              <w:t xml:space="preserve"> 41,05 </w:t>
            </w:r>
            <w:r w:rsidR="001D45E6" w:rsidRPr="00E16B77">
              <w:rPr>
                <w:color w:val="000000"/>
              </w:rPr>
              <w:t>milj.</w:t>
            </w:r>
            <w:r w:rsidR="001D45E6">
              <w:rPr>
                <w:color w:val="000000"/>
              </w:rPr>
              <w:t xml:space="preserve"> </w:t>
            </w:r>
            <w:proofErr w:type="spellStart"/>
            <w:r w:rsidR="001D45E6" w:rsidRPr="00251A42">
              <w:rPr>
                <w:i/>
                <w:color w:val="000000"/>
              </w:rPr>
              <w:t>euro</w:t>
            </w:r>
            <w:proofErr w:type="spellEnd"/>
            <w:r>
              <w:rPr>
                <w:color w:val="000000"/>
              </w:rPr>
              <w:t xml:space="preserve">. </w:t>
            </w:r>
          </w:p>
          <w:p w14:paraId="17A93211" w14:textId="77777777" w:rsidR="00782C36" w:rsidRDefault="00782C36" w:rsidP="00782C36">
            <w:pPr>
              <w:jc w:val="both"/>
              <w:rPr>
                <w:color w:val="000000"/>
              </w:rPr>
            </w:pPr>
            <w:r>
              <w:rPr>
                <w:color w:val="000000"/>
              </w:rPr>
              <w:t xml:space="preserve">Attiecīgi, ņemot vērā iepriekšējo gadu pieejamā valsts budžeta finansējuma zinātniskās darbības nodrošināšanai apmēru un valsts zinātniskajās institūcijās un augstskolās nodarbinātā zinātniskā personāla skaitu PLE izteiksmē, var secināt, ka turpmākajos gados zinātniskā personāla skaits PLE izteiksmē šajās institūcijās saglabāsies līdzšinējā apmērā, t.i. vidēji 1 790 PLE gadā. </w:t>
            </w:r>
          </w:p>
          <w:p w14:paraId="11C4B708" w14:textId="6193A211" w:rsidR="003E05A2" w:rsidRDefault="00782C36" w:rsidP="00EE1431">
            <w:pPr>
              <w:jc w:val="both"/>
              <w:rPr>
                <w:color w:val="000000"/>
              </w:rPr>
            </w:pPr>
            <w:r>
              <w:rPr>
                <w:rFonts w:eastAsia="Times New Roman"/>
              </w:rPr>
              <w:t>I</w:t>
            </w:r>
            <w:r>
              <w:rPr>
                <w:color w:val="000000"/>
              </w:rPr>
              <w:t xml:space="preserve">znākuma rādītāja i.1.1.1.d. vērtība 558 </w:t>
            </w:r>
            <w:r w:rsidR="00615F04">
              <w:rPr>
                <w:color w:val="000000"/>
              </w:rPr>
              <w:t xml:space="preserve">tika </w:t>
            </w:r>
            <w:r>
              <w:rPr>
                <w:color w:val="000000"/>
              </w:rPr>
              <w:t xml:space="preserve">noteikta, ņemot vērā zinātnisko institūciju cilvēkresursu kapacitāti (zinātniskā personāla skaitu PLE izteiksmē), zinātnes bāzes finansējuma apmēru un līdzšinējo sniegumu programmā </w:t>
            </w:r>
            <w:r w:rsidR="003810A1">
              <w:rPr>
                <w:color w:val="000000"/>
              </w:rPr>
              <w:t>“</w:t>
            </w:r>
            <w:r>
              <w:rPr>
                <w:color w:val="000000"/>
              </w:rPr>
              <w:t>Apvārsnis 2020</w:t>
            </w:r>
            <w:r w:rsidR="003810A1">
              <w:rPr>
                <w:color w:val="000000"/>
              </w:rPr>
              <w:t>”</w:t>
            </w:r>
            <w:r>
              <w:rPr>
                <w:color w:val="000000"/>
              </w:rPr>
              <w:t>.</w:t>
            </w:r>
            <w:r w:rsidR="003E05A2">
              <w:rPr>
                <w:color w:val="000000"/>
              </w:rPr>
              <w:t xml:space="preserve"> </w:t>
            </w:r>
          </w:p>
          <w:p w14:paraId="7F2AD912" w14:textId="30AB7EE1" w:rsidR="00782C36" w:rsidRPr="003F0DD3" w:rsidRDefault="003E05A2" w:rsidP="003E05A2">
            <w:pPr>
              <w:jc w:val="both"/>
              <w:rPr>
                <w:color w:val="000000"/>
              </w:rPr>
            </w:pPr>
            <w:r>
              <w:rPr>
                <w:color w:val="000000"/>
              </w:rPr>
              <w:t>L</w:t>
            </w:r>
            <w:r w:rsidRPr="003E05A2">
              <w:rPr>
                <w:color w:val="000000"/>
              </w:rPr>
              <w:t xml:space="preserve">īdz 2018. gada 31. decembrim </w:t>
            </w:r>
            <w:r>
              <w:rPr>
                <w:color w:val="000000"/>
              </w:rPr>
              <w:t xml:space="preserve">sasniedzamā starpposma vērtība noteikta – 83 </w:t>
            </w:r>
            <w:r w:rsidRPr="003E05A2">
              <w:rPr>
                <w:color w:val="000000"/>
              </w:rPr>
              <w:t>virs kvalitātes sliekš</w:t>
            </w:r>
            <w:r>
              <w:rPr>
                <w:color w:val="000000"/>
              </w:rPr>
              <w:t>ņa novērtēti</w:t>
            </w:r>
            <w:r w:rsidRPr="003E05A2">
              <w:rPr>
                <w:color w:val="000000"/>
              </w:rPr>
              <w:t xml:space="preserve"> un </w:t>
            </w:r>
            <w:r>
              <w:rPr>
                <w:color w:val="000000"/>
              </w:rPr>
              <w:t xml:space="preserve">ERAF </w:t>
            </w:r>
            <w:r w:rsidRPr="003F0DD3">
              <w:rPr>
                <w:color w:val="000000"/>
              </w:rPr>
              <w:t>atbalstīti programmas “Apvārsnis 2020” projektu pieteikumi, tai skaitā </w:t>
            </w:r>
            <w:proofErr w:type="spellStart"/>
            <w:r w:rsidRPr="003F0DD3">
              <w:rPr>
                <w:i/>
                <w:color w:val="000000"/>
              </w:rPr>
              <w:t>Baltic</w:t>
            </w:r>
            <w:proofErr w:type="spellEnd"/>
            <w:r w:rsidRPr="003F0DD3">
              <w:rPr>
                <w:i/>
                <w:color w:val="000000"/>
              </w:rPr>
              <w:t xml:space="preserve"> </w:t>
            </w:r>
            <w:proofErr w:type="spellStart"/>
            <w:r w:rsidRPr="003F0DD3">
              <w:rPr>
                <w:i/>
                <w:color w:val="000000"/>
              </w:rPr>
              <w:t>Bonus</w:t>
            </w:r>
            <w:proofErr w:type="spellEnd"/>
            <w:r w:rsidRPr="003F0DD3">
              <w:rPr>
                <w:color w:val="000000"/>
              </w:rPr>
              <w:t> programmas ietvaros</w:t>
            </w:r>
            <w:r w:rsidR="00D83004" w:rsidRPr="003F0DD3">
              <w:rPr>
                <w:color w:val="000000"/>
              </w:rPr>
              <w:t xml:space="preserve"> </w:t>
            </w:r>
            <w:r w:rsidR="00D83004" w:rsidRPr="003F0DD3">
              <w:rPr>
                <w:i/>
                <w:color w:val="000000"/>
              </w:rPr>
              <w:t>(</w:t>
            </w:r>
            <w:r w:rsidR="003F0DD3" w:rsidRPr="003F0DD3">
              <w:rPr>
                <w:i/>
                <w:color w:val="000000"/>
              </w:rPr>
              <w:t xml:space="preserve">MK </w:t>
            </w:r>
            <w:r w:rsidR="00D83004" w:rsidRPr="003F0DD3">
              <w:rPr>
                <w:i/>
                <w:color w:val="000000"/>
              </w:rPr>
              <w:t>noteikumu</w:t>
            </w:r>
            <w:r w:rsidR="003F0DD3" w:rsidRPr="003F0DD3">
              <w:rPr>
                <w:i/>
                <w:color w:val="000000"/>
              </w:rPr>
              <w:t xml:space="preserve"> Nr. 315</w:t>
            </w:r>
            <w:r w:rsidR="00D83004" w:rsidRPr="003F0DD3">
              <w:rPr>
                <w:i/>
                <w:color w:val="000000"/>
              </w:rPr>
              <w:t xml:space="preserve"> 5.1.1. apakšpunkts)</w:t>
            </w:r>
            <w:r w:rsidRPr="003F0DD3">
              <w:rPr>
                <w:color w:val="000000"/>
              </w:rPr>
              <w:t>.</w:t>
            </w:r>
          </w:p>
          <w:p w14:paraId="70A88931" w14:textId="6470D669" w:rsidR="00FE7643" w:rsidRDefault="00C710EF" w:rsidP="00231822">
            <w:pPr>
              <w:pStyle w:val="Default"/>
              <w:jc w:val="both"/>
              <w:rPr>
                <w:rFonts w:eastAsia="Times New Roman"/>
              </w:rPr>
            </w:pPr>
            <w:r w:rsidRPr="003F0DD3">
              <w:rPr>
                <w:rFonts w:eastAsia="Times New Roman"/>
              </w:rPr>
              <w:t>Ņemo</w:t>
            </w:r>
            <w:r w:rsidR="003E05A2" w:rsidRPr="003F0DD3">
              <w:rPr>
                <w:rFonts w:eastAsia="Times New Roman"/>
              </w:rPr>
              <w:t xml:space="preserve">t </w:t>
            </w:r>
            <w:r w:rsidR="00FC052C" w:rsidRPr="003F0DD3">
              <w:rPr>
                <w:rFonts w:eastAsia="Times New Roman"/>
              </w:rPr>
              <w:t>vērā augstāk minētos aspektus,</w:t>
            </w:r>
            <w:r w:rsidRPr="003F0DD3">
              <w:rPr>
                <w:rFonts w:eastAsia="Times New Roman"/>
              </w:rPr>
              <w:t xml:space="preserve"> </w:t>
            </w:r>
            <w:r w:rsidR="00FC052C" w:rsidRPr="003F0DD3">
              <w:rPr>
                <w:rFonts w:eastAsia="Times New Roman"/>
              </w:rPr>
              <w:t>Eiropas Komisija</w:t>
            </w:r>
            <w:r w:rsidR="00523237" w:rsidRPr="003F0DD3">
              <w:rPr>
                <w:rFonts w:eastAsia="Times New Roman"/>
              </w:rPr>
              <w:t xml:space="preserve"> </w:t>
            </w:r>
            <w:r w:rsidR="00FC052C" w:rsidRPr="003F0DD3">
              <w:rPr>
                <w:rFonts w:eastAsia="Times New Roman"/>
              </w:rPr>
              <w:t>apstiprināja minētos grozījumus</w:t>
            </w:r>
            <w:r w:rsidR="00523237" w:rsidRPr="003F0DD3">
              <w:rPr>
                <w:rFonts w:eastAsia="Times New Roman"/>
              </w:rPr>
              <w:t xml:space="preserve"> darbības programmā “Izaugsme un nodarbinātība”</w:t>
            </w:r>
            <w:r w:rsidR="00710801" w:rsidRPr="003F0DD3">
              <w:rPr>
                <w:rFonts w:eastAsia="Times New Roman"/>
              </w:rPr>
              <w:t xml:space="preserve"> (30.11.2017. EK īstenošanas lēmums </w:t>
            </w:r>
            <w:r w:rsidR="00710801" w:rsidRPr="003F0DD3">
              <w:rPr>
                <w:rFonts w:eastAsiaTheme="minorHAnsi"/>
                <w:lang w:val="en-US" w:eastAsia="en-US"/>
              </w:rPr>
              <w:t>C(2017) 7979)</w:t>
            </w:r>
            <w:r w:rsidR="00523237" w:rsidRPr="003F0DD3">
              <w:rPr>
                <w:rFonts w:eastAsia="Times New Roman"/>
              </w:rPr>
              <w:t xml:space="preserve">, </w:t>
            </w:r>
            <w:r w:rsidR="0049306F" w:rsidRPr="003F0DD3">
              <w:rPr>
                <w:rFonts w:eastAsia="Times New Roman"/>
              </w:rPr>
              <w:t>paredzot</w:t>
            </w:r>
            <w:r w:rsidR="003810A1" w:rsidRPr="003F0DD3">
              <w:rPr>
                <w:rFonts w:eastAsia="Times New Roman"/>
              </w:rPr>
              <w:t xml:space="preserve"> 1.1.1.5. </w:t>
            </w:r>
            <w:r w:rsidR="00523237" w:rsidRPr="003F0DD3">
              <w:rPr>
                <w:rFonts w:eastAsia="Times New Roman"/>
              </w:rPr>
              <w:t xml:space="preserve">pasākuma iznākuma rādītāja vērtību - </w:t>
            </w:r>
            <w:r w:rsidR="00523237" w:rsidRPr="003F0DD3">
              <w:rPr>
                <w:rFonts w:eastAsia="Times New Roman"/>
                <w:color w:val="auto"/>
              </w:rPr>
              <w:t>līdz 2023. gada 31. decembrim virs kvalitātes sliekšņa novērtēto un Eiropas Reģionālās attīstīb</w:t>
            </w:r>
            <w:r w:rsidR="003810A1" w:rsidRPr="003F0DD3">
              <w:rPr>
                <w:rFonts w:eastAsia="Times New Roman"/>
                <w:color w:val="auto"/>
              </w:rPr>
              <w:t>as fonda atbalstīto programmas “</w:t>
            </w:r>
            <w:r w:rsidR="00523237" w:rsidRPr="003F0DD3">
              <w:rPr>
                <w:rFonts w:eastAsia="Times New Roman"/>
                <w:color w:val="auto"/>
              </w:rPr>
              <w:t>Apvārsnis 2020</w:t>
            </w:r>
            <w:r w:rsidR="003810A1" w:rsidRPr="003F0DD3">
              <w:rPr>
                <w:rFonts w:eastAsia="Times New Roman"/>
                <w:color w:val="auto"/>
              </w:rPr>
              <w:t>”</w:t>
            </w:r>
            <w:r w:rsidR="00523237" w:rsidRPr="003F0DD3">
              <w:rPr>
                <w:rFonts w:eastAsia="Times New Roman"/>
                <w:color w:val="auto"/>
              </w:rPr>
              <w:t xml:space="preserve"> un Eiropas Savienības 9. Ietvara programmas projektu pieteikumu skaits, tai skaitā </w:t>
            </w:r>
            <w:proofErr w:type="spellStart"/>
            <w:r w:rsidR="00523237" w:rsidRPr="003F0DD3">
              <w:rPr>
                <w:rFonts w:eastAsia="Times New Roman"/>
                <w:i/>
                <w:color w:val="auto"/>
              </w:rPr>
              <w:t>Baltic</w:t>
            </w:r>
            <w:proofErr w:type="spellEnd"/>
            <w:r w:rsidR="00523237" w:rsidRPr="003F0DD3">
              <w:rPr>
                <w:rFonts w:eastAsia="Times New Roman"/>
                <w:i/>
                <w:color w:val="auto"/>
              </w:rPr>
              <w:t xml:space="preserve"> </w:t>
            </w:r>
            <w:proofErr w:type="spellStart"/>
            <w:r w:rsidR="00523237" w:rsidRPr="003F0DD3">
              <w:rPr>
                <w:rFonts w:eastAsia="Times New Roman"/>
                <w:i/>
                <w:color w:val="auto"/>
              </w:rPr>
              <w:t>Bonus</w:t>
            </w:r>
            <w:proofErr w:type="spellEnd"/>
            <w:r w:rsidR="00523237" w:rsidRPr="003F0DD3">
              <w:rPr>
                <w:rFonts w:eastAsia="Times New Roman"/>
                <w:color w:val="auto"/>
              </w:rPr>
              <w:t xml:space="preserve"> programmas ietvaros, – </w:t>
            </w:r>
            <w:r w:rsidR="00523237" w:rsidRPr="003F0DD3">
              <w:rPr>
                <w:rFonts w:eastAsia="Times New Roman"/>
              </w:rPr>
              <w:t>558</w:t>
            </w:r>
            <w:r w:rsidR="00D83004" w:rsidRPr="003F0DD3">
              <w:rPr>
                <w:rFonts w:eastAsia="Times New Roman"/>
              </w:rPr>
              <w:t xml:space="preserve"> </w:t>
            </w:r>
            <w:r w:rsidR="00231822">
              <w:rPr>
                <w:rFonts w:eastAsia="Times New Roman"/>
              </w:rPr>
              <w:t>(</w:t>
            </w:r>
            <w:r w:rsidR="00481885">
              <w:rPr>
                <w:rFonts w:eastAsia="Times New Roman"/>
              </w:rPr>
              <w:t xml:space="preserve">MK 29.03.2017. </w:t>
            </w:r>
            <w:r w:rsidR="00231822">
              <w:rPr>
                <w:rFonts w:eastAsia="Times New Roman"/>
                <w:color w:val="auto"/>
              </w:rPr>
              <w:t>r</w:t>
            </w:r>
            <w:r w:rsidR="00481885">
              <w:rPr>
                <w:rFonts w:eastAsia="Times New Roman"/>
                <w:color w:val="auto"/>
              </w:rPr>
              <w:t xml:space="preserve">īkojums Nr. 160 </w:t>
            </w:r>
            <w:r w:rsidR="00231822" w:rsidRPr="00231822">
              <w:rPr>
                <w:rFonts w:eastAsia="Times New Roman"/>
                <w:color w:val="auto"/>
              </w:rPr>
              <w:t>“Grozījumi Eiropas Savienības struktūrfondu un Kohēzijas fonda 2014.–2020.gada plānoša</w:t>
            </w:r>
            <w:r w:rsidR="00231822">
              <w:rPr>
                <w:rFonts w:eastAsia="Times New Roman"/>
                <w:color w:val="auto"/>
              </w:rPr>
              <w:t xml:space="preserve">nas perioda darbības programmā “Izaugsme un nodarbinātība””) </w:t>
            </w:r>
            <w:r w:rsidR="0037447A" w:rsidRPr="003F0DD3">
              <w:rPr>
                <w:i/>
              </w:rPr>
              <w:t>(</w:t>
            </w:r>
            <w:r w:rsidR="003F0DD3" w:rsidRPr="003F0DD3">
              <w:rPr>
                <w:i/>
              </w:rPr>
              <w:t xml:space="preserve">MK noteikumu Nr. 315 </w:t>
            </w:r>
            <w:r w:rsidR="0037447A" w:rsidRPr="003F0DD3">
              <w:rPr>
                <w:i/>
              </w:rPr>
              <w:t xml:space="preserve"> 5.1.2</w:t>
            </w:r>
            <w:r w:rsidR="00D83004" w:rsidRPr="003F0DD3">
              <w:rPr>
                <w:i/>
              </w:rPr>
              <w:t>. apakšpunkts)</w:t>
            </w:r>
            <w:r w:rsidR="00D83004" w:rsidRPr="003F0DD3">
              <w:t>.</w:t>
            </w:r>
            <w:r w:rsidR="003E05A2">
              <w:rPr>
                <w:rFonts w:eastAsia="Times New Roman"/>
              </w:rPr>
              <w:t xml:space="preserve"> </w:t>
            </w:r>
            <w:r w:rsidR="001E081D">
              <w:rPr>
                <w:rFonts w:eastAsia="Times New Roman"/>
              </w:rPr>
              <w:t xml:space="preserve"> </w:t>
            </w:r>
          </w:p>
          <w:p w14:paraId="208E4524" w14:textId="30D7DD5F" w:rsidR="00481885" w:rsidRPr="00EA63E8" w:rsidRDefault="00C93278" w:rsidP="00C93278">
            <w:pPr>
              <w:pStyle w:val="Default"/>
              <w:jc w:val="both"/>
              <w:rPr>
                <w:rFonts w:eastAsia="Times New Roman"/>
              </w:rPr>
            </w:pPr>
            <w:r>
              <w:rPr>
                <w:rFonts w:eastAsia="Times New Roman"/>
              </w:rPr>
              <w:t xml:space="preserve">IZM ieskatā </w:t>
            </w:r>
            <w:r w:rsidR="00481885">
              <w:rPr>
                <w:rFonts w:eastAsia="Times New Roman"/>
              </w:rPr>
              <w:t>minētie grozījumi MK noteikumos Nr. 315 neietekmē 1.1.1.5. pasākuma 3. kārtas finansējuma saņēmējus un potenciālos projekta iesniedzējus.</w:t>
            </w:r>
          </w:p>
        </w:tc>
      </w:tr>
      <w:tr w:rsidR="00ED6931" w14:paraId="516B9E37" w14:textId="77777777" w:rsidTr="00DB3879">
        <w:tc>
          <w:tcPr>
            <w:tcW w:w="814" w:type="dxa"/>
            <w:tcBorders>
              <w:top w:val="single" w:sz="4" w:space="0" w:color="auto"/>
              <w:left w:val="single" w:sz="4" w:space="0" w:color="auto"/>
              <w:bottom w:val="single" w:sz="4" w:space="0" w:color="auto"/>
              <w:right w:val="single" w:sz="4" w:space="0" w:color="auto"/>
            </w:tcBorders>
            <w:shd w:val="clear" w:color="auto" w:fill="auto"/>
          </w:tcPr>
          <w:p w14:paraId="33D2FF4B" w14:textId="0F656B30" w:rsidR="00055596" w:rsidRPr="001351FC" w:rsidRDefault="00B650B7" w:rsidP="001351FC">
            <w:pPr>
              <w:jc w:val="center"/>
              <w:rPr>
                <w:lang w:eastAsia="en-US"/>
              </w:rPr>
            </w:pPr>
            <w:r w:rsidRPr="001351FC">
              <w:lastRenderedPageBreak/>
              <w:t>3.</w:t>
            </w:r>
          </w:p>
        </w:tc>
        <w:tc>
          <w:tcPr>
            <w:tcW w:w="2379" w:type="dxa"/>
            <w:tcBorders>
              <w:top w:val="single" w:sz="4" w:space="0" w:color="auto"/>
              <w:left w:val="single" w:sz="4" w:space="0" w:color="auto"/>
              <w:bottom w:val="single" w:sz="4" w:space="0" w:color="auto"/>
              <w:right w:val="single" w:sz="4" w:space="0" w:color="auto"/>
            </w:tcBorders>
            <w:shd w:val="clear" w:color="auto" w:fill="auto"/>
          </w:tcPr>
          <w:p w14:paraId="4098B43E" w14:textId="27C085DD" w:rsidR="00055596" w:rsidRPr="001351FC" w:rsidRDefault="00B650B7" w:rsidP="001351FC">
            <w:pPr>
              <w:rPr>
                <w:lang w:eastAsia="en-US"/>
              </w:rPr>
            </w:pPr>
            <w:r w:rsidRPr="001351FC">
              <w:t>Projekta izstrādē iesaistītās institūcijas</w:t>
            </w:r>
            <w:r w:rsidR="00742CA8">
              <w:t xml:space="preserve"> </w:t>
            </w:r>
            <w:r w:rsidR="00742CA8" w:rsidRPr="00742CA8">
              <w:t>un publiskas personas kapitālsabiedrības</w:t>
            </w:r>
          </w:p>
        </w:tc>
        <w:tc>
          <w:tcPr>
            <w:tcW w:w="5987" w:type="dxa"/>
            <w:tcBorders>
              <w:top w:val="single" w:sz="4" w:space="0" w:color="auto"/>
              <w:left w:val="single" w:sz="4" w:space="0" w:color="auto"/>
              <w:bottom w:val="single" w:sz="4" w:space="0" w:color="auto"/>
              <w:right w:val="single" w:sz="4" w:space="0" w:color="auto"/>
            </w:tcBorders>
            <w:shd w:val="clear" w:color="auto" w:fill="auto"/>
          </w:tcPr>
          <w:p w14:paraId="7A16A2AC" w14:textId="081C5C1D" w:rsidR="00055596" w:rsidRPr="001351FC" w:rsidRDefault="00C314FA" w:rsidP="00E15EC6">
            <w:pPr>
              <w:ind w:left="66"/>
              <w:jc w:val="both"/>
              <w:rPr>
                <w:bCs/>
                <w:strike/>
              </w:rPr>
            </w:pPr>
            <w:r>
              <w:rPr>
                <w:bCs/>
                <w:iCs/>
              </w:rPr>
              <w:t>N</w:t>
            </w:r>
            <w:r w:rsidRPr="008A4B76">
              <w:rPr>
                <w:bCs/>
                <w:iCs/>
              </w:rPr>
              <w:t>oteikumu projekt</w:t>
            </w:r>
            <w:r>
              <w:rPr>
                <w:bCs/>
                <w:iCs/>
              </w:rPr>
              <w:t>u</w:t>
            </w:r>
            <w:r w:rsidRPr="008A4B76">
              <w:rPr>
                <w:bCs/>
                <w:iCs/>
              </w:rPr>
              <w:t xml:space="preserve"> izstrād</w:t>
            </w:r>
            <w:r>
              <w:rPr>
                <w:bCs/>
                <w:iCs/>
              </w:rPr>
              <w:t xml:space="preserve">āja </w:t>
            </w:r>
            <w:r w:rsidR="00E15EC6">
              <w:rPr>
                <w:bCs/>
                <w:iCs/>
              </w:rPr>
              <w:t>IZM</w:t>
            </w:r>
            <w:r w:rsidRPr="008A4B76">
              <w:rPr>
                <w:bCs/>
                <w:iCs/>
              </w:rPr>
              <w:t>.</w:t>
            </w:r>
          </w:p>
        </w:tc>
      </w:tr>
      <w:tr w:rsidR="00ED6931" w14:paraId="67B406C4" w14:textId="77777777" w:rsidTr="00DB3879">
        <w:tc>
          <w:tcPr>
            <w:tcW w:w="814" w:type="dxa"/>
            <w:tcBorders>
              <w:top w:val="single" w:sz="4" w:space="0" w:color="auto"/>
              <w:left w:val="single" w:sz="4" w:space="0" w:color="auto"/>
              <w:bottom w:val="single" w:sz="4" w:space="0" w:color="auto"/>
              <w:right w:val="single" w:sz="4" w:space="0" w:color="auto"/>
            </w:tcBorders>
            <w:shd w:val="clear" w:color="auto" w:fill="auto"/>
          </w:tcPr>
          <w:p w14:paraId="28A17607" w14:textId="77777777" w:rsidR="00055596" w:rsidRPr="001351FC" w:rsidRDefault="00B650B7" w:rsidP="001351FC">
            <w:pPr>
              <w:jc w:val="center"/>
              <w:rPr>
                <w:lang w:eastAsia="en-US"/>
              </w:rPr>
            </w:pPr>
            <w:r w:rsidRPr="001351FC">
              <w:t>4.</w:t>
            </w:r>
          </w:p>
        </w:tc>
        <w:tc>
          <w:tcPr>
            <w:tcW w:w="2379" w:type="dxa"/>
            <w:tcBorders>
              <w:top w:val="single" w:sz="4" w:space="0" w:color="auto"/>
              <w:left w:val="single" w:sz="4" w:space="0" w:color="auto"/>
              <w:bottom w:val="single" w:sz="4" w:space="0" w:color="auto"/>
              <w:right w:val="single" w:sz="4" w:space="0" w:color="auto"/>
            </w:tcBorders>
            <w:shd w:val="clear" w:color="auto" w:fill="auto"/>
          </w:tcPr>
          <w:p w14:paraId="5539C069" w14:textId="77777777" w:rsidR="00055596" w:rsidRPr="001351FC" w:rsidRDefault="00B650B7" w:rsidP="001351FC">
            <w:pPr>
              <w:rPr>
                <w:lang w:eastAsia="en-US"/>
              </w:rPr>
            </w:pPr>
            <w:r w:rsidRPr="001351FC">
              <w:t>Cita informācija</w:t>
            </w:r>
          </w:p>
        </w:tc>
        <w:tc>
          <w:tcPr>
            <w:tcW w:w="5987" w:type="dxa"/>
            <w:tcBorders>
              <w:top w:val="single" w:sz="4" w:space="0" w:color="auto"/>
              <w:left w:val="single" w:sz="4" w:space="0" w:color="auto"/>
              <w:bottom w:val="single" w:sz="4" w:space="0" w:color="auto"/>
              <w:right w:val="single" w:sz="4" w:space="0" w:color="auto"/>
            </w:tcBorders>
            <w:shd w:val="clear" w:color="auto" w:fill="FFFFFF"/>
          </w:tcPr>
          <w:p w14:paraId="00B62B9E" w14:textId="1314BA4D" w:rsidR="00055596" w:rsidRPr="001351FC" w:rsidRDefault="00616CE1" w:rsidP="002B0E96">
            <w:pPr>
              <w:pStyle w:val="Default"/>
              <w:jc w:val="both"/>
              <w:rPr>
                <w:rFonts w:eastAsia="Times New Roman"/>
                <w:lang w:bidi="lo-LA"/>
              </w:rPr>
            </w:pPr>
            <w:r>
              <w:rPr>
                <w:bCs/>
              </w:rPr>
              <w:t>Nav.</w:t>
            </w:r>
            <w:r w:rsidR="00B650B7" w:rsidRPr="00273E66">
              <w:rPr>
                <w:bCs/>
              </w:rPr>
              <w:t xml:space="preserve"> </w:t>
            </w:r>
          </w:p>
        </w:tc>
      </w:tr>
    </w:tbl>
    <w:p w14:paraId="00747A27" w14:textId="77777777" w:rsidR="000952B3" w:rsidRPr="001351FC" w:rsidRDefault="000952B3" w:rsidP="001351FC">
      <w:pPr>
        <w:jc w:val="both"/>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
        <w:gridCol w:w="2689"/>
        <w:gridCol w:w="6095"/>
      </w:tblGrid>
      <w:tr w:rsidR="00ED6931" w14:paraId="135CD9D9" w14:textId="77777777" w:rsidTr="00DB3879">
        <w:tc>
          <w:tcPr>
            <w:tcW w:w="91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0F7EED28" w14:textId="77777777" w:rsidR="000952B3" w:rsidRPr="001351FC" w:rsidRDefault="00B650B7" w:rsidP="001351FC">
            <w:pPr>
              <w:pStyle w:val="ListParagraph"/>
              <w:tabs>
                <w:tab w:val="left" w:pos="2268"/>
                <w:tab w:val="left" w:pos="2410"/>
              </w:tabs>
              <w:ind w:left="1080"/>
              <w:jc w:val="center"/>
              <w:rPr>
                <w:b/>
                <w:sz w:val="24"/>
                <w:szCs w:val="24"/>
                <w:lang w:eastAsia="en-US"/>
              </w:rPr>
            </w:pPr>
            <w:r w:rsidRPr="001351FC">
              <w:rPr>
                <w:b/>
                <w:bCs/>
                <w:sz w:val="24"/>
                <w:szCs w:val="24"/>
              </w:rPr>
              <w:t>II. Tiesību akta projekta ietekme uz sabiedrību, tautsaimniecības attīstību un administratīvo slogu</w:t>
            </w:r>
          </w:p>
        </w:tc>
      </w:tr>
      <w:tr w:rsidR="00ED6931" w14:paraId="30B0D353" w14:textId="77777777" w:rsidTr="00DD5E7A">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6C1E0F4A" w14:textId="77777777" w:rsidR="000952B3" w:rsidRPr="001351FC" w:rsidRDefault="00B650B7" w:rsidP="001351FC">
            <w:pPr>
              <w:jc w:val="center"/>
              <w:rPr>
                <w:lang w:eastAsia="en-US"/>
              </w:rPr>
            </w:pPr>
            <w:r w:rsidRPr="001351FC">
              <w:t>1.</w:t>
            </w:r>
          </w:p>
        </w:tc>
        <w:tc>
          <w:tcPr>
            <w:tcW w:w="2689" w:type="dxa"/>
            <w:tcBorders>
              <w:top w:val="single" w:sz="4" w:space="0" w:color="auto"/>
              <w:left w:val="single" w:sz="4" w:space="0" w:color="auto"/>
              <w:bottom w:val="single" w:sz="4" w:space="0" w:color="auto"/>
              <w:right w:val="single" w:sz="4" w:space="0" w:color="auto"/>
            </w:tcBorders>
            <w:shd w:val="clear" w:color="auto" w:fill="auto"/>
            <w:hideMark/>
          </w:tcPr>
          <w:p w14:paraId="583D8DF1" w14:textId="77777777" w:rsidR="000952B3" w:rsidRPr="001351FC" w:rsidRDefault="00B650B7" w:rsidP="001351FC">
            <w:pPr>
              <w:rPr>
                <w:lang w:eastAsia="en-US"/>
              </w:rPr>
            </w:pPr>
            <w:r w:rsidRPr="001351FC">
              <w:t xml:space="preserve">Sabiedrības </w:t>
            </w:r>
            <w:proofErr w:type="spellStart"/>
            <w:r w:rsidRPr="001351FC">
              <w:t>mērķgrupas</w:t>
            </w:r>
            <w:proofErr w:type="spellEnd"/>
            <w:r w:rsidRPr="001351FC">
              <w:t>, kuras tiesiskais regulējums ietekmē vai varētu ietekmēt</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4C7B491E" w14:textId="661CC579" w:rsidR="000952B3" w:rsidRPr="002B6DF9" w:rsidRDefault="00B650B7" w:rsidP="001D5531">
            <w:pPr>
              <w:pStyle w:val="ListParagraph"/>
              <w:tabs>
                <w:tab w:val="left" w:pos="317"/>
              </w:tabs>
              <w:ind w:left="-79"/>
              <w:jc w:val="both"/>
              <w:rPr>
                <w:sz w:val="24"/>
                <w:szCs w:val="24"/>
              </w:rPr>
            </w:pPr>
            <w:r w:rsidRPr="00DD5E7A">
              <w:rPr>
                <w:sz w:val="24"/>
                <w:szCs w:val="24"/>
              </w:rPr>
              <w:t xml:space="preserve">Tiesiskais regulējums ietekmē </w:t>
            </w:r>
            <w:r w:rsidR="00521075" w:rsidRPr="00DD5E7A">
              <w:rPr>
                <w:sz w:val="24"/>
                <w:szCs w:val="24"/>
              </w:rPr>
              <w:t xml:space="preserve">atbildīgo iestādi </w:t>
            </w:r>
            <w:r w:rsidR="000F2179" w:rsidRPr="00DD5E7A">
              <w:rPr>
                <w:sz w:val="24"/>
                <w:szCs w:val="24"/>
              </w:rPr>
              <w:t>–</w:t>
            </w:r>
            <w:r w:rsidR="00521075" w:rsidRPr="00DD5E7A">
              <w:rPr>
                <w:sz w:val="24"/>
                <w:szCs w:val="24"/>
              </w:rPr>
              <w:t xml:space="preserve"> </w:t>
            </w:r>
            <w:r w:rsidRPr="00DD5E7A">
              <w:rPr>
                <w:sz w:val="24"/>
                <w:szCs w:val="24"/>
              </w:rPr>
              <w:t xml:space="preserve">IZM, </w:t>
            </w:r>
            <w:r w:rsidR="00521075" w:rsidRPr="00DD5E7A">
              <w:rPr>
                <w:sz w:val="24"/>
                <w:szCs w:val="24"/>
              </w:rPr>
              <w:t xml:space="preserve">sadarbības iestādi </w:t>
            </w:r>
            <w:r w:rsidR="000F2179" w:rsidRPr="00DD5E7A">
              <w:rPr>
                <w:sz w:val="24"/>
                <w:szCs w:val="24"/>
              </w:rPr>
              <w:t>–</w:t>
            </w:r>
            <w:r w:rsidR="004D17FB">
              <w:rPr>
                <w:sz w:val="24"/>
                <w:szCs w:val="24"/>
              </w:rPr>
              <w:t xml:space="preserve"> </w:t>
            </w:r>
            <w:r w:rsidR="001D5531">
              <w:rPr>
                <w:color w:val="000000" w:themeColor="text1"/>
              </w:rPr>
              <w:t>Centrālo finanšu un līgumu aģentūru</w:t>
            </w:r>
            <w:r w:rsidR="00F62143">
              <w:rPr>
                <w:color w:val="000000" w:themeColor="text1"/>
              </w:rPr>
              <w:t xml:space="preserve"> (turpmāk – CFLA) </w:t>
            </w:r>
            <w:r w:rsidR="001D5531">
              <w:rPr>
                <w:sz w:val="24"/>
                <w:szCs w:val="24"/>
              </w:rPr>
              <w:t>.</w:t>
            </w:r>
          </w:p>
        </w:tc>
      </w:tr>
      <w:tr w:rsidR="00ED6931" w14:paraId="3EBB70B5" w14:textId="77777777" w:rsidTr="00DB3879">
        <w:tc>
          <w:tcPr>
            <w:tcW w:w="396" w:type="dxa"/>
            <w:tcBorders>
              <w:top w:val="single" w:sz="4" w:space="0" w:color="auto"/>
              <w:left w:val="single" w:sz="4" w:space="0" w:color="auto"/>
              <w:bottom w:val="single" w:sz="4" w:space="0" w:color="auto"/>
              <w:right w:val="single" w:sz="4" w:space="0" w:color="auto"/>
            </w:tcBorders>
            <w:shd w:val="clear" w:color="auto" w:fill="auto"/>
          </w:tcPr>
          <w:p w14:paraId="0AA7DF50" w14:textId="77777777" w:rsidR="000952B3" w:rsidRPr="001351FC" w:rsidRDefault="00B650B7" w:rsidP="001351FC">
            <w:pPr>
              <w:jc w:val="center"/>
            </w:pPr>
            <w:r w:rsidRPr="001351FC">
              <w:t>2.</w:t>
            </w:r>
          </w:p>
        </w:tc>
        <w:tc>
          <w:tcPr>
            <w:tcW w:w="2689" w:type="dxa"/>
            <w:tcBorders>
              <w:top w:val="single" w:sz="4" w:space="0" w:color="auto"/>
              <w:left w:val="single" w:sz="4" w:space="0" w:color="auto"/>
              <w:bottom w:val="single" w:sz="4" w:space="0" w:color="auto"/>
              <w:right w:val="single" w:sz="4" w:space="0" w:color="auto"/>
            </w:tcBorders>
            <w:shd w:val="clear" w:color="auto" w:fill="auto"/>
          </w:tcPr>
          <w:p w14:paraId="652EB077" w14:textId="77777777" w:rsidR="000952B3" w:rsidRPr="001351FC" w:rsidRDefault="00B650B7" w:rsidP="001351FC">
            <w:pPr>
              <w:rPr>
                <w:color w:val="414142"/>
              </w:rPr>
            </w:pPr>
            <w:r w:rsidRPr="001351FC">
              <w:t>Tiesiskā regulējuma ietekme uz tautsaimniecību un administratīvo slogu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4B34AC1B" w14:textId="77777777" w:rsidR="000952B3" w:rsidRPr="001351FC" w:rsidRDefault="00B650B7" w:rsidP="001351FC">
            <w:pPr>
              <w:pStyle w:val="ListParagraph"/>
              <w:tabs>
                <w:tab w:val="left" w:pos="317"/>
              </w:tabs>
              <w:ind w:left="-79"/>
              <w:jc w:val="both"/>
              <w:rPr>
                <w:bCs/>
                <w:sz w:val="24"/>
                <w:szCs w:val="24"/>
                <w:lang w:eastAsia="en-US"/>
              </w:rPr>
            </w:pPr>
            <w:r w:rsidRPr="001351FC">
              <w:rPr>
                <w:sz w:val="24"/>
                <w:szCs w:val="24"/>
              </w:rPr>
              <w:t>Sabiedrības grupām un institūcijām projekta noteikumu tiesiskais regulējums nemaina tiesības un pienākumus, kā arī veicamās darbības.</w:t>
            </w:r>
          </w:p>
        </w:tc>
      </w:tr>
      <w:tr w:rsidR="00ED6931" w14:paraId="07A1EA65" w14:textId="77777777" w:rsidTr="00DB3879">
        <w:tc>
          <w:tcPr>
            <w:tcW w:w="396" w:type="dxa"/>
            <w:tcBorders>
              <w:top w:val="single" w:sz="4" w:space="0" w:color="auto"/>
              <w:left w:val="single" w:sz="4" w:space="0" w:color="auto"/>
              <w:bottom w:val="single" w:sz="4" w:space="0" w:color="auto"/>
              <w:right w:val="single" w:sz="4" w:space="0" w:color="auto"/>
            </w:tcBorders>
            <w:shd w:val="clear" w:color="auto" w:fill="auto"/>
          </w:tcPr>
          <w:p w14:paraId="37DFB4FC" w14:textId="77777777" w:rsidR="000952B3" w:rsidRPr="001351FC" w:rsidRDefault="00B650B7" w:rsidP="001351FC">
            <w:pPr>
              <w:jc w:val="center"/>
            </w:pPr>
            <w:r w:rsidRPr="001351FC">
              <w:t>3.</w:t>
            </w:r>
          </w:p>
        </w:tc>
        <w:tc>
          <w:tcPr>
            <w:tcW w:w="2689" w:type="dxa"/>
            <w:tcBorders>
              <w:top w:val="single" w:sz="4" w:space="0" w:color="auto"/>
              <w:left w:val="single" w:sz="4" w:space="0" w:color="auto"/>
              <w:bottom w:val="single" w:sz="4" w:space="0" w:color="auto"/>
              <w:right w:val="single" w:sz="4" w:space="0" w:color="auto"/>
            </w:tcBorders>
            <w:shd w:val="clear" w:color="auto" w:fill="auto"/>
          </w:tcPr>
          <w:p w14:paraId="1C2EEA3C" w14:textId="77777777" w:rsidR="000952B3" w:rsidRPr="001351FC" w:rsidRDefault="00B650B7" w:rsidP="001351FC">
            <w:pPr>
              <w:rPr>
                <w:color w:val="414142"/>
              </w:rPr>
            </w:pPr>
            <w:r w:rsidRPr="001351FC">
              <w:t>Administratīvo izmaksu monetārs novērtējums</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4EDCCC99" w14:textId="77777777" w:rsidR="000952B3" w:rsidRPr="001351FC" w:rsidRDefault="00B650B7" w:rsidP="001351FC">
            <w:pPr>
              <w:pStyle w:val="ListParagraph"/>
              <w:tabs>
                <w:tab w:val="left" w:pos="317"/>
              </w:tabs>
              <w:ind w:left="-79"/>
              <w:jc w:val="both"/>
              <w:rPr>
                <w:bCs/>
                <w:sz w:val="24"/>
                <w:szCs w:val="24"/>
                <w:lang w:eastAsia="en-US"/>
              </w:rPr>
            </w:pPr>
            <w:r w:rsidRPr="001351FC">
              <w:rPr>
                <w:sz w:val="24"/>
                <w:szCs w:val="24"/>
              </w:rPr>
              <w:t>Noteikumu projekts šo jomu neskar.</w:t>
            </w:r>
          </w:p>
        </w:tc>
      </w:tr>
      <w:tr w:rsidR="00ED6931" w14:paraId="29EDAB30" w14:textId="77777777" w:rsidTr="00DB3879">
        <w:tc>
          <w:tcPr>
            <w:tcW w:w="396" w:type="dxa"/>
            <w:tcBorders>
              <w:top w:val="single" w:sz="4" w:space="0" w:color="auto"/>
              <w:left w:val="single" w:sz="4" w:space="0" w:color="auto"/>
              <w:bottom w:val="single" w:sz="4" w:space="0" w:color="auto"/>
              <w:right w:val="single" w:sz="4" w:space="0" w:color="auto"/>
            </w:tcBorders>
            <w:shd w:val="clear" w:color="auto" w:fill="auto"/>
          </w:tcPr>
          <w:p w14:paraId="69A9CBE0" w14:textId="77777777" w:rsidR="000952B3" w:rsidRPr="001351FC" w:rsidRDefault="00B650B7" w:rsidP="001351FC">
            <w:pPr>
              <w:jc w:val="center"/>
            </w:pPr>
            <w:r w:rsidRPr="001351FC">
              <w:t>4.</w:t>
            </w:r>
          </w:p>
        </w:tc>
        <w:tc>
          <w:tcPr>
            <w:tcW w:w="2689" w:type="dxa"/>
            <w:tcBorders>
              <w:top w:val="single" w:sz="4" w:space="0" w:color="auto"/>
              <w:left w:val="single" w:sz="4" w:space="0" w:color="auto"/>
              <w:bottom w:val="single" w:sz="4" w:space="0" w:color="auto"/>
              <w:right w:val="single" w:sz="4" w:space="0" w:color="auto"/>
            </w:tcBorders>
            <w:shd w:val="clear" w:color="auto" w:fill="auto"/>
          </w:tcPr>
          <w:p w14:paraId="31FF5081" w14:textId="77777777" w:rsidR="000952B3" w:rsidRPr="001351FC" w:rsidRDefault="00B650B7" w:rsidP="001351FC">
            <w:r w:rsidRPr="001351FC">
              <w:t>Atbilstības izmaksu monetārs novērtējums</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2AC02F92" w14:textId="77777777" w:rsidR="000952B3" w:rsidRPr="001351FC" w:rsidRDefault="00B650B7" w:rsidP="001351FC">
            <w:pPr>
              <w:pStyle w:val="ListParagraph"/>
              <w:tabs>
                <w:tab w:val="left" w:pos="317"/>
              </w:tabs>
              <w:ind w:left="-79"/>
              <w:jc w:val="both"/>
              <w:rPr>
                <w:bCs/>
                <w:sz w:val="24"/>
                <w:szCs w:val="24"/>
                <w:lang w:eastAsia="en-US"/>
              </w:rPr>
            </w:pPr>
            <w:r w:rsidRPr="001351FC">
              <w:rPr>
                <w:sz w:val="24"/>
                <w:szCs w:val="24"/>
              </w:rPr>
              <w:t>Noteikumu projekts šo jomu neskar.</w:t>
            </w:r>
          </w:p>
        </w:tc>
      </w:tr>
      <w:tr w:rsidR="00ED6931" w14:paraId="5109668B" w14:textId="77777777" w:rsidTr="00DB3879">
        <w:tc>
          <w:tcPr>
            <w:tcW w:w="396" w:type="dxa"/>
            <w:tcBorders>
              <w:top w:val="single" w:sz="4" w:space="0" w:color="auto"/>
              <w:left w:val="single" w:sz="4" w:space="0" w:color="auto"/>
              <w:bottom w:val="single" w:sz="4" w:space="0" w:color="auto"/>
              <w:right w:val="single" w:sz="4" w:space="0" w:color="auto"/>
            </w:tcBorders>
            <w:shd w:val="clear" w:color="auto" w:fill="auto"/>
          </w:tcPr>
          <w:p w14:paraId="1DCD1E4A" w14:textId="77777777" w:rsidR="000952B3" w:rsidRPr="001351FC" w:rsidRDefault="00B650B7" w:rsidP="001351FC">
            <w:pPr>
              <w:jc w:val="center"/>
            </w:pPr>
            <w:r w:rsidRPr="001351FC">
              <w:t>5.</w:t>
            </w:r>
          </w:p>
        </w:tc>
        <w:tc>
          <w:tcPr>
            <w:tcW w:w="2689" w:type="dxa"/>
            <w:tcBorders>
              <w:top w:val="single" w:sz="4" w:space="0" w:color="auto"/>
              <w:left w:val="single" w:sz="4" w:space="0" w:color="auto"/>
              <w:bottom w:val="single" w:sz="4" w:space="0" w:color="auto"/>
              <w:right w:val="single" w:sz="4" w:space="0" w:color="auto"/>
            </w:tcBorders>
            <w:shd w:val="clear" w:color="auto" w:fill="auto"/>
          </w:tcPr>
          <w:p w14:paraId="610FCC28" w14:textId="77777777" w:rsidR="000952B3" w:rsidRPr="001351FC" w:rsidRDefault="00B650B7" w:rsidP="001351FC">
            <w:pPr>
              <w:rPr>
                <w:color w:val="414142"/>
              </w:rPr>
            </w:pPr>
            <w:r w:rsidRPr="001351FC">
              <w:t>Cita informācija</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3617FB1D" w14:textId="77777777" w:rsidR="000952B3" w:rsidRPr="001351FC" w:rsidRDefault="00B650B7" w:rsidP="001351FC">
            <w:pPr>
              <w:pStyle w:val="ListParagraph"/>
              <w:tabs>
                <w:tab w:val="left" w:pos="317"/>
              </w:tabs>
              <w:ind w:left="-79"/>
              <w:jc w:val="both"/>
              <w:rPr>
                <w:bCs/>
                <w:sz w:val="24"/>
                <w:szCs w:val="24"/>
                <w:lang w:eastAsia="en-US"/>
              </w:rPr>
            </w:pPr>
            <w:r w:rsidRPr="001351FC">
              <w:rPr>
                <w:bCs/>
                <w:sz w:val="24"/>
                <w:szCs w:val="24"/>
                <w:lang w:eastAsia="en-US"/>
              </w:rPr>
              <w:t>Nav</w:t>
            </w:r>
            <w:r w:rsidR="00352BE9" w:rsidRPr="001351FC">
              <w:rPr>
                <w:bCs/>
                <w:sz w:val="24"/>
                <w:szCs w:val="24"/>
                <w:lang w:eastAsia="en-US"/>
              </w:rPr>
              <w:t>.</w:t>
            </w:r>
          </w:p>
        </w:tc>
      </w:tr>
    </w:tbl>
    <w:p w14:paraId="70AFC89F" w14:textId="77777777" w:rsidR="004D2E35" w:rsidRDefault="004D2E35" w:rsidP="001351FC"/>
    <w:tbl>
      <w:tblPr>
        <w:tblpPr w:leftFromText="180" w:rightFromText="180" w:vertAnchor="text" w:tblpY="1"/>
        <w:tblOverlap w:val="neve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6109C0" w:rsidRPr="00AD59A6" w14:paraId="6D88513B" w14:textId="77777777" w:rsidTr="00FF4311">
        <w:tc>
          <w:tcPr>
            <w:tcW w:w="9180" w:type="dxa"/>
            <w:tcBorders>
              <w:top w:val="single" w:sz="4" w:space="0" w:color="auto"/>
              <w:left w:val="single" w:sz="4" w:space="0" w:color="auto"/>
              <w:bottom w:val="single" w:sz="4" w:space="0" w:color="auto"/>
              <w:right w:val="single" w:sz="4" w:space="0" w:color="auto"/>
            </w:tcBorders>
            <w:shd w:val="clear" w:color="auto" w:fill="auto"/>
          </w:tcPr>
          <w:p w14:paraId="7CAF5622" w14:textId="77777777" w:rsidR="006109C0" w:rsidRPr="00AD59A6" w:rsidRDefault="006109C0" w:rsidP="00FF4311">
            <w:pPr>
              <w:pStyle w:val="ListParagraph"/>
              <w:tabs>
                <w:tab w:val="left" w:pos="317"/>
              </w:tabs>
              <w:ind w:left="0"/>
              <w:jc w:val="center"/>
              <w:rPr>
                <w:bCs/>
                <w:sz w:val="24"/>
                <w:szCs w:val="24"/>
                <w:lang w:eastAsia="en-US"/>
              </w:rPr>
            </w:pPr>
            <w:r w:rsidRPr="00AD59A6">
              <w:rPr>
                <w:b/>
                <w:bCs/>
                <w:sz w:val="24"/>
                <w:szCs w:val="24"/>
                <w:lang w:eastAsia="ja-JP"/>
              </w:rPr>
              <w:t>III. Tiesību akta projekta ietekme uz valsts budžetu un pašvaldību budžetiem</w:t>
            </w:r>
          </w:p>
        </w:tc>
      </w:tr>
      <w:tr w:rsidR="00742CA8" w:rsidRPr="00AD59A6" w14:paraId="3F4D29F3" w14:textId="77777777" w:rsidTr="00FF4311">
        <w:tc>
          <w:tcPr>
            <w:tcW w:w="9180" w:type="dxa"/>
            <w:tcBorders>
              <w:top w:val="single" w:sz="4" w:space="0" w:color="auto"/>
              <w:left w:val="single" w:sz="4" w:space="0" w:color="auto"/>
              <w:bottom w:val="single" w:sz="4" w:space="0" w:color="auto"/>
              <w:right w:val="single" w:sz="4" w:space="0" w:color="auto"/>
            </w:tcBorders>
            <w:shd w:val="clear" w:color="auto" w:fill="auto"/>
          </w:tcPr>
          <w:p w14:paraId="3BD040A7" w14:textId="56C9E7B0" w:rsidR="00742CA8" w:rsidRPr="00AD59A6" w:rsidRDefault="00742CA8" w:rsidP="00FF4311">
            <w:pPr>
              <w:pStyle w:val="ListParagraph"/>
              <w:tabs>
                <w:tab w:val="left" w:pos="317"/>
              </w:tabs>
              <w:ind w:left="0"/>
              <w:jc w:val="center"/>
              <w:rPr>
                <w:b/>
                <w:bCs/>
                <w:sz w:val="24"/>
                <w:szCs w:val="24"/>
                <w:lang w:eastAsia="ja-JP"/>
              </w:rPr>
            </w:pPr>
            <w:r w:rsidRPr="00AD59A6">
              <w:rPr>
                <w:iCs/>
                <w:color w:val="000000"/>
                <w:sz w:val="24"/>
                <w:szCs w:val="24"/>
              </w:rPr>
              <w:t>Noteikumu projekts šo jomu neskar.</w:t>
            </w:r>
          </w:p>
        </w:tc>
      </w:tr>
    </w:tbl>
    <w:p w14:paraId="11BB16CE" w14:textId="77777777" w:rsidR="000952B3" w:rsidRPr="00AD59A6" w:rsidRDefault="000952B3" w:rsidP="001351FC"/>
    <w:tbl>
      <w:tblPr>
        <w:tblStyle w:val="TableGrid"/>
        <w:tblW w:w="9209" w:type="dxa"/>
        <w:tblLook w:val="04A0" w:firstRow="1" w:lastRow="0" w:firstColumn="1" w:lastColumn="0" w:noHBand="0" w:noVBand="1"/>
      </w:tblPr>
      <w:tblGrid>
        <w:gridCol w:w="9209"/>
      </w:tblGrid>
      <w:tr w:rsidR="00ED6931" w:rsidRPr="00AD59A6" w14:paraId="6778D632" w14:textId="77777777" w:rsidTr="00DB3879">
        <w:tc>
          <w:tcPr>
            <w:tcW w:w="9209" w:type="dxa"/>
          </w:tcPr>
          <w:p w14:paraId="51669542" w14:textId="77777777" w:rsidR="003C2699" w:rsidRPr="00AD59A6" w:rsidRDefault="00B650B7" w:rsidP="001351FC">
            <w:pPr>
              <w:jc w:val="center"/>
              <w:rPr>
                <w:b/>
              </w:rPr>
            </w:pPr>
            <w:r w:rsidRPr="00AD59A6">
              <w:rPr>
                <w:b/>
              </w:rPr>
              <w:t>IV.</w:t>
            </w:r>
            <w:r w:rsidRPr="00AD59A6">
              <w:t xml:space="preserve"> </w:t>
            </w:r>
            <w:r w:rsidRPr="00AD59A6">
              <w:rPr>
                <w:b/>
              </w:rPr>
              <w:t>Tiesību akta projekta ietekme uz spēkā esošo tiesību normu sistēmu</w:t>
            </w:r>
          </w:p>
        </w:tc>
      </w:tr>
      <w:tr w:rsidR="00CD6FEA" w:rsidRPr="00AD59A6" w14:paraId="1C7ECF6B" w14:textId="77777777" w:rsidTr="00DB3879">
        <w:tc>
          <w:tcPr>
            <w:tcW w:w="9209" w:type="dxa"/>
          </w:tcPr>
          <w:p w14:paraId="622ABC18" w14:textId="13762A05" w:rsidR="00CD6FEA" w:rsidRPr="00AD59A6" w:rsidRDefault="00CD6FEA" w:rsidP="001351FC">
            <w:pPr>
              <w:jc w:val="center"/>
              <w:rPr>
                <w:b/>
              </w:rPr>
            </w:pPr>
            <w:r w:rsidRPr="00AD59A6">
              <w:rPr>
                <w:iCs/>
                <w:color w:val="000000"/>
              </w:rPr>
              <w:t>Noteikumu projekts šo jomu neskar.</w:t>
            </w:r>
          </w:p>
        </w:tc>
      </w:tr>
    </w:tbl>
    <w:p w14:paraId="69927F7D" w14:textId="77777777" w:rsidR="004A7F10" w:rsidRPr="00AD59A6" w:rsidRDefault="004A7F10" w:rsidP="004A7F10"/>
    <w:tbl>
      <w:tblPr>
        <w:tblpPr w:leftFromText="180" w:rightFromText="180" w:vertAnchor="text" w:tblpY="1"/>
        <w:tblOverlap w:val="neve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4A7F10" w:rsidRPr="00AD59A6" w14:paraId="781EFFBD" w14:textId="77777777" w:rsidTr="00D56846">
        <w:tc>
          <w:tcPr>
            <w:tcW w:w="9180" w:type="dxa"/>
            <w:tcBorders>
              <w:top w:val="single" w:sz="4" w:space="0" w:color="auto"/>
              <w:left w:val="single" w:sz="4" w:space="0" w:color="auto"/>
              <w:bottom w:val="single" w:sz="4" w:space="0" w:color="auto"/>
              <w:right w:val="single" w:sz="4" w:space="0" w:color="auto"/>
            </w:tcBorders>
            <w:shd w:val="clear" w:color="auto" w:fill="auto"/>
          </w:tcPr>
          <w:p w14:paraId="3431DE04" w14:textId="1D3957A2" w:rsidR="004A7F10" w:rsidRPr="00AD59A6" w:rsidRDefault="004A7F10" w:rsidP="00D56846">
            <w:pPr>
              <w:pStyle w:val="ListParagraph"/>
              <w:tabs>
                <w:tab w:val="left" w:pos="317"/>
              </w:tabs>
              <w:ind w:left="0"/>
              <w:jc w:val="center"/>
              <w:rPr>
                <w:bCs/>
                <w:sz w:val="24"/>
                <w:szCs w:val="24"/>
                <w:lang w:eastAsia="en-US"/>
              </w:rPr>
            </w:pPr>
            <w:r w:rsidRPr="00AD59A6">
              <w:rPr>
                <w:b/>
                <w:sz w:val="24"/>
                <w:szCs w:val="24"/>
              </w:rPr>
              <w:t>V. Tiesību akta projekta atbilstība Latvijas Republikas starptautiskajām saistībām</w:t>
            </w:r>
          </w:p>
        </w:tc>
      </w:tr>
      <w:tr w:rsidR="004A7F10" w:rsidRPr="00AD59A6" w14:paraId="0E15BB1F" w14:textId="77777777" w:rsidTr="00D56846">
        <w:tc>
          <w:tcPr>
            <w:tcW w:w="9180" w:type="dxa"/>
            <w:tcBorders>
              <w:top w:val="single" w:sz="4" w:space="0" w:color="auto"/>
              <w:left w:val="single" w:sz="4" w:space="0" w:color="auto"/>
              <w:bottom w:val="single" w:sz="4" w:space="0" w:color="auto"/>
              <w:right w:val="single" w:sz="4" w:space="0" w:color="auto"/>
            </w:tcBorders>
            <w:shd w:val="clear" w:color="auto" w:fill="auto"/>
          </w:tcPr>
          <w:p w14:paraId="5845F004" w14:textId="77777777" w:rsidR="004A7F10" w:rsidRPr="00AD59A6" w:rsidRDefault="004A7F10" w:rsidP="00D56846">
            <w:pPr>
              <w:pStyle w:val="ListParagraph"/>
              <w:tabs>
                <w:tab w:val="left" w:pos="317"/>
              </w:tabs>
              <w:ind w:left="0"/>
              <w:jc w:val="center"/>
              <w:rPr>
                <w:b/>
                <w:bCs/>
                <w:sz w:val="24"/>
                <w:szCs w:val="24"/>
                <w:lang w:eastAsia="ja-JP"/>
              </w:rPr>
            </w:pPr>
            <w:r w:rsidRPr="00AD59A6">
              <w:rPr>
                <w:iCs/>
                <w:color w:val="000000"/>
                <w:sz w:val="24"/>
                <w:szCs w:val="24"/>
              </w:rPr>
              <w:t>Noteikumu projekts šo jomu neskar.</w:t>
            </w:r>
          </w:p>
        </w:tc>
      </w:tr>
    </w:tbl>
    <w:p w14:paraId="1A8932C2" w14:textId="77777777" w:rsidR="004A7F10" w:rsidRPr="001351FC" w:rsidRDefault="004A7F10" w:rsidP="004A7F10">
      <w:pPr>
        <w:tabs>
          <w:tab w:val="left" w:pos="3382"/>
        </w:tabs>
        <w:rPr>
          <w:lang w:eastAsia="en-US"/>
        </w:rPr>
      </w:pPr>
    </w:p>
    <w:tbl>
      <w:tblPr>
        <w:tblW w:w="934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5"/>
        <w:gridCol w:w="2842"/>
        <w:gridCol w:w="6189"/>
      </w:tblGrid>
      <w:tr w:rsidR="004A7F10" w14:paraId="1D1294BA" w14:textId="77777777" w:rsidTr="00D56846">
        <w:trPr>
          <w:trHeight w:val="421"/>
        </w:trPr>
        <w:tc>
          <w:tcPr>
            <w:tcW w:w="9346" w:type="dxa"/>
            <w:gridSpan w:val="3"/>
            <w:vAlign w:val="center"/>
          </w:tcPr>
          <w:p w14:paraId="1C6D02D6" w14:textId="77777777" w:rsidR="004A7F10" w:rsidRPr="001351FC" w:rsidRDefault="004A7F10" w:rsidP="00D56846">
            <w:pPr>
              <w:pStyle w:val="naisnod"/>
              <w:spacing w:before="0" w:beforeAutospacing="0" w:after="0" w:afterAutospacing="0"/>
              <w:ind w:left="57" w:right="57"/>
              <w:jc w:val="center"/>
            </w:pPr>
            <w:r w:rsidRPr="001351FC">
              <w:rPr>
                <w:b/>
              </w:rPr>
              <w:t>VI. Sabiedrības līdzdalība un komunikācijas aktivitātes</w:t>
            </w:r>
          </w:p>
        </w:tc>
      </w:tr>
      <w:tr w:rsidR="004A7F10" w14:paraId="7EEF2664" w14:textId="77777777" w:rsidTr="00D56846">
        <w:trPr>
          <w:trHeight w:val="553"/>
        </w:trPr>
        <w:tc>
          <w:tcPr>
            <w:tcW w:w="315" w:type="dxa"/>
          </w:tcPr>
          <w:p w14:paraId="6CE053E6" w14:textId="77777777" w:rsidR="004A7F10" w:rsidRPr="001351FC" w:rsidRDefault="004A7F10" w:rsidP="00D56846">
            <w:pPr>
              <w:ind w:left="57" w:right="57"/>
              <w:jc w:val="both"/>
              <w:rPr>
                <w:bCs/>
              </w:rPr>
            </w:pPr>
            <w:r w:rsidRPr="001351FC">
              <w:rPr>
                <w:bCs/>
              </w:rPr>
              <w:t>1.</w:t>
            </w:r>
          </w:p>
        </w:tc>
        <w:tc>
          <w:tcPr>
            <w:tcW w:w="2842" w:type="dxa"/>
          </w:tcPr>
          <w:p w14:paraId="74FF7E76" w14:textId="77777777" w:rsidR="004A7F10" w:rsidRPr="001351FC" w:rsidRDefault="004A7F10" w:rsidP="00D56846">
            <w:pPr>
              <w:tabs>
                <w:tab w:val="left" w:pos="170"/>
              </w:tabs>
              <w:ind w:left="57" w:right="57"/>
            </w:pPr>
            <w:r w:rsidRPr="001351FC">
              <w:t>Plānotās sabiedrības līdzdalības un komunikācijas aktivitātes saistībā ar projektu</w:t>
            </w:r>
          </w:p>
        </w:tc>
        <w:tc>
          <w:tcPr>
            <w:tcW w:w="6189" w:type="dxa"/>
          </w:tcPr>
          <w:p w14:paraId="08A361E4" w14:textId="724EA61C" w:rsidR="004A7F10" w:rsidRPr="001351FC" w:rsidRDefault="004A7F10" w:rsidP="00231822">
            <w:pPr>
              <w:ind w:right="142"/>
              <w:jc w:val="both"/>
            </w:pPr>
            <w:bookmarkStart w:id="1" w:name="p61"/>
            <w:bookmarkEnd w:id="1"/>
            <w:r w:rsidRPr="005D373F">
              <w:rPr>
                <w:bCs/>
              </w:rPr>
              <w:t>Noteikumu projekts precizē MK noteikumu</w:t>
            </w:r>
            <w:r>
              <w:rPr>
                <w:bCs/>
              </w:rPr>
              <w:t xml:space="preserve"> Nr. 315 5.1.1. un 5.1.2. </w:t>
            </w:r>
            <w:r w:rsidRPr="005D373F">
              <w:rPr>
                <w:bCs/>
              </w:rPr>
              <w:t>apakšpunkta formulējumu un ir tehniska rakstura.</w:t>
            </w:r>
            <w:r w:rsidR="00D52B0A">
              <w:rPr>
                <w:bCs/>
              </w:rPr>
              <w:t xml:space="preserve"> </w:t>
            </w:r>
            <w:r w:rsidR="00D52B0A" w:rsidRPr="005D373F">
              <w:rPr>
                <w:bCs/>
              </w:rPr>
              <w:t xml:space="preserve">Līdz ar to sabiedrības līdzdalības nodrošināšana nav nepieciešama. </w:t>
            </w:r>
            <w:r w:rsidR="00231822">
              <w:rPr>
                <w:bCs/>
              </w:rPr>
              <w:t>Vienlaikus s</w:t>
            </w:r>
            <w:r w:rsidR="00231822">
              <w:rPr>
                <w:sz w:val="22"/>
                <w:szCs w:val="22"/>
              </w:rPr>
              <w:t xml:space="preserve">abiedrības līdzdalība ir nodrošināta, saskaņojot grozījumu priekšlikumu darbības programmā </w:t>
            </w:r>
            <w:r w:rsidR="00231822">
              <w:rPr>
                <w:bCs/>
              </w:rPr>
              <w:t>“</w:t>
            </w:r>
            <w:r w:rsidR="00231822" w:rsidRPr="003F0DD3">
              <w:rPr>
                <w:rFonts w:eastAsia="Times New Roman"/>
              </w:rPr>
              <w:t>Izaugsme un nodarbinātība”</w:t>
            </w:r>
            <w:r w:rsidR="00231822">
              <w:rPr>
                <w:rFonts w:eastAsia="Times New Roman"/>
              </w:rPr>
              <w:t xml:space="preserve"> </w:t>
            </w:r>
            <w:r w:rsidR="00231822">
              <w:rPr>
                <w:sz w:val="22"/>
                <w:szCs w:val="22"/>
              </w:rPr>
              <w:t>ES fondu 2014.–2020. gada plānošanas perioda uzraudzības komitejā rakstiskās procedūras ietvaros</w:t>
            </w:r>
            <w:r w:rsidR="00D52B0A">
              <w:rPr>
                <w:rFonts w:eastAsia="Times New Roman"/>
              </w:rPr>
              <w:t>.</w:t>
            </w:r>
          </w:p>
        </w:tc>
      </w:tr>
      <w:tr w:rsidR="004A7F10" w14:paraId="07CF51C6" w14:textId="77777777" w:rsidTr="00D56846">
        <w:trPr>
          <w:trHeight w:val="339"/>
        </w:trPr>
        <w:tc>
          <w:tcPr>
            <w:tcW w:w="315" w:type="dxa"/>
          </w:tcPr>
          <w:p w14:paraId="37A0BDDE" w14:textId="77777777" w:rsidR="004A7F10" w:rsidRPr="001351FC" w:rsidRDefault="004A7F10" w:rsidP="00D56846">
            <w:pPr>
              <w:ind w:left="57" w:right="57"/>
              <w:jc w:val="both"/>
              <w:rPr>
                <w:bCs/>
              </w:rPr>
            </w:pPr>
            <w:r w:rsidRPr="001351FC">
              <w:rPr>
                <w:bCs/>
              </w:rPr>
              <w:t>2.</w:t>
            </w:r>
          </w:p>
        </w:tc>
        <w:tc>
          <w:tcPr>
            <w:tcW w:w="2842" w:type="dxa"/>
          </w:tcPr>
          <w:p w14:paraId="2CA0CB16" w14:textId="77777777" w:rsidR="004A7F10" w:rsidRPr="001351FC" w:rsidRDefault="004A7F10" w:rsidP="00D56846">
            <w:pPr>
              <w:ind w:left="57" w:right="57"/>
            </w:pPr>
            <w:r w:rsidRPr="001351FC">
              <w:t>Sabiedrības līdzdalība projekta izstrādē</w:t>
            </w:r>
          </w:p>
        </w:tc>
        <w:tc>
          <w:tcPr>
            <w:tcW w:w="6189" w:type="dxa"/>
          </w:tcPr>
          <w:p w14:paraId="2F9BD1E0" w14:textId="4695803A" w:rsidR="004A7F10" w:rsidRPr="00AF0B85" w:rsidRDefault="00D52B0A" w:rsidP="00D56846">
            <w:pPr>
              <w:shd w:val="clear" w:color="auto" w:fill="FFFFFF"/>
              <w:ind w:left="94" w:right="57"/>
              <w:jc w:val="both"/>
              <w:rPr>
                <w:rFonts w:eastAsiaTheme="minorHAnsi"/>
                <w:bCs/>
                <w:lang w:eastAsia="en-US"/>
              </w:rPr>
            </w:pPr>
            <w:bookmarkStart w:id="2" w:name="p62"/>
            <w:bookmarkEnd w:id="2"/>
            <w:r w:rsidRPr="005D373F">
              <w:rPr>
                <w:bCs/>
              </w:rPr>
              <w:t>Sabiedrības līdzdalību noteikumu projekta izstrādē nebija nepieciešams nodrošināt.</w:t>
            </w:r>
          </w:p>
        </w:tc>
      </w:tr>
      <w:tr w:rsidR="004A7F10" w14:paraId="7D711ADD" w14:textId="77777777" w:rsidTr="00D56846">
        <w:trPr>
          <w:trHeight w:val="476"/>
        </w:trPr>
        <w:tc>
          <w:tcPr>
            <w:tcW w:w="315" w:type="dxa"/>
          </w:tcPr>
          <w:p w14:paraId="3780D2C6" w14:textId="77777777" w:rsidR="004A7F10" w:rsidRPr="001351FC" w:rsidRDefault="004A7F10" w:rsidP="00D56846">
            <w:pPr>
              <w:ind w:left="57" w:right="57"/>
              <w:jc w:val="both"/>
              <w:rPr>
                <w:bCs/>
              </w:rPr>
            </w:pPr>
            <w:r w:rsidRPr="001351FC">
              <w:rPr>
                <w:bCs/>
              </w:rPr>
              <w:t>3.</w:t>
            </w:r>
          </w:p>
        </w:tc>
        <w:tc>
          <w:tcPr>
            <w:tcW w:w="2842" w:type="dxa"/>
          </w:tcPr>
          <w:p w14:paraId="6422D875" w14:textId="77777777" w:rsidR="004A7F10" w:rsidRPr="001351FC" w:rsidRDefault="004A7F10" w:rsidP="00D56846">
            <w:pPr>
              <w:ind w:left="57" w:right="57"/>
            </w:pPr>
            <w:r w:rsidRPr="001351FC">
              <w:t>Sabiedrības līdzdalības rezultāti</w:t>
            </w:r>
          </w:p>
        </w:tc>
        <w:tc>
          <w:tcPr>
            <w:tcW w:w="6189" w:type="dxa"/>
          </w:tcPr>
          <w:p w14:paraId="27D6FB3D" w14:textId="5E2D9A14" w:rsidR="004A7F10" w:rsidRPr="001351FC" w:rsidRDefault="00D52B0A" w:rsidP="00D56846">
            <w:pPr>
              <w:shd w:val="clear" w:color="auto" w:fill="FFFFFF"/>
              <w:tabs>
                <w:tab w:val="left" w:pos="878"/>
              </w:tabs>
              <w:ind w:left="94" w:right="57"/>
              <w:jc w:val="both"/>
            </w:pPr>
            <w:r w:rsidRPr="00AD59A6">
              <w:rPr>
                <w:iCs/>
                <w:color w:val="000000"/>
              </w:rPr>
              <w:t>Noteikumu projekts šo jomu neskar.</w:t>
            </w:r>
          </w:p>
        </w:tc>
      </w:tr>
      <w:tr w:rsidR="004A7F10" w14:paraId="6ECC5445" w14:textId="77777777" w:rsidTr="00D56846">
        <w:trPr>
          <w:trHeight w:val="205"/>
        </w:trPr>
        <w:tc>
          <w:tcPr>
            <w:tcW w:w="315" w:type="dxa"/>
          </w:tcPr>
          <w:p w14:paraId="772089F7" w14:textId="77777777" w:rsidR="004A7F10" w:rsidRPr="001351FC" w:rsidRDefault="004A7F10" w:rsidP="00D56846">
            <w:pPr>
              <w:ind w:left="57" w:right="57"/>
              <w:jc w:val="both"/>
              <w:rPr>
                <w:bCs/>
              </w:rPr>
            </w:pPr>
            <w:r w:rsidRPr="001351FC">
              <w:rPr>
                <w:bCs/>
              </w:rPr>
              <w:t>4.</w:t>
            </w:r>
          </w:p>
        </w:tc>
        <w:tc>
          <w:tcPr>
            <w:tcW w:w="2842" w:type="dxa"/>
          </w:tcPr>
          <w:p w14:paraId="3659C856" w14:textId="77777777" w:rsidR="004A7F10" w:rsidRPr="001351FC" w:rsidRDefault="004A7F10" w:rsidP="00D56846">
            <w:pPr>
              <w:ind w:left="57" w:right="57"/>
            </w:pPr>
            <w:r w:rsidRPr="001351FC">
              <w:t>Cita informācija</w:t>
            </w:r>
          </w:p>
        </w:tc>
        <w:tc>
          <w:tcPr>
            <w:tcW w:w="6189" w:type="dxa"/>
          </w:tcPr>
          <w:p w14:paraId="2D674B9B" w14:textId="77777777" w:rsidR="004A7F10" w:rsidRPr="001351FC" w:rsidRDefault="004A7F10" w:rsidP="00D56846">
            <w:pPr>
              <w:ind w:left="57" w:right="113" w:firstLine="37"/>
              <w:jc w:val="both"/>
            </w:pPr>
            <w:r w:rsidRPr="001351FC">
              <w:t>Nav.</w:t>
            </w:r>
          </w:p>
        </w:tc>
      </w:tr>
    </w:tbl>
    <w:p w14:paraId="2FC9C88A" w14:textId="77777777" w:rsidR="004A7F10" w:rsidRPr="001351FC" w:rsidRDefault="004A7F10" w:rsidP="004A7F10">
      <w:pPr>
        <w:jc w:val="both"/>
      </w:pPr>
    </w:p>
    <w:tbl>
      <w:tblPr>
        <w:tblW w:w="934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3"/>
        <w:gridCol w:w="3201"/>
        <w:gridCol w:w="5812"/>
      </w:tblGrid>
      <w:tr w:rsidR="00ED6931" w14:paraId="01A2BDF2" w14:textId="77777777" w:rsidTr="00477F62">
        <w:trPr>
          <w:trHeight w:val="421"/>
        </w:trPr>
        <w:tc>
          <w:tcPr>
            <w:tcW w:w="9346" w:type="dxa"/>
            <w:gridSpan w:val="3"/>
            <w:vAlign w:val="center"/>
          </w:tcPr>
          <w:p w14:paraId="43B7EA42" w14:textId="77777777" w:rsidR="000952B3" w:rsidRPr="001351FC" w:rsidRDefault="00B650B7" w:rsidP="001351FC">
            <w:pPr>
              <w:pStyle w:val="naisnod"/>
              <w:spacing w:before="0" w:beforeAutospacing="0" w:after="0" w:afterAutospacing="0"/>
              <w:ind w:left="57" w:right="57"/>
              <w:jc w:val="center"/>
            </w:pPr>
            <w:r w:rsidRPr="001351FC">
              <w:rPr>
                <w:b/>
              </w:rPr>
              <w:t>VII. Tiesību akta projekta izpildes nodrošināšana un tās ietekme uz institūcijām</w:t>
            </w:r>
          </w:p>
        </w:tc>
      </w:tr>
      <w:tr w:rsidR="00ED6931" w14:paraId="4802C351" w14:textId="77777777" w:rsidTr="00AF0818">
        <w:trPr>
          <w:trHeight w:val="553"/>
        </w:trPr>
        <w:tc>
          <w:tcPr>
            <w:tcW w:w="333" w:type="dxa"/>
          </w:tcPr>
          <w:p w14:paraId="5B5DA9D4" w14:textId="77777777" w:rsidR="000952B3" w:rsidRPr="001351FC" w:rsidRDefault="00B650B7" w:rsidP="001351FC">
            <w:pPr>
              <w:ind w:left="57" w:right="57"/>
              <w:jc w:val="both"/>
              <w:rPr>
                <w:bCs/>
              </w:rPr>
            </w:pPr>
            <w:r w:rsidRPr="001351FC">
              <w:rPr>
                <w:bCs/>
              </w:rPr>
              <w:t>1.</w:t>
            </w:r>
          </w:p>
        </w:tc>
        <w:tc>
          <w:tcPr>
            <w:tcW w:w="3201" w:type="dxa"/>
          </w:tcPr>
          <w:p w14:paraId="33491DB5" w14:textId="77777777" w:rsidR="000952B3" w:rsidRPr="001351FC" w:rsidRDefault="00B650B7" w:rsidP="001351FC">
            <w:pPr>
              <w:ind w:left="57" w:right="57"/>
            </w:pPr>
            <w:r w:rsidRPr="001351FC">
              <w:t>Projekta izpildē iesaistītās institūcijas</w:t>
            </w:r>
          </w:p>
        </w:tc>
        <w:tc>
          <w:tcPr>
            <w:tcW w:w="5812" w:type="dxa"/>
          </w:tcPr>
          <w:p w14:paraId="17057914" w14:textId="72EF8219" w:rsidR="000952B3" w:rsidRPr="001351FC" w:rsidRDefault="007525AE" w:rsidP="007525AE">
            <w:pPr>
              <w:shd w:val="clear" w:color="auto" w:fill="FFFFFF"/>
              <w:ind w:left="57" w:right="113"/>
              <w:jc w:val="both"/>
            </w:pPr>
            <w:r w:rsidRPr="008A4B76">
              <w:rPr>
                <w:color w:val="000000" w:themeColor="text1"/>
              </w:rPr>
              <w:t xml:space="preserve">Atbildīgās iestādes funkcijas pilda </w:t>
            </w:r>
            <w:r>
              <w:rPr>
                <w:color w:val="000000" w:themeColor="text1"/>
              </w:rPr>
              <w:t xml:space="preserve">IZM, </w:t>
            </w:r>
            <w:r w:rsidRPr="008A4B76">
              <w:rPr>
                <w:color w:val="000000" w:themeColor="text1"/>
              </w:rPr>
              <w:t xml:space="preserve">sadarbības iestādes funkcijas – </w:t>
            </w:r>
            <w:r>
              <w:rPr>
                <w:color w:val="000000" w:themeColor="text1"/>
              </w:rPr>
              <w:t>CFLA</w:t>
            </w:r>
            <w:r w:rsidRPr="008A4B76">
              <w:rPr>
                <w:color w:val="000000" w:themeColor="text1"/>
              </w:rPr>
              <w:t>.</w:t>
            </w:r>
          </w:p>
        </w:tc>
      </w:tr>
      <w:tr w:rsidR="00ED6931" w14:paraId="4F24F579" w14:textId="77777777" w:rsidTr="00AF0818">
        <w:trPr>
          <w:trHeight w:val="339"/>
        </w:trPr>
        <w:tc>
          <w:tcPr>
            <w:tcW w:w="333" w:type="dxa"/>
          </w:tcPr>
          <w:p w14:paraId="2D0BC61B" w14:textId="77777777" w:rsidR="000952B3" w:rsidRPr="001351FC" w:rsidRDefault="00B650B7" w:rsidP="001351FC">
            <w:pPr>
              <w:ind w:left="57" w:right="57"/>
              <w:jc w:val="both"/>
              <w:rPr>
                <w:bCs/>
              </w:rPr>
            </w:pPr>
            <w:r w:rsidRPr="001351FC">
              <w:rPr>
                <w:bCs/>
              </w:rPr>
              <w:lastRenderedPageBreak/>
              <w:t>2.</w:t>
            </w:r>
          </w:p>
        </w:tc>
        <w:tc>
          <w:tcPr>
            <w:tcW w:w="3201" w:type="dxa"/>
          </w:tcPr>
          <w:p w14:paraId="37BBBED2" w14:textId="77777777" w:rsidR="000952B3" w:rsidRPr="001351FC" w:rsidRDefault="00B650B7" w:rsidP="001351FC">
            <w:pPr>
              <w:ind w:left="57" w:right="57"/>
            </w:pPr>
            <w:r w:rsidRPr="001351FC">
              <w:t xml:space="preserve">Projekta izpildes ietekme uz pārvaldes funkcijām un institucionālo struktūru. </w:t>
            </w:r>
          </w:p>
          <w:p w14:paraId="38943CEE" w14:textId="77777777" w:rsidR="000952B3" w:rsidRPr="001351FC" w:rsidRDefault="00B650B7" w:rsidP="001351FC">
            <w:pPr>
              <w:ind w:left="57" w:right="57"/>
            </w:pPr>
            <w:r w:rsidRPr="001351FC">
              <w:t>Jaunu institūciju izveide, esošu institūciju likvidācija vai reorganizācija, to ietekme uz institūcijas cilvēkresursiem</w:t>
            </w:r>
          </w:p>
        </w:tc>
        <w:tc>
          <w:tcPr>
            <w:tcW w:w="5812" w:type="dxa"/>
          </w:tcPr>
          <w:p w14:paraId="780F7304" w14:textId="77777777" w:rsidR="004B4AB8" w:rsidRPr="004B4AB8" w:rsidRDefault="004B4AB8" w:rsidP="004B4AB8">
            <w:pPr>
              <w:spacing w:before="100" w:beforeAutospacing="1" w:after="100" w:afterAutospacing="1"/>
              <w:ind w:left="57"/>
              <w:jc w:val="both"/>
              <w:rPr>
                <w:rFonts w:eastAsia="Times New Roman"/>
                <w:color w:val="000000" w:themeColor="text1"/>
              </w:rPr>
            </w:pPr>
            <w:r w:rsidRPr="004B4AB8">
              <w:rPr>
                <w:color w:val="000000" w:themeColor="text1"/>
              </w:rPr>
              <w:t xml:space="preserve">Noteikumu projektam nav ietekmes uz </w:t>
            </w:r>
            <w:r w:rsidRPr="004B4AB8">
              <w:t>pārvaldes funkcijām un institucionālo struktūru</w:t>
            </w:r>
            <w:r w:rsidRPr="004B4AB8">
              <w:rPr>
                <w:color w:val="000000" w:themeColor="text1"/>
              </w:rPr>
              <w:t>.</w:t>
            </w:r>
          </w:p>
          <w:p w14:paraId="29F24A9B" w14:textId="250421BD" w:rsidR="000952B3" w:rsidRPr="001351FC" w:rsidRDefault="004B4AB8" w:rsidP="004B4AB8">
            <w:pPr>
              <w:shd w:val="clear" w:color="auto" w:fill="FFFFFF"/>
              <w:ind w:left="57" w:right="113"/>
              <w:jc w:val="both"/>
              <w:rPr>
                <w:kern w:val="24"/>
              </w:rPr>
            </w:pPr>
            <w:r w:rsidRPr="004B4AB8">
              <w:rPr>
                <w:color w:val="000000" w:themeColor="text1"/>
              </w:rPr>
              <w:t xml:space="preserve">Noteikumu projekta izpildes rezultātā </w:t>
            </w:r>
            <w:r w:rsidRPr="004B4AB8">
              <w:t>n</w:t>
            </w:r>
            <w:r w:rsidR="00B650B7" w:rsidRPr="004B4AB8">
              <w:t>av p</w:t>
            </w:r>
            <w:r w:rsidR="00B650B7" w:rsidRPr="001351FC">
              <w:t>lānota jaunu institūciju izveide, esošu ins</w:t>
            </w:r>
            <w:r w:rsidR="007A045B" w:rsidRPr="001351FC">
              <w:t>titūciju likvidācija vai reorga</w:t>
            </w:r>
            <w:r w:rsidR="00B650B7" w:rsidRPr="001351FC">
              <w:t>nizācija.</w:t>
            </w:r>
          </w:p>
        </w:tc>
      </w:tr>
      <w:tr w:rsidR="00ED6931" w14:paraId="48A2FB66" w14:textId="77777777" w:rsidTr="00AF0818">
        <w:trPr>
          <w:trHeight w:val="476"/>
        </w:trPr>
        <w:tc>
          <w:tcPr>
            <w:tcW w:w="333" w:type="dxa"/>
          </w:tcPr>
          <w:p w14:paraId="57EA02A4" w14:textId="77777777" w:rsidR="000952B3" w:rsidRPr="001351FC" w:rsidRDefault="00B650B7" w:rsidP="001351FC">
            <w:pPr>
              <w:ind w:left="57" w:right="57"/>
              <w:jc w:val="both"/>
              <w:rPr>
                <w:bCs/>
              </w:rPr>
            </w:pPr>
            <w:r w:rsidRPr="001351FC">
              <w:rPr>
                <w:bCs/>
              </w:rPr>
              <w:t>3.</w:t>
            </w:r>
          </w:p>
        </w:tc>
        <w:tc>
          <w:tcPr>
            <w:tcW w:w="3201" w:type="dxa"/>
          </w:tcPr>
          <w:p w14:paraId="477425B2" w14:textId="77777777" w:rsidR="000952B3" w:rsidRPr="001351FC" w:rsidRDefault="00B650B7" w:rsidP="001351FC">
            <w:pPr>
              <w:ind w:left="57" w:right="57"/>
            </w:pPr>
            <w:r w:rsidRPr="001351FC">
              <w:t>Cita informācija</w:t>
            </w:r>
          </w:p>
        </w:tc>
        <w:tc>
          <w:tcPr>
            <w:tcW w:w="5812" w:type="dxa"/>
          </w:tcPr>
          <w:p w14:paraId="4DD6E884" w14:textId="363012EB" w:rsidR="000952B3" w:rsidRPr="001351FC" w:rsidRDefault="000A5450" w:rsidP="00FE5FE2">
            <w:pPr>
              <w:shd w:val="clear" w:color="auto" w:fill="FFFFFF"/>
              <w:ind w:left="57" w:right="113"/>
              <w:jc w:val="both"/>
            </w:pPr>
            <w:r>
              <w:t>Nav.</w:t>
            </w:r>
          </w:p>
        </w:tc>
      </w:tr>
    </w:tbl>
    <w:p w14:paraId="2F936407" w14:textId="77777777" w:rsidR="007A045B" w:rsidRDefault="007A045B" w:rsidP="001351FC">
      <w:pPr>
        <w:rPr>
          <w:b/>
        </w:rPr>
      </w:pPr>
    </w:p>
    <w:p w14:paraId="44713091" w14:textId="77777777" w:rsidR="00AF0818" w:rsidRPr="001351FC" w:rsidRDefault="00AF0818" w:rsidP="001351FC"/>
    <w:tbl>
      <w:tblPr>
        <w:tblW w:w="0" w:type="auto"/>
        <w:tblLook w:val="04A0" w:firstRow="1" w:lastRow="0" w:firstColumn="1" w:lastColumn="0" w:noHBand="0" w:noVBand="1"/>
      </w:tblPr>
      <w:tblGrid>
        <w:gridCol w:w="5767"/>
        <w:gridCol w:w="3304"/>
      </w:tblGrid>
      <w:tr w:rsidR="00ED6931" w14:paraId="5834315E" w14:textId="77777777" w:rsidTr="00EA151B">
        <w:tc>
          <w:tcPr>
            <w:tcW w:w="5767" w:type="dxa"/>
          </w:tcPr>
          <w:p w14:paraId="398B181E" w14:textId="1855787A" w:rsidR="007A045B" w:rsidRDefault="00B650B7" w:rsidP="001351FC">
            <w:pPr>
              <w:tabs>
                <w:tab w:val="left" w:pos="4320"/>
              </w:tabs>
            </w:pPr>
            <w:r w:rsidRPr="001351FC">
              <w:t xml:space="preserve">Izglītības un </w:t>
            </w:r>
            <w:r w:rsidR="00417B84">
              <w:t xml:space="preserve">zinātnes ministra vietā – </w:t>
            </w:r>
          </w:p>
          <w:p w14:paraId="45610437" w14:textId="33B27126" w:rsidR="00417B84" w:rsidRPr="001351FC" w:rsidRDefault="00417B84" w:rsidP="001351FC">
            <w:pPr>
              <w:tabs>
                <w:tab w:val="left" w:pos="4320"/>
              </w:tabs>
            </w:pPr>
            <w:r>
              <w:t>labklājības ministrs</w:t>
            </w:r>
          </w:p>
        </w:tc>
        <w:tc>
          <w:tcPr>
            <w:tcW w:w="3304" w:type="dxa"/>
          </w:tcPr>
          <w:p w14:paraId="5FAB91E6" w14:textId="77777777" w:rsidR="00417B84" w:rsidRDefault="00B650B7" w:rsidP="001351FC">
            <w:pPr>
              <w:tabs>
                <w:tab w:val="left" w:pos="4320"/>
              </w:tabs>
              <w:jc w:val="center"/>
            </w:pPr>
            <w:r>
              <w:t xml:space="preserve">                 </w:t>
            </w:r>
          </w:p>
          <w:p w14:paraId="35EB8E25" w14:textId="0BE7882C" w:rsidR="007A045B" w:rsidRPr="001351FC" w:rsidRDefault="00417B84" w:rsidP="00417B84">
            <w:pPr>
              <w:tabs>
                <w:tab w:val="left" w:pos="4320"/>
              </w:tabs>
              <w:ind w:left="646"/>
              <w:jc w:val="center"/>
            </w:pPr>
            <w:r>
              <w:t>Jānis Reirs</w:t>
            </w:r>
          </w:p>
          <w:p w14:paraId="28B8E4F4" w14:textId="77777777" w:rsidR="007A045B" w:rsidRPr="001351FC" w:rsidRDefault="007A045B" w:rsidP="001351FC">
            <w:pPr>
              <w:tabs>
                <w:tab w:val="left" w:pos="4320"/>
              </w:tabs>
              <w:jc w:val="right"/>
            </w:pPr>
          </w:p>
        </w:tc>
      </w:tr>
      <w:tr w:rsidR="00ED6931" w:rsidRPr="00605C6C" w14:paraId="184E6440" w14:textId="77777777" w:rsidTr="00EA151B">
        <w:tc>
          <w:tcPr>
            <w:tcW w:w="5767" w:type="dxa"/>
          </w:tcPr>
          <w:p w14:paraId="6556BCFC" w14:textId="77777777" w:rsidR="007A045B" w:rsidRPr="001351FC" w:rsidRDefault="007A045B" w:rsidP="001351FC">
            <w:pPr>
              <w:pStyle w:val="NormalWeb"/>
              <w:spacing w:before="0" w:beforeAutospacing="0" w:after="0" w:afterAutospacing="0"/>
            </w:pPr>
          </w:p>
          <w:p w14:paraId="4B9D0795" w14:textId="2B799526" w:rsidR="007A045B" w:rsidRPr="00605C6C" w:rsidRDefault="00B650B7" w:rsidP="00EA151B">
            <w:pPr>
              <w:pStyle w:val="NormalWeb"/>
              <w:spacing w:before="0" w:beforeAutospacing="0" w:after="0" w:afterAutospacing="0"/>
            </w:pPr>
            <w:r w:rsidRPr="00605C6C">
              <w:t>Vizē:</w:t>
            </w:r>
            <w:r w:rsidRPr="00605C6C">
              <w:tab/>
            </w:r>
          </w:p>
        </w:tc>
        <w:tc>
          <w:tcPr>
            <w:tcW w:w="3304" w:type="dxa"/>
          </w:tcPr>
          <w:p w14:paraId="6238B884" w14:textId="77777777" w:rsidR="007A045B" w:rsidRPr="00605C6C" w:rsidRDefault="007A045B" w:rsidP="001351FC">
            <w:pPr>
              <w:tabs>
                <w:tab w:val="left" w:pos="4320"/>
              </w:tabs>
              <w:jc w:val="right"/>
            </w:pPr>
          </w:p>
          <w:p w14:paraId="350B948B" w14:textId="0FC3E964" w:rsidR="007A045B" w:rsidRPr="00605C6C" w:rsidRDefault="007A045B" w:rsidP="001351FC">
            <w:pPr>
              <w:tabs>
                <w:tab w:val="left" w:pos="4320"/>
              </w:tabs>
              <w:jc w:val="center"/>
            </w:pPr>
          </w:p>
        </w:tc>
      </w:tr>
    </w:tbl>
    <w:p w14:paraId="452EB243" w14:textId="6D98923F" w:rsidR="00EA151B" w:rsidRPr="00EA151B" w:rsidRDefault="00F3153D" w:rsidP="00EA151B">
      <w:pPr>
        <w:tabs>
          <w:tab w:val="left" w:pos="4020"/>
        </w:tabs>
        <w:ind w:left="709" w:hanging="567"/>
      </w:pPr>
      <w:r w:rsidRPr="00605C6C">
        <w:t>Valsts sekretāre</w:t>
      </w:r>
      <w:r w:rsidRPr="00605C6C">
        <w:tab/>
      </w:r>
      <w:r w:rsidRPr="00605C6C">
        <w:tab/>
      </w:r>
      <w:r w:rsidRPr="00605C6C">
        <w:tab/>
      </w:r>
      <w:r w:rsidRPr="00605C6C">
        <w:tab/>
      </w:r>
      <w:r w:rsidRPr="00605C6C">
        <w:tab/>
      </w:r>
      <w:r w:rsidRPr="00605C6C">
        <w:tab/>
      </w:r>
      <w:r w:rsidR="00FE5FE2" w:rsidRPr="00605C6C">
        <w:t>L</w:t>
      </w:r>
      <w:r w:rsidRPr="00605C6C">
        <w:t xml:space="preserve">īga </w:t>
      </w:r>
      <w:r w:rsidR="00FE5FE2" w:rsidRPr="00605C6C">
        <w:t>Lejiņa</w:t>
      </w:r>
    </w:p>
    <w:p w14:paraId="1268B73B" w14:textId="77777777" w:rsidR="007A045B" w:rsidRDefault="007A045B" w:rsidP="001351FC"/>
    <w:p w14:paraId="68D36323" w14:textId="77777777" w:rsidR="001151C4" w:rsidRDefault="001151C4" w:rsidP="00F3153D">
      <w:pPr>
        <w:tabs>
          <w:tab w:val="left" w:pos="2340"/>
          <w:tab w:val="center" w:pos="4153"/>
          <w:tab w:val="right" w:pos="8306"/>
        </w:tabs>
        <w:rPr>
          <w:rFonts w:eastAsia="Times New Roman"/>
          <w:sz w:val="20"/>
          <w:szCs w:val="20"/>
        </w:rPr>
      </w:pPr>
    </w:p>
    <w:p w14:paraId="108F2416" w14:textId="77777777" w:rsidR="001151C4" w:rsidRDefault="001151C4" w:rsidP="00F3153D">
      <w:pPr>
        <w:tabs>
          <w:tab w:val="left" w:pos="2340"/>
          <w:tab w:val="center" w:pos="4153"/>
          <w:tab w:val="right" w:pos="8306"/>
        </w:tabs>
        <w:rPr>
          <w:rFonts w:eastAsia="Times New Roman"/>
          <w:sz w:val="20"/>
          <w:szCs w:val="20"/>
        </w:rPr>
      </w:pPr>
    </w:p>
    <w:p w14:paraId="5E6828D2" w14:textId="77777777" w:rsidR="001151C4" w:rsidRDefault="001151C4" w:rsidP="00F3153D">
      <w:pPr>
        <w:tabs>
          <w:tab w:val="left" w:pos="2340"/>
          <w:tab w:val="center" w:pos="4153"/>
          <w:tab w:val="right" w:pos="8306"/>
        </w:tabs>
        <w:rPr>
          <w:rFonts w:eastAsia="Times New Roman"/>
          <w:sz w:val="20"/>
          <w:szCs w:val="20"/>
        </w:rPr>
      </w:pPr>
    </w:p>
    <w:p w14:paraId="5CF2EF68" w14:textId="77777777" w:rsidR="001151C4" w:rsidRDefault="001151C4" w:rsidP="00F3153D">
      <w:pPr>
        <w:tabs>
          <w:tab w:val="left" w:pos="2340"/>
          <w:tab w:val="center" w:pos="4153"/>
          <w:tab w:val="right" w:pos="8306"/>
        </w:tabs>
        <w:rPr>
          <w:rFonts w:eastAsia="Times New Roman"/>
          <w:sz w:val="20"/>
          <w:szCs w:val="20"/>
        </w:rPr>
      </w:pPr>
    </w:p>
    <w:p w14:paraId="0FF10811" w14:textId="77777777" w:rsidR="003676E2" w:rsidRDefault="003676E2" w:rsidP="00F3153D">
      <w:pPr>
        <w:rPr>
          <w:rFonts w:eastAsia="Times New Roman"/>
          <w:color w:val="0000FF"/>
          <w:sz w:val="20"/>
          <w:szCs w:val="20"/>
          <w:u w:val="single"/>
        </w:rPr>
      </w:pPr>
    </w:p>
    <w:p w14:paraId="0B3DED45" w14:textId="0ACAE896" w:rsidR="003676E2" w:rsidRDefault="003B6A5E" w:rsidP="003676E2">
      <w:pPr>
        <w:rPr>
          <w:rFonts w:eastAsiaTheme="minorHAnsi"/>
          <w:sz w:val="20"/>
          <w:szCs w:val="22"/>
          <w:lang w:eastAsia="en-US"/>
        </w:rPr>
      </w:pPr>
      <w:r>
        <w:rPr>
          <w:sz w:val="20"/>
        </w:rPr>
        <w:t>Usāre 67047818</w:t>
      </w:r>
    </w:p>
    <w:p w14:paraId="2CCF40D4" w14:textId="5864753D" w:rsidR="003676E2" w:rsidRPr="003676E2" w:rsidRDefault="0020262C" w:rsidP="003676E2">
      <w:pPr>
        <w:rPr>
          <w:sz w:val="20"/>
        </w:rPr>
      </w:pPr>
      <w:hyperlink r:id="rId8" w:history="1">
        <w:r w:rsidR="003B6A5E" w:rsidRPr="00E62C55">
          <w:rPr>
            <w:rStyle w:val="Hyperlink"/>
            <w:sz w:val="20"/>
          </w:rPr>
          <w:t>Elina.Usare@izm.gov.lv</w:t>
        </w:r>
      </w:hyperlink>
    </w:p>
    <w:sectPr w:rsidR="003676E2" w:rsidRPr="003676E2" w:rsidSect="003B01C6">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20BB70" w14:textId="77777777" w:rsidR="00A1753F" w:rsidRDefault="00A1753F">
      <w:r>
        <w:separator/>
      </w:r>
    </w:p>
  </w:endnote>
  <w:endnote w:type="continuationSeparator" w:id="0">
    <w:p w14:paraId="190EB594" w14:textId="77777777" w:rsidR="00A1753F" w:rsidRDefault="00A17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512A2" w14:textId="28B2DBD7" w:rsidR="00DB3879" w:rsidRDefault="00B650B7" w:rsidP="00B94A93">
    <w:pPr>
      <w:pStyle w:val="Footer"/>
      <w:tabs>
        <w:tab w:val="clear" w:pos="8306"/>
      </w:tabs>
      <w:jc w:val="both"/>
    </w:pPr>
    <w:r>
      <w:rPr>
        <w:noProof/>
        <w:sz w:val="20"/>
        <w:szCs w:val="20"/>
      </w:rPr>
      <w:t>IZMAnot_</w:t>
    </w:r>
    <w:r w:rsidR="00481885">
      <w:rPr>
        <w:noProof/>
        <w:sz w:val="20"/>
        <w:szCs w:val="20"/>
      </w:rPr>
      <w:t>11</w:t>
    </w:r>
    <w:r w:rsidR="00417B84">
      <w:rPr>
        <w:noProof/>
        <w:sz w:val="20"/>
        <w:szCs w:val="20"/>
      </w:rPr>
      <w:t>12</w:t>
    </w:r>
    <w:r>
      <w:rPr>
        <w:noProof/>
        <w:sz w:val="20"/>
        <w:szCs w:val="20"/>
      </w:rPr>
      <w:t>18_</w:t>
    </w:r>
    <w:r w:rsidR="00624449">
      <w:rPr>
        <w:noProof/>
        <w:sz w:val="20"/>
        <w:szCs w:val="20"/>
      </w:rPr>
      <w:t>groz</w:t>
    </w:r>
    <w:r w:rsidR="00253057">
      <w:rPr>
        <w:noProof/>
        <w:sz w:val="20"/>
        <w:szCs w:val="20"/>
      </w:rPr>
      <w:t>1115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418D3" w14:textId="3CC8E72D" w:rsidR="00DB3879" w:rsidRPr="00521075" w:rsidRDefault="00B94A93" w:rsidP="00521075">
    <w:pPr>
      <w:pStyle w:val="Footer"/>
      <w:tabs>
        <w:tab w:val="clear" w:pos="8306"/>
      </w:tabs>
      <w:jc w:val="both"/>
      <w:rPr>
        <w:noProof/>
        <w:sz w:val="20"/>
        <w:szCs w:val="20"/>
      </w:rPr>
    </w:pPr>
    <w:r>
      <w:rPr>
        <w:noProof/>
        <w:sz w:val="20"/>
        <w:szCs w:val="20"/>
      </w:rPr>
      <w:t>IZMAnot_</w:t>
    </w:r>
    <w:r w:rsidR="00417B84">
      <w:rPr>
        <w:noProof/>
        <w:sz w:val="20"/>
        <w:szCs w:val="20"/>
      </w:rPr>
      <w:t>0312</w:t>
    </w:r>
    <w:r w:rsidR="00253057">
      <w:rPr>
        <w:noProof/>
        <w:sz w:val="20"/>
        <w:szCs w:val="20"/>
      </w:rPr>
      <w:t>18</w:t>
    </w:r>
    <w:r>
      <w:rPr>
        <w:noProof/>
        <w:sz w:val="20"/>
        <w:szCs w:val="20"/>
      </w:rPr>
      <w:t>_</w:t>
    </w:r>
    <w:r w:rsidR="00624449">
      <w:rPr>
        <w:noProof/>
        <w:sz w:val="20"/>
        <w:szCs w:val="20"/>
      </w:rPr>
      <w:t>groz</w:t>
    </w:r>
    <w:r w:rsidR="00253057">
      <w:rPr>
        <w:noProof/>
        <w:sz w:val="20"/>
        <w:szCs w:val="20"/>
      </w:rPr>
      <w:t>1115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AD8516" w14:textId="77777777" w:rsidR="00A1753F" w:rsidRDefault="00A1753F">
      <w:r>
        <w:separator/>
      </w:r>
    </w:p>
  </w:footnote>
  <w:footnote w:type="continuationSeparator" w:id="0">
    <w:p w14:paraId="1947176F" w14:textId="77777777" w:rsidR="00A1753F" w:rsidRDefault="00A1753F">
      <w:r>
        <w:continuationSeparator/>
      </w:r>
    </w:p>
  </w:footnote>
  <w:footnote w:id="1">
    <w:p w14:paraId="0B7091F7" w14:textId="6D2F6169" w:rsidR="005C1803" w:rsidRDefault="005C1803" w:rsidP="008B18A8">
      <w:pPr>
        <w:pStyle w:val="FootnoteText"/>
        <w:jc w:val="both"/>
      </w:pPr>
      <w:r>
        <w:rPr>
          <w:rStyle w:val="FootnoteReference"/>
        </w:rPr>
        <w:footnoteRef/>
      </w:r>
      <w:r>
        <w:t xml:space="preserve"> </w:t>
      </w:r>
      <w:r w:rsidRPr="00BB393B">
        <w:t>Ministru kabineta 2017. gada 6. jūn</w:t>
      </w:r>
      <w:r>
        <w:t xml:space="preserve">ija noteikumi </w:t>
      </w:r>
      <w:r w:rsidRPr="00BB393B">
        <w:t>Nr. 315 “Darbības programmas “Izaugsme un nodarbinātība” 1.1.1. specifiskā atbalsta mērķa “Palielināt Latvijas zinātnisko institūciju pētniecisko un inovatīvo kapacitāti un spēju piesaistīt ārējo finansējumu, ieguldot cilvēkresursos un infrastruktūrā” 1.1.1.5. pasākuma “Atbalsts starptautiskās sadarbības projektiem pētniecībā un inovācijās” pirmās, otrās un trešās projektu iesniegumu atlases kārtas īstenošanas noteikumi”</w:t>
      </w:r>
      <w:r>
        <w:t>,</w:t>
      </w:r>
      <w:r w:rsidRPr="003F0DD3">
        <w:t xml:space="preserve"> </w:t>
      </w:r>
      <w:hyperlink r:id="rId1" w:history="1">
        <w:r w:rsidRPr="00977B35">
          <w:rPr>
            <w:rStyle w:val="Hyperlink"/>
          </w:rPr>
          <w:t>https://likumi.lv/ta/id/291823-darbibas-programmas-izaugsme-un-nodarbinatiba-1-1-1-specifiska-atbalsta-merka-palielinat-latvijas-zinatnisko-instituciju</w:t>
        </w:r>
      </w:hyperlink>
    </w:p>
  </w:footnote>
  <w:footnote w:id="2">
    <w:p w14:paraId="2853EAFC" w14:textId="1B9204CB" w:rsidR="00F53A6B" w:rsidRPr="00787AF1" w:rsidRDefault="00782C36" w:rsidP="00782C36">
      <w:pPr>
        <w:pStyle w:val="FootnoteText"/>
      </w:pPr>
      <w:r w:rsidRPr="00787AF1">
        <w:rPr>
          <w:rStyle w:val="FootnoteReference"/>
        </w:rPr>
        <w:footnoteRef/>
      </w:r>
      <w:r w:rsidRPr="00787AF1">
        <w:t xml:space="preserve"> </w:t>
      </w:r>
      <w:r w:rsidRPr="001D7DE5">
        <w:t xml:space="preserve">Atbilstoši </w:t>
      </w:r>
      <w:r w:rsidRPr="00EE3E4B">
        <w:t>Zinātnes un tehnoloģijas attīstības un inovācijas pamatnostādnes 2014.-2020.gadam</w:t>
      </w:r>
      <w:r w:rsidRPr="009B7421">
        <w:t xml:space="preserve"> </w:t>
      </w:r>
      <w:hyperlink r:id="rId2" w:history="1">
        <w:r w:rsidR="00F53A6B" w:rsidRPr="009B7421">
          <w:rPr>
            <w:rStyle w:val="Hyperlink"/>
          </w:rPr>
          <w:t>http://polsis.mk.gov.lv/documents/4608</w:t>
        </w:r>
      </w:hyperlink>
    </w:p>
  </w:footnote>
  <w:footnote w:id="3">
    <w:p w14:paraId="693D1AC8" w14:textId="38F12806" w:rsidR="007F7448" w:rsidRDefault="007F7448" w:rsidP="007F7448">
      <w:pPr>
        <w:pStyle w:val="FootnoteText"/>
        <w:jc w:val="both"/>
      </w:pPr>
      <w:r>
        <w:rPr>
          <w:rStyle w:val="FootnoteReference"/>
        </w:rPr>
        <w:footnoteRef/>
      </w:r>
      <w:r>
        <w:t xml:space="preserve"> Saskaņā ar </w:t>
      </w:r>
      <w:r w:rsidRPr="007F7448">
        <w:t xml:space="preserve">Zinātnes un tehnoloģijas attīstības un </w:t>
      </w:r>
      <w:r>
        <w:t>inovācijas pamatnostādnēm 2014.-</w:t>
      </w:r>
      <w:r w:rsidRPr="007F7448">
        <w:t>2020.gadam</w:t>
      </w:r>
      <w:r>
        <w:t xml:space="preserve">, pieejams:  </w:t>
      </w:r>
      <w:hyperlink r:id="rId3" w:history="1">
        <w:r w:rsidRPr="0085735E">
          <w:rPr>
            <w:rStyle w:val="Hyperlink"/>
          </w:rPr>
          <w:t>http://polsis.mk.gov.lv/documents/4608</w:t>
        </w:r>
      </w:hyperlink>
      <w:r>
        <w:t xml:space="preserve"> </w:t>
      </w:r>
    </w:p>
  </w:footnote>
  <w:footnote w:id="4">
    <w:p w14:paraId="188E7445" w14:textId="3CF4C3C9" w:rsidR="00286420" w:rsidRDefault="00286420">
      <w:pPr>
        <w:pStyle w:val="FootnoteText"/>
      </w:pPr>
      <w:r>
        <w:rPr>
          <w:rStyle w:val="FootnoteReference"/>
        </w:rPr>
        <w:footnoteRef/>
      </w:r>
      <w:r>
        <w:t xml:space="preserve"> </w:t>
      </w:r>
      <w:hyperlink r:id="rId4" w:history="1">
        <w:r w:rsidRPr="001435AF">
          <w:rPr>
            <w:rStyle w:val="Hyperlink"/>
          </w:rPr>
          <w:t>https://likumi.lv/ta/id/295595-par-videja-termina-budzeta-ietvaru-2018-2019-un-2020-gadam</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8740153"/>
      <w:docPartObj>
        <w:docPartGallery w:val="Page Numbers (Top of Page)"/>
        <w:docPartUnique/>
      </w:docPartObj>
    </w:sdtPr>
    <w:sdtEndPr>
      <w:rPr>
        <w:noProof/>
      </w:rPr>
    </w:sdtEndPr>
    <w:sdtContent>
      <w:p w14:paraId="7D8F98E8" w14:textId="77777777" w:rsidR="00DB3879" w:rsidRDefault="00B650B7">
        <w:pPr>
          <w:pStyle w:val="Header"/>
          <w:jc w:val="center"/>
        </w:pPr>
        <w:r>
          <w:fldChar w:fldCharType="begin"/>
        </w:r>
        <w:r>
          <w:instrText xml:space="preserve"> PAGE   \* MERGEFORMAT </w:instrText>
        </w:r>
        <w:r>
          <w:fldChar w:fldCharType="separate"/>
        </w:r>
        <w:r w:rsidR="0020262C">
          <w:rPr>
            <w:noProof/>
          </w:rPr>
          <w:t>2</w:t>
        </w:r>
        <w:r>
          <w:rPr>
            <w:noProof/>
          </w:rPr>
          <w:fldChar w:fldCharType="end"/>
        </w:r>
      </w:p>
    </w:sdtContent>
  </w:sdt>
  <w:p w14:paraId="08EA09F9" w14:textId="77777777" w:rsidR="00DB3879" w:rsidRDefault="00DB3879" w:rsidP="005210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00A7"/>
    <w:multiLevelType w:val="hybridMultilevel"/>
    <w:tmpl w:val="B7FCBE90"/>
    <w:lvl w:ilvl="0" w:tplc="947E2E76">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F621C"/>
    <w:multiLevelType w:val="hybridMultilevel"/>
    <w:tmpl w:val="98D49D5C"/>
    <w:lvl w:ilvl="0" w:tplc="539AB96E">
      <w:start w:val="1"/>
      <w:numFmt w:val="bullet"/>
      <w:lvlText w:val=""/>
      <w:lvlJc w:val="left"/>
      <w:pPr>
        <w:ind w:left="754" w:hanging="360"/>
      </w:pPr>
      <w:rPr>
        <w:rFonts w:ascii="Symbol" w:hAnsi="Symbol" w:hint="default"/>
      </w:rPr>
    </w:lvl>
    <w:lvl w:ilvl="1" w:tplc="6198616E" w:tentative="1">
      <w:start w:val="1"/>
      <w:numFmt w:val="bullet"/>
      <w:lvlText w:val="o"/>
      <w:lvlJc w:val="left"/>
      <w:pPr>
        <w:ind w:left="1474" w:hanging="360"/>
      </w:pPr>
      <w:rPr>
        <w:rFonts w:ascii="Courier New" w:hAnsi="Courier New" w:cs="Courier New" w:hint="default"/>
      </w:rPr>
    </w:lvl>
    <w:lvl w:ilvl="2" w:tplc="3014D0EA" w:tentative="1">
      <w:start w:val="1"/>
      <w:numFmt w:val="bullet"/>
      <w:lvlText w:val=""/>
      <w:lvlJc w:val="left"/>
      <w:pPr>
        <w:ind w:left="2194" w:hanging="360"/>
      </w:pPr>
      <w:rPr>
        <w:rFonts w:ascii="Wingdings" w:hAnsi="Wingdings" w:hint="default"/>
      </w:rPr>
    </w:lvl>
    <w:lvl w:ilvl="3" w:tplc="38EE95B8" w:tentative="1">
      <w:start w:val="1"/>
      <w:numFmt w:val="bullet"/>
      <w:lvlText w:val=""/>
      <w:lvlJc w:val="left"/>
      <w:pPr>
        <w:ind w:left="2914" w:hanging="360"/>
      </w:pPr>
      <w:rPr>
        <w:rFonts w:ascii="Symbol" w:hAnsi="Symbol" w:hint="default"/>
      </w:rPr>
    </w:lvl>
    <w:lvl w:ilvl="4" w:tplc="598EFF7A" w:tentative="1">
      <w:start w:val="1"/>
      <w:numFmt w:val="bullet"/>
      <w:lvlText w:val="o"/>
      <w:lvlJc w:val="left"/>
      <w:pPr>
        <w:ind w:left="3634" w:hanging="360"/>
      </w:pPr>
      <w:rPr>
        <w:rFonts w:ascii="Courier New" w:hAnsi="Courier New" w:cs="Courier New" w:hint="default"/>
      </w:rPr>
    </w:lvl>
    <w:lvl w:ilvl="5" w:tplc="B40827D0" w:tentative="1">
      <w:start w:val="1"/>
      <w:numFmt w:val="bullet"/>
      <w:lvlText w:val=""/>
      <w:lvlJc w:val="left"/>
      <w:pPr>
        <w:ind w:left="4354" w:hanging="360"/>
      </w:pPr>
      <w:rPr>
        <w:rFonts w:ascii="Wingdings" w:hAnsi="Wingdings" w:hint="default"/>
      </w:rPr>
    </w:lvl>
    <w:lvl w:ilvl="6" w:tplc="99840C46" w:tentative="1">
      <w:start w:val="1"/>
      <w:numFmt w:val="bullet"/>
      <w:lvlText w:val=""/>
      <w:lvlJc w:val="left"/>
      <w:pPr>
        <w:ind w:left="5074" w:hanging="360"/>
      </w:pPr>
      <w:rPr>
        <w:rFonts w:ascii="Symbol" w:hAnsi="Symbol" w:hint="default"/>
      </w:rPr>
    </w:lvl>
    <w:lvl w:ilvl="7" w:tplc="48F68A4C" w:tentative="1">
      <w:start w:val="1"/>
      <w:numFmt w:val="bullet"/>
      <w:lvlText w:val="o"/>
      <w:lvlJc w:val="left"/>
      <w:pPr>
        <w:ind w:left="5794" w:hanging="360"/>
      </w:pPr>
      <w:rPr>
        <w:rFonts w:ascii="Courier New" w:hAnsi="Courier New" w:cs="Courier New" w:hint="default"/>
      </w:rPr>
    </w:lvl>
    <w:lvl w:ilvl="8" w:tplc="0284EFD8" w:tentative="1">
      <w:start w:val="1"/>
      <w:numFmt w:val="bullet"/>
      <w:lvlText w:val=""/>
      <w:lvlJc w:val="left"/>
      <w:pPr>
        <w:ind w:left="6514" w:hanging="360"/>
      </w:pPr>
      <w:rPr>
        <w:rFonts w:ascii="Wingdings" w:hAnsi="Wingdings" w:hint="default"/>
      </w:rPr>
    </w:lvl>
  </w:abstractNum>
  <w:abstractNum w:abstractNumId="2" w15:restartNumberingAfterBreak="0">
    <w:nsid w:val="0D133711"/>
    <w:multiLevelType w:val="hybridMultilevel"/>
    <w:tmpl w:val="6EE004F2"/>
    <w:lvl w:ilvl="0" w:tplc="C152F7CE">
      <w:start w:val="1"/>
      <w:numFmt w:val="decimal"/>
      <w:lvlText w:val="%1."/>
      <w:lvlJc w:val="left"/>
      <w:pPr>
        <w:ind w:left="720" w:hanging="360"/>
      </w:pPr>
    </w:lvl>
    <w:lvl w:ilvl="1" w:tplc="3CD067AC" w:tentative="1">
      <w:start w:val="1"/>
      <w:numFmt w:val="lowerLetter"/>
      <w:lvlText w:val="%2."/>
      <w:lvlJc w:val="left"/>
      <w:pPr>
        <w:ind w:left="1440" w:hanging="360"/>
      </w:pPr>
    </w:lvl>
    <w:lvl w:ilvl="2" w:tplc="8B163E64" w:tentative="1">
      <w:start w:val="1"/>
      <w:numFmt w:val="lowerRoman"/>
      <w:lvlText w:val="%3."/>
      <w:lvlJc w:val="right"/>
      <w:pPr>
        <w:ind w:left="2160" w:hanging="180"/>
      </w:pPr>
    </w:lvl>
    <w:lvl w:ilvl="3" w:tplc="D9E47EDE" w:tentative="1">
      <w:start w:val="1"/>
      <w:numFmt w:val="decimal"/>
      <w:lvlText w:val="%4."/>
      <w:lvlJc w:val="left"/>
      <w:pPr>
        <w:ind w:left="2880" w:hanging="360"/>
      </w:pPr>
    </w:lvl>
    <w:lvl w:ilvl="4" w:tplc="ACD87378" w:tentative="1">
      <w:start w:val="1"/>
      <w:numFmt w:val="lowerLetter"/>
      <w:lvlText w:val="%5."/>
      <w:lvlJc w:val="left"/>
      <w:pPr>
        <w:ind w:left="3600" w:hanging="360"/>
      </w:pPr>
    </w:lvl>
    <w:lvl w:ilvl="5" w:tplc="46B4CC26" w:tentative="1">
      <w:start w:val="1"/>
      <w:numFmt w:val="lowerRoman"/>
      <w:lvlText w:val="%6."/>
      <w:lvlJc w:val="right"/>
      <w:pPr>
        <w:ind w:left="4320" w:hanging="180"/>
      </w:pPr>
    </w:lvl>
    <w:lvl w:ilvl="6" w:tplc="8A2895D4" w:tentative="1">
      <w:start w:val="1"/>
      <w:numFmt w:val="decimal"/>
      <w:lvlText w:val="%7."/>
      <w:lvlJc w:val="left"/>
      <w:pPr>
        <w:ind w:left="5040" w:hanging="360"/>
      </w:pPr>
    </w:lvl>
    <w:lvl w:ilvl="7" w:tplc="50E0FBE6" w:tentative="1">
      <w:start w:val="1"/>
      <w:numFmt w:val="lowerLetter"/>
      <w:lvlText w:val="%8."/>
      <w:lvlJc w:val="left"/>
      <w:pPr>
        <w:ind w:left="5760" w:hanging="360"/>
      </w:pPr>
    </w:lvl>
    <w:lvl w:ilvl="8" w:tplc="6E30B3C0" w:tentative="1">
      <w:start w:val="1"/>
      <w:numFmt w:val="lowerRoman"/>
      <w:lvlText w:val="%9."/>
      <w:lvlJc w:val="right"/>
      <w:pPr>
        <w:ind w:left="6480" w:hanging="180"/>
      </w:pPr>
    </w:lvl>
  </w:abstractNum>
  <w:abstractNum w:abstractNumId="3" w15:restartNumberingAfterBreak="0">
    <w:nsid w:val="0D4C5E04"/>
    <w:multiLevelType w:val="hybridMultilevel"/>
    <w:tmpl w:val="2BA6FEEC"/>
    <w:lvl w:ilvl="0" w:tplc="3F5E6684">
      <w:start w:val="1"/>
      <w:numFmt w:val="decimal"/>
      <w:lvlText w:val="%1."/>
      <w:lvlJc w:val="left"/>
      <w:pPr>
        <w:ind w:left="720" w:hanging="360"/>
      </w:pPr>
    </w:lvl>
    <w:lvl w:ilvl="1" w:tplc="5C2C69A0" w:tentative="1">
      <w:start w:val="1"/>
      <w:numFmt w:val="lowerLetter"/>
      <w:lvlText w:val="%2."/>
      <w:lvlJc w:val="left"/>
      <w:pPr>
        <w:ind w:left="1440" w:hanging="360"/>
      </w:pPr>
    </w:lvl>
    <w:lvl w:ilvl="2" w:tplc="8236E16C" w:tentative="1">
      <w:start w:val="1"/>
      <w:numFmt w:val="lowerRoman"/>
      <w:lvlText w:val="%3."/>
      <w:lvlJc w:val="right"/>
      <w:pPr>
        <w:ind w:left="2160" w:hanging="180"/>
      </w:pPr>
    </w:lvl>
    <w:lvl w:ilvl="3" w:tplc="7D8A81A0" w:tentative="1">
      <w:start w:val="1"/>
      <w:numFmt w:val="decimal"/>
      <w:lvlText w:val="%4."/>
      <w:lvlJc w:val="left"/>
      <w:pPr>
        <w:ind w:left="2880" w:hanging="360"/>
      </w:pPr>
    </w:lvl>
    <w:lvl w:ilvl="4" w:tplc="49DE5DA8" w:tentative="1">
      <w:start w:val="1"/>
      <w:numFmt w:val="lowerLetter"/>
      <w:lvlText w:val="%5."/>
      <w:lvlJc w:val="left"/>
      <w:pPr>
        <w:ind w:left="3600" w:hanging="360"/>
      </w:pPr>
    </w:lvl>
    <w:lvl w:ilvl="5" w:tplc="4EA202C0" w:tentative="1">
      <w:start w:val="1"/>
      <w:numFmt w:val="lowerRoman"/>
      <w:lvlText w:val="%6."/>
      <w:lvlJc w:val="right"/>
      <w:pPr>
        <w:ind w:left="4320" w:hanging="180"/>
      </w:pPr>
    </w:lvl>
    <w:lvl w:ilvl="6" w:tplc="D5DCEF2C" w:tentative="1">
      <w:start w:val="1"/>
      <w:numFmt w:val="decimal"/>
      <w:lvlText w:val="%7."/>
      <w:lvlJc w:val="left"/>
      <w:pPr>
        <w:ind w:left="5040" w:hanging="360"/>
      </w:pPr>
    </w:lvl>
    <w:lvl w:ilvl="7" w:tplc="215C3218" w:tentative="1">
      <w:start w:val="1"/>
      <w:numFmt w:val="lowerLetter"/>
      <w:lvlText w:val="%8."/>
      <w:lvlJc w:val="left"/>
      <w:pPr>
        <w:ind w:left="5760" w:hanging="360"/>
      </w:pPr>
    </w:lvl>
    <w:lvl w:ilvl="8" w:tplc="0F243188" w:tentative="1">
      <w:start w:val="1"/>
      <w:numFmt w:val="lowerRoman"/>
      <w:lvlText w:val="%9."/>
      <w:lvlJc w:val="right"/>
      <w:pPr>
        <w:ind w:left="6480" w:hanging="180"/>
      </w:pPr>
    </w:lvl>
  </w:abstractNum>
  <w:abstractNum w:abstractNumId="4" w15:restartNumberingAfterBreak="0">
    <w:nsid w:val="1A5903C8"/>
    <w:multiLevelType w:val="hybridMultilevel"/>
    <w:tmpl w:val="95543244"/>
    <w:lvl w:ilvl="0" w:tplc="A866DC78">
      <w:start w:val="1"/>
      <w:numFmt w:val="bullet"/>
      <w:lvlText w:val=""/>
      <w:lvlJc w:val="left"/>
      <w:pPr>
        <w:ind w:left="777" w:hanging="360"/>
      </w:pPr>
      <w:rPr>
        <w:rFonts w:ascii="Symbol" w:hAnsi="Symbol" w:hint="default"/>
      </w:rPr>
    </w:lvl>
    <w:lvl w:ilvl="1" w:tplc="63D2D884" w:tentative="1">
      <w:start w:val="1"/>
      <w:numFmt w:val="bullet"/>
      <w:lvlText w:val="o"/>
      <w:lvlJc w:val="left"/>
      <w:pPr>
        <w:ind w:left="1497" w:hanging="360"/>
      </w:pPr>
      <w:rPr>
        <w:rFonts w:ascii="Courier New" w:hAnsi="Courier New" w:cs="Courier New" w:hint="default"/>
      </w:rPr>
    </w:lvl>
    <w:lvl w:ilvl="2" w:tplc="C6F05ECC" w:tentative="1">
      <w:start w:val="1"/>
      <w:numFmt w:val="bullet"/>
      <w:lvlText w:val=""/>
      <w:lvlJc w:val="left"/>
      <w:pPr>
        <w:ind w:left="2217" w:hanging="360"/>
      </w:pPr>
      <w:rPr>
        <w:rFonts w:ascii="Wingdings" w:hAnsi="Wingdings" w:hint="default"/>
      </w:rPr>
    </w:lvl>
    <w:lvl w:ilvl="3" w:tplc="13D2DD98" w:tentative="1">
      <w:start w:val="1"/>
      <w:numFmt w:val="bullet"/>
      <w:lvlText w:val=""/>
      <w:lvlJc w:val="left"/>
      <w:pPr>
        <w:ind w:left="2937" w:hanging="360"/>
      </w:pPr>
      <w:rPr>
        <w:rFonts w:ascii="Symbol" w:hAnsi="Symbol" w:hint="default"/>
      </w:rPr>
    </w:lvl>
    <w:lvl w:ilvl="4" w:tplc="A03CAF4C" w:tentative="1">
      <w:start w:val="1"/>
      <w:numFmt w:val="bullet"/>
      <w:lvlText w:val="o"/>
      <w:lvlJc w:val="left"/>
      <w:pPr>
        <w:ind w:left="3657" w:hanging="360"/>
      </w:pPr>
      <w:rPr>
        <w:rFonts w:ascii="Courier New" w:hAnsi="Courier New" w:cs="Courier New" w:hint="default"/>
      </w:rPr>
    </w:lvl>
    <w:lvl w:ilvl="5" w:tplc="75B8743C" w:tentative="1">
      <w:start w:val="1"/>
      <w:numFmt w:val="bullet"/>
      <w:lvlText w:val=""/>
      <w:lvlJc w:val="left"/>
      <w:pPr>
        <w:ind w:left="4377" w:hanging="360"/>
      </w:pPr>
      <w:rPr>
        <w:rFonts w:ascii="Wingdings" w:hAnsi="Wingdings" w:hint="default"/>
      </w:rPr>
    </w:lvl>
    <w:lvl w:ilvl="6" w:tplc="99E447AE" w:tentative="1">
      <w:start w:val="1"/>
      <w:numFmt w:val="bullet"/>
      <w:lvlText w:val=""/>
      <w:lvlJc w:val="left"/>
      <w:pPr>
        <w:ind w:left="5097" w:hanging="360"/>
      </w:pPr>
      <w:rPr>
        <w:rFonts w:ascii="Symbol" w:hAnsi="Symbol" w:hint="default"/>
      </w:rPr>
    </w:lvl>
    <w:lvl w:ilvl="7" w:tplc="476ED51E" w:tentative="1">
      <w:start w:val="1"/>
      <w:numFmt w:val="bullet"/>
      <w:lvlText w:val="o"/>
      <w:lvlJc w:val="left"/>
      <w:pPr>
        <w:ind w:left="5817" w:hanging="360"/>
      </w:pPr>
      <w:rPr>
        <w:rFonts w:ascii="Courier New" w:hAnsi="Courier New" w:cs="Courier New" w:hint="default"/>
      </w:rPr>
    </w:lvl>
    <w:lvl w:ilvl="8" w:tplc="8E68D1F6" w:tentative="1">
      <w:start w:val="1"/>
      <w:numFmt w:val="bullet"/>
      <w:lvlText w:val=""/>
      <w:lvlJc w:val="left"/>
      <w:pPr>
        <w:ind w:left="6537" w:hanging="360"/>
      </w:pPr>
      <w:rPr>
        <w:rFonts w:ascii="Wingdings" w:hAnsi="Wingdings" w:hint="default"/>
      </w:rPr>
    </w:lvl>
  </w:abstractNum>
  <w:abstractNum w:abstractNumId="5" w15:restartNumberingAfterBreak="0">
    <w:nsid w:val="39827329"/>
    <w:multiLevelType w:val="hybridMultilevel"/>
    <w:tmpl w:val="CCEC3474"/>
    <w:lvl w:ilvl="0" w:tplc="CDA4A210">
      <w:start w:val="5"/>
      <w:numFmt w:val="bullet"/>
      <w:lvlText w:val="-"/>
      <w:lvlJc w:val="left"/>
      <w:pPr>
        <w:ind w:left="417" w:hanging="360"/>
      </w:pPr>
      <w:rPr>
        <w:rFonts w:ascii="Times New Roman" w:eastAsia="Times New Roman" w:hAnsi="Times New Roman" w:cs="Times New Roman" w:hint="default"/>
        <w:sz w:val="28"/>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6" w15:restartNumberingAfterBreak="0">
    <w:nsid w:val="47821293"/>
    <w:multiLevelType w:val="hybridMultilevel"/>
    <w:tmpl w:val="91F851B8"/>
    <w:lvl w:ilvl="0" w:tplc="2DC42034">
      <w:start w:val="1"/>
      <w:numFmt w:val="decimal"/>
      <w:lvlText w:val="%1."/>
      <w:lvlJc w:val="left"/>
      <w:pPr>
        <w:ind w:left="720" w:hanging="360"/>
      </w:pPr>
    </w:lvl>
    <w:lvl w:ilvl="1" w:tplc="F2A41AC8" w:tentative="1">
      <w:start w:val="1"/>
      <w:numFmt w:val="lowerLetter"/>
      <w:lvlText w:val="%2."/>
      <w:lvlJc w:val="left"/>
      <w:pPr>
        <w:ind w:left="1440" w:hanging="360"/>
      </w:pPr>
    </w:lvl>
    <w:lvl w:ilvl="2" w:tplc="F0A69B3A" w:tentative="1">
      <w:start w:val="1"/>
      <w:numFmt w:val="lowerRoman"/>
      <w:lvlText w:val="%3."/>
      <w:lvlJc w:val="right"/>
      <w:pPr>
        <w:ind w:left="2160" w:hanging="180"/>
      </w:pPr>
    </w:lvl>
    <w:lvl w:ilvl="3" w:tplc="A39C38C6" w:tentative="1">
      <w:start w:val="1"/>
      <w:numFmt w:val="decimal"/>
      <w:lvlText w:val="%4."/>
      <w:lvlJc w:val="left"/>
      <w:pPr>
        <w:ind w:left="2880" w:hanging="360"/>
      </w:pPr>
    </w:lvl>
    <w:lvl w:ilvl="4" w:tplc="83F004FE" w:tentative="1">
      <w:start w:val="1"/>
      <w:numFmt w:val="lowerLetter"/>
      <w:lvlText w:val="%5."/>
      <w:lvlJc w:val="left"/>
      <w:pPr>
        <w:ind w:left="3600" w:hanging="360"/>
      </w:pPr>
    </w:lvl>
    <w:lvl w:ilvl="5" w:tplc="E0162AB0" w:tentative="1">
      <w:start w:val="1"/>
      <w:numFmt w:val="lowerRoman"/>
      <w:lvlText w:val="%6."/>
      <w:lvlJc w:val="right"/>
      <w:pPr>
        <w:ind w:left="4320" w:hanging="180"/>
      </w:pPr>
    </w:lvl>
    <w:lvl w:ilvl="6" w:tplc="061A63E2" w:tentative="1">
      <w:start w:val="1"/>
      <w:numFmt w:val="decimal"/>
      <w:lvlText w:val="%7."/>
      <w:lvlJc w:val="left"/>
      <w:pPr>
        <w:ind w:left="5040" w:hanging="360"/>
      </w:pPr>
    </w:lvl>
    <w:lvl w:ilvl="7" w:tplc="48BA7904" w:tentative="1">
      <w:start w:val="1"/>
      <w:numFmt w:val="lowerLetter"/>
      <w:lvlText w:val="%8."/>
      <w:lvlJc w:val="left"/>
      <w:pPr>
        <w:ind w:left="5760" w:hanging="360"/>
      </w:pPr>
    </w:lvl>
    <w:lvl w:ilvl="8" w:tplc="1D22E78A" w:tentative="1">
      <w:start w:val="1"/>
      <w:numFmt w:val="lowerRoman"/>
      <w:lvlText w:val="%9."/>
      <w:lvlJc w:val="right"/>
      <w:pPr>
        <w:ind w:left="6480" w:hanging="180"/>
      </w:pPr>
    </w:lvl>
  </w:abstractNum>
  <w:abstractNum w:abstractNumId="7" w15:restartNumberingAfterBreak="0">
    <w:nsid w:val="541915C6"/>
    <w:multiLevelType w:val="hybridMultilevel"/>
    <w:tmpl w:val="C360BDB6"/>
    <w:lvl w:ilvl="0" w:tplc="3CF4B130">
      <w:start w:val="1"/>
      <w:numFmt w:val="decimal"/>
      <w:lvlText w:val="%1."/>
      <w:lvlJc w:val="left"/>
      <w:pPr>
        <w:ind w:left="720" w:hanging="360"/>
      </w:pPr>
      <w:rPr>
        <w:rFonts w:ascii="Times New Roman" w:eastAsia="Times New Roman" w:hAnsi="Times New Roman" w:cs="Times New Roman"/>
      </w:rPr>
    </w:lvl>
    <w:lvl w:ilvl="1" w:tplc="1F8C8748" w:tentative="1">
      <w:start w:val="1"/>
      <w:numFmt w:val="lowerLetter"/>
      <w:lvlText w:val="%2."/>
      <w:lvlJc w:val="left"/>
      <w:pPr>
        <w:ind w:left="1440" w:hanging="360"/>
      </w:pPr>
    </w:lvl>
    <w:lvl w:ilvl="2" w:tplc="5F48E9C2" w:tentative="1">
      <w:start w:val="1"/>
      <w:numFmt w:val="lowerRoman"/>
      <w:lvlText w:val="%3."/>
      <w:lvlJc w:val="right"/>
      <w:pPr>
        <w:ind w:left="2160" w:hanging="180"/>
      </w:pPr>
    </w:lvl>
    <w:lvl w:ilvl="3" w:tplc="7BAE4D48" w:tentative="1">
      <w:start w:val="1"/>
      <w:numFmt w:val="decimal"/>
      <w:lvlText w:val="%4."/>
      <w:lvlJc w:val="left"/>
      <w:pPr>
        <w:ind w:left="2880" w:hanging="360"/>
      </w:pPr>
    </w:lvl>
    <w:lvl w:ilvl="4" w:tplc="41F48E1E" w:tentative="1">
      <w:start w:val="1"/>
      <w:numFmt w:val="lowerLetter"/>
      <w:lvlText w:val="%5."/>
      <w:lvlJc w:val="left"/>
      <w:pPr>
        <w:ind w:left="3600" w:hanging="360"/>
      </w:pPr>
    </w:lvl>
    <w:lvl w:ilvl="5" w:tplc="B6406A0C" w:tentative="1">
      <w:start w:val="1"/>
      <w:numFmt w:val="lowerRoman"/>
      <w:lvlText w:val="%6."/>
      <w:lvlJc w:val="right"/>
      <w:pPr>
        <w:ind w:left="4320" w:hanging="180"/>
      </w:pPr>
    </w:lvl>
    <w:lvl w:ilvl="6" w:tplc="DE8646C2" w:tentative="1">
      <w:start w:val="1"/>
      <w:numFmt w:val="decimal"/>
      <w:lvlText w:val="%7."/>
      <w:lvlJc w:val="left"/>
      <w:pPr>
        <w:ind w:left="5040" w:hanging="360"/>
      </w:pPr>
    </w:lvl>
    <w:lvl w:ilvl="7" w:tplc="05923572" w:tentative="1">
      <w:start w:val="1"/>
      <w:numFmt w:val="lowerLetter"/>
      <w:lvlText w:val="%8."/>
      <w:lvlJc w:val="left"/>
      <w:pPr>
        <w:ind w:left="5760" w:hanging="360"/>
      </w:pPr>
    </w:lvl>
    <w:lvl w:ilvl="8" w:tplc="B9683AC0" w:tentative="1">
      <w:start w:val="1"/>
      <w:numFmt w:val="lowerRoman"/>
      <w:lvlText w:val="%9."/>
      <w:lvlJc w:val="right"/>
      <w:pPr>
        <w:ind w:left="6480" w:hanging="180"/>
      </w:pPr>
    </w:lvl>
  </w:abstractNum>
  <w:abstractNum w:abstractNumId="8" w15:restartNumberingAfterBreak="0">
    <w:nsid w:val="599A3748"/>
    <w:multiLevelType w:val="hybridMultilevel"/>
    <w:tmpl w:val="486CB8CA"/>
    <w:lvl w:ilvl="0" w:tplc="1A1E52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186FD9"/>
    <w:multiLevelType w:val="hybridMultilevel"/>
    <w:tmpl w:val="2CB0A9C2"/>
    <w:lvl w:ilvl="0" w:tplc="9C3C222C">
      <w:start w:val="1"/>
      <w:numFmt w:val="decimal"/>
      <w:lvlText w:val="%1."/>
      <w:lvlJc w:val="left"/>
      <w:pPr>
        <w:ind w:left="754" w:hanging="360"/>
      </w:pPr>
    </w:lvl>
    <w:lvl w:ilvl="1" w:tplc="7A963396" w:tentative="1">
      <w:start w:val="1"/>
      <w:numFmt w:val="lowerLetter"/>
      <w:lvlText w:val="%2."/>
      <w:lvlJc w:val="left"/>
      <w:pPr>
        <w:ind w:left="1474" w:hanging="360"/>
      </w:pPr>
    </w:lvl>
    <w:lvl w:ilvl="2" w:tplc="8DE88FCA" w:tentative="1">
      <w:start w:val="1"/>
      <w:numFmt w:val="lowerRoman"/>
      <w:lvlText w:val="%3."/>
      <w:lvlJc w:val="right"/>
      <w:pPr>
        <w:ind w:left="2194" w:hanging="180"/>
      </w:pPr>
    </w:lvl>
    <w:lvl w:ilvl="3" w:tplc="9D7E929E" w:tentative="1">
      <w:start w:val="1"/>
      <w:numFmt w:val="decimal"/>
      <w:lvlText w:val="%4."/>
      <w:lvlJc w:val="left"/>
      <w:pPr>
        <w:ind w:left="2914" w:hanging="360"/>
      </w:pPr>
    </w:lvl>
    <w:lvl w:ilvl="4" w:tplc="563CD118" w:tentative="1">
      <w:start w:val="1"/>
      <w:numFmt w:val="lowerLetter"/>
      <w:lvlText w:val="%5."/>
      <w:lvlJc w:val="left"/>
      <w:pPr>
        <w:ind w:left="3634" w:hanging="360"/>
      </w:pPr>
    </w:lvl>
    <w:lvl w:ilvl="5" w:tplc="144886FE" w:tentative="1">
      <w:start w:val="1"/>
      <w:numFmt w:val="lowerRoman"/>
      <w:lvlText w:val="%6."/>
      <w:lvlJc w:val="right"/>
      <w:pPr>
        <w:ind w:left="4354" w:hanging="180"/>
      </w:pPr>
    </w:lvl>
    <w:lvl w:ilvl="6" w:tplc="311A38B2" w:tentative="1">
      <w:start w:val="1"/>
      <w:numFmt w:val="decimal"/>
      <w:lvlText w:val="%7."/>
      <w:lvlJc w:val="left"/>
      <w:pPr>
        <w:ind w:left="5074" w:hanging="360"/>
      </w:pPr>
    </w:lvl>
    <w:lvl w:ilvl="7" w:tplc="62E8CBEA" w:tentative="1">
      <w:start w:val="1"/>
      <w:numFmt w:val="lowerLetter"/>
      <w:lvlText w:val="%8."/>
      <w:lvlJc w:val="left"/>
      <w:pPr>
        <w:ind w:left="5794" w:hanging="360"/>
      </w:pPr>
    </w:lvl>
    <w:lvl w:ilvl="8" w:tplc="4560D550" w:tentative="1">
      <w:start w:val="1"/>
      <w:numFmt w:val="lowerRoman"/>
      <w:lvlText w:val="%9."/>
      <w:lvlJc w:val="right"/>
      <w:pPr>
        <w:ind w:left="6514" w:hanging="180"/>
      </w:pPr>
    </w:lvl>
  </w:abstractNum>
  <w:abstractNum w:abstractNumId="10" w15:restartNumberingAfterBreak="0">
    <w:nsid w:val="71C26178"/>
    <w:multiLevelType w:val="hybridMultilevel"/>
    <w:tmpl w:val="9FBED11A"/>
    <w:lvl w:ilvl="0" w:tplc="A432BC34">
      <w:start w:val="1"/>
      <w:numFmt w:val="decimal"/>
      <w:lvlText w:val="%1)"/>
      <w:lvlJc w:val="left"/>
      <w:pPr>
        <w:ind w:left="720" w:hanging="360"/>
      </w:pPr>
      <w:rPr>
        <w:rFonts w:hint="default"/>
      </w:rPr>
    </w:lvl>
    <w:lvl w:ilvl="1" w:tplc="8A4E48BA" w:tentative="1">
      <w:start w:val="1"/>
      <w:numFmt w:val="lowerLetter"/>
      <w:lvlText w:val="%2."/>
      <w:lvlJc w:val="left"/>
      <w:pPr>
        <w:ind w:left="1440" w:hanging="360"/>
      </w:pPr>
    </w:lvl>
    <w:lvl w:ilvl="2" w:tplc="8EA248BC" w:tentative="1">
      <w:start w:val="1"/>
      <w:numFmt w:val="lowerRoman"/>
      <w:lvlText w:val="%3."/>
      <w:lvlJc w:val="right"/>
      <w:pPr>
        <w:ind w:left="2160" w:hanging="180"/>
      </w:pPr>
    </w:lvl>
    <w:lvl w:ilvl="3" w:tplc="E3A611FE" w:tentative="1">
      <w:start w:val="1"/>
      <w:numFmt w:val="decimal"/>
      <w:lvlText w:val="%4."/>
      <w:lvlJc w:val="left"/>
      <w:pPr>
        <w:ind w:left="2880" w:hanging="360"/>
      </w:pPr>
    </w:lvl>
    <w:lvl w:ilvl="4" w:tplc="B554D1C0" w:tentative="1">
      <w:start w:val="1"/>
      <w:numFmt w:val="lowerLetter"/>
      <w:lvlText w:val="%5."/>
      <w:lvlJc w:val="left"/>
      <w:pPr>
        <w:ind w:left="3600" w:hanging="360"/>
      </w:pPr>
    </w:lvl>
    <w:lvl w:ilvl="5" w:tplc="6D62E65C" w:tentative="1">
      <w:start w:val="1"/>
      <w:numFmt w:val="lowerRoman"/>
      <w:lvlText w:val="%6."/>
      <w:lvlJc w:val="right"/>
      <w:pPr>
        <w:ind w:left="4320" w:hanging="180"/>
      </w:pPr>
    </w:lvl>
    <w:lvl w:ilvl="6" w:tplc="138095DE" w:tentative="1">
      <w:start w:val="1"/>
      <w:numFmt w:val="decimal"/>
      <w:lvlText w:val="%7."/>
      <w:lvlJc w:val="left"/>
      <w:pPr>
        <w:ind w:left="5040" w:hanging="360"/>
      </w:pPr>
    </w:lvl>
    <w:lvl w:ilvl="7" w:tplc="DCDC8090" w:tentative="1">
      <w:start w:val="1"/>
      <w:numFmt w:val="lowerLetter"/>
      <w:lvlText w:val="%8."/>
      <w:lvlJc w:val="left"/>
      <w:pPr>
        <w:ind w:left="5760" w:hanging="360"/>
      </w:pPr>
    </w:lvl>
    <w:lvl w:ilvl="8" w:tplc="96108AE6" w:tentative="1">
      <w:start w:val="1"/>
      <w:numFmt w:val="lowerRoman"/>
      <w:lvlText w:val="%9."/>
      <w:lvlJc w:val="right"/>
      <w:pPr>
        <w:ind w:left="6480" w:hanging="180"/>
      </w:pPr>
    </w:lvl>
  </w:abstractNum>
  <w:abstractNum w:abstractNumId="11" w15:restartNumberingAfterBreak="0">
    <w:nsid w:val="74F8102F"/>
    <w:multiLevelType w:val="hybridMultilevel"/>
    <w:tmpl w:val="A48283C8"/>
    <w:lvl w:ilvl="0" w:tplc="1ADE2DB0">
      <w:start w:val="1"/>
      <w:numFmt w:val="decimal"/>
      <w:lvlText w:val="%1)"/>
      <w:lvlJc w:val="left"/>
      <w:pPr>
        <w:ind w:left="720" w:hanging="360"/>
      </w:pPr>
      <w:rPr>
        <w:rFonts w:hint="default"/>
      </w:rPr>
    </w:lvl>
    <w:lvl w:ilvl="1" w:tplc="387C3560" w:tentative="1">
      <w:start w:val="1"/>
      <w:numFmt w:val="lowerLetter"/>
      <w:lvlText w:val="%2."/>
      <w:lvlJc w:val="left"/>
      <w:pPr>
        <w:ind w:left="1440" w:hanging="360"/>
      </w:pPr>
    </w:lvl>
    <w:lvl w:ilvl="2" w:tplc="0004F6AE" w:tentative="1">
      <w:start w:val="1"/>
      <w:numFmt w:val="lowerRoman"/>
      <w:lvlText w:val="%3."/>
      <w:lvlJc w:val="right"/>
      <w:pPr>
        <w:ind w:left="2160" w:hanging="180"/>
      </w:pPr>
    </w:lvl>
    <w:lvl w:ilvl="3" w:tplc="F2FC4D34" w:tentative="1">
      <w:start w:val="1"/>
      <w:numFmt w:val="decimal"/>
      <w:lvlText w:val="%4."/>
      <w:lvlJc w:val="left"/>
      <w:pPr>
        <w:ind w:left="2880" w:hanging="360"/>
      </w:pPr>
    </w:lvl>
    <w:lvl w:ilvl="4" w:tplc="544C3D16" w:tentative="1">
      <w:start w:val="1"/>
      <w:numFmt w:val="lowerLetter"/>
      <w:lvlText w:val="%5."/>
      <w:lvlJc w:val="left"/>
      <w:pPr>
        <w:ind w:left="3600" w:hanging="360"/>
      </w:pPr>
    </w:lvl>
    <w:lvl w:ilvl="5" w:tplc="C8062364" w:tentative="1">
      <w:start w:val="1"/>
      <w:numFmt w:val="lowerRoman"/>
      <w:lvlText w:val="%6."/>
      <w:lvlJc w:val="right"/>
      <w:pPr>
        <w:ind w:left="4320" w:hanging="180"/>
      </w:pPr>
    </w:lvl>
    <w:lvl w:ilvl="6" w:tplc="3EC80560" w:tentative="1">
      <w:start w:val="1"/>
      <w:numFmt w:val="decimal"/>
      <w:lvlText w:val="%7."/>
      <w:lvlJc w:val="left"/>
      <w:pPr>
        <w:ind w:left="5040" w:hanging="360"/>
      </w:pPr>
    </w:lvl>
    <w:lvl w:ilvl="7" w:tplc="6DD89586" w:tentative="1">
      <w:start w:val="1"/>
      <w:numFmt w:val="lowerLetter"/>
      <w:lvlText w:val="%8."/>
      <w:lvlJc w:val="left"/>
      <w:pPr>
        <w:ind w:left="5760" w:hanging="360"/>
      </w:pPr>
    </w:lvl>
    <w:lvl w:ilvl="8" w:tplc="D7B01546" w:tentative="1">
      <w:start w:val="1"/>
      <w:numFmt w:val="lowerRoman"/>
      <w:lvlText w:val="%9."/>
      <w:lvlJc w:val="right"/>
      <w:pPr>
        <w:ind w:left="6480" w:hanging="180"/>
      </w:pPr>
    </w:lvl>
  </w:abstractNum>
  <w:abstractNum w:abstractNumId="12" w15:restartNumberingAfterBreak="0">
    <w:nsid w:val="7F7619F5"/>
    <w:multiLevelType w:val="hybridMultilevel"/>
    <w:tmpl w:val="C758ED3C"/>
    <w:lvl w:ilvl="0" w:tplc="A9F0EC62">
      <w:start w:val="1"/>
      <w:numFmt w:val="decimal"/>
      <w:lvlText w:val="%1)"/>
      <w:lvlJc w:val="left"/>
      <w:pPr>
        <w:ind w:left="720" w:hanging="360"/>
      </w:pPr>
      <w:rPr>
        <w:rFonts w:hint="default"/>
      </w:rPr>
    </w:lvl>
    <w:lvl w:ilvl="1" w:tplc="EC7037BA" w:tentative="1">
      <w:start w:val="1"/>
      <w:numFmt w:val="lowerLetter"/>
      <w:lvlText w:val="%2."/>
      <w:lvlJc w:val="left"/>
      <w:pPr>
        <w:ind w:left="1440" w:hanging="360"/>
      </w:pPr>
    </w:lvl>
    <w:lvl w:ilvl="2" w:tplc="5820178A" w:tentative="1">
      <w:start w:val="1"/>
      <w:numFmt w:val="lowerRoman"/>
      <w:lvlText w:val="%3."/>
      <w:lvlJc w:val="right"/>
      <w:pPr>
        <w:ind w:left="2160" w:hanging="180"/>
      </w:pPr>
    </w:lvl>
    <w:lvl w:ilvl="3" w:tplc="8B1AF176" w:tentative="1">
      <w:start w:val="1"/>
      <w:numFmt w:val="decimal"/>
      <w:lvlText w:val="%4."/>
      <w:lvlJc w:val="left"/>
      <w:pPr>
        <w:ind w:left="2880" w:hanging="360"/>
      </w:pPr>
    </w:lvl>
    <w:lvl w:ilvl="4" w:tplc="D32CC9B8" w:tentative="1">
      <w:start w:val="1"/>
      <w:numFmt w:val="lowerLetter"/>
      <w:lvlText w:val="%5."/>
      <w:lvlJc w:val="left"/>
      <w:pPr>
        <w:ind w:left="3600" w:hanging="360"/>
      </w:pPr>
    </w:lvl>
    <w:lvl w:ilvl="5" w:tplc="3778557C" w:tentative="1">
      <w:start w:val="1"/>
      <w:numFmt w:val="lowerRoman"/>
      <w:lvlText w:val="%6."/>
      <w:lvlJc w:val="right"/>
      <w:pPr>
        <w:ind w:left="4320" w:hanging="180"/>
      </w:pPr>
    </w:lvl>
    <w:lvl w:ilvl="6" w:tplc="0FFEEEB4" w:tentative="1">
      <w:start w:val="1"/>
      <w:numFmt w:val="decimal"/>
      <w:lvlText w:val="%7."/>
      <w:lvlJc w:val="left"/>
      <w:pPr>
        <w:ind w:left="5040" w:hanging="360"/>
      </w:pPr>
    </w:lvl>
    <w:lvl w:ilvl="7" w:tplc="1DC8F246" w:tentative="1">
      <w:start w:val="1"/>
      <w:numFmt w:val="lowerLetter"/>
      <w:lvlText w:val="%8."/>
      <w:lvlJc w:val="left"/>
      <w:pPr>
        <w:ind w:left="5760" w:hanging="360"/>
      </w:pPr>
    </w:lvl>
    <w:lvl w:ilvl="8" w:tplc="FF1EDB62" w:tentative="1">
      <w:start w:val="1"/>
      <w:numFmt w:val="lowerRoman"/>
      <w:lvlText w:val="%9."/>
      <w:lvlJc w:val="right"/>
      <w:pPr>
        <w:ind w:left="6480" w:hanging="180"/>
      </w:pPr>
    </w:lvl>
  </w:abstractNum>
  <w:num w:numId="1">
    <w:abstractNumId w:val="9"/>
  </w:num>
  <w:num w:numId="2">
    <w:abstractNumId w:val="2"/>
  </w:num>
  <w:num w:numId="3">
    <w:abstractNumId w:val="3"/>
  </w:num>
  <w:num w:numId="4">
    <w:abstractNumId w:val="6"/>
  </w:num>
  <w:num w:numId="5">
    <w:abstractNumId w:val="4"/>
  </w:num>
  <w:num w:numId="6">
    <w:abstractNumId w:val="7"/>
  </w:num>
  <w:num w:numId="7">
    <w:abstractNumId w:val="1"/>
  </w:num>
  <w:num w:numId="8">
    <w:abstractNumId w:val="11"/>
  </w:num>
  <w:num w:numId="9">
    <w:abstractNumId w:val="12"/>
  </w:num>
  <w:num w:numId="10">
    <w:abstractNumId w:val="10"/>
  </w:num>
  <w:num w:numId="11">
    <w:abstractNumId w:val="5"/>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01C"/>
    <w:rsid w:val="00000B7A"/>
    <w:rsid w:val="00006F0F"/>
    <w:rsid w:val="00017924"/>
    <w:rsid w:val="00044224"/>
    <w:rsid w:val="00044C80"/>
    <w:rsid w:val="00047A59"/>
    <w:rsid w:val="000532A9"/>
    <w:rsid w:val="00055596"/>
    <w:rsid w:val="00055FF5"/>
    <w:rsid w:val="00060804"/>
    <w:rsid w:val="00061975"/>
    <w:rsid w:val="00066596"/>
    <w:rsid w:val="000726BF"/>
    <w:rsid w:val="00073C8B"/>
    <w:rsid w:val="000864C7"/>
    <w:rsid w:val="000952B3"/>
    <w:rsid w:val="000A4EDF"/>
    <w:rsid w:val="000A5450"/>
    <w:rsid w:val="000A7A0E"/>
    <w:rsid w:val="000B2EE9"/>
    <w:rsid w:val="000D24CB"/>
    <w:rsid w:val="000E7C62"/>
    <w:rsid w:val="000F01C5"/>
    <w:rsid w:val="000F2179"/>
    <w:rsid w:val="000F21B1"/>
    <w:rsid w:val="000F2D2A"/>
    <w:rsid w:val="000F796B"/>
    <w:rsid w:val="001151C4"/>
    <w:rsid w:val="001226BE"/>
    <w:rsid w:val="001247CA"/>
    <w:rsid w:val="001273A7"/>
    <w:rsid w:val="001351FC"/>
    <w:rsid w:val="001435F6"/>
    <w:rsid w:val="001522EB"/>
    <w:rsid w:val="0015241F"/>
    <w:rsid w:val="00162663"/>
    <w:rsid w:val="001718C7"/>
    <w:rsid w:val="00173A4C"/>
    <w:rsid w:val="001740A1"/>
    <w:rsid w:val="0017518B"/>
    <w:rsid w:val="001930D7"/>
    <w:rsid w:val="0019383F"/>
    <w:rsid w:val="001A037F"/>
    <w:rsid w:val="001A7223"/>
    <w:rsid w:val="001B090E"/>
    <w:rsid w:val="001B348C"/>
    <w:rsid w:val="001B37C9"/>
    <w:rsid w:val="001C0AEA"/>
    <w:rsid w:val="001C0C9B"/>
    <w:rsid w:val="001C5666"/>
    <w:rsid w:val="001D1E23"/>
    <w:rsid w:val="001D3C5A"/>
    <w:rsid w:val="001D45E6"/>
    <w:rsid w:val="001D5531"/>
    <w:rsid w:val="001D7DE5"/>
    <w:rsid w:val="001E081D"/>
    <w:rsid w:val="001E130E"/>
    <w:rsid w:val="001E2C60"/>
    <w:rsid w:val="001F097E"/>
    <w:rsid w:val="001F3907"/>
    <w:rsid w:val="00201E47"/>
    <w:rsid w:val="0020262C"/>
    <w:rsid w:val="00202B48"/>
    <w:rsid w:val="00207834"/>
    <w:rsid w:val="0022054B"/>
    <w:rsid w:val="0022526E"/>
    <w:rsid w:val="0023009A"/>
    <w:rsid w:val="00231822"/>
    <w:rsid w:val="00251A42"/>
    <w:rsid w:val="00253057"/>
    <w:rsid w:val="00254E50"/>
    <w:rsid w:val="00261E34"/>
    <w:rsid w:val="00273E66"/>
    <w:rsid w:val="00276D5D"/>
    <w:rsid w:val="00277223"/>
    <w:rsid w:val="00286420"/>
    <w:rsid w:val="00291002"/>
    <w:rsid w:val="00297863"/>
    <w:rsid w:val="002A0265"/>
    <w:rsid w:val="002A1724"/>
    <w:rsid w:val="002B0227"/>
    <w:rsid w:val="002B0E96"/>
    <w:rsid w:val="002B6DF9"/>
    <w:rsid w:val="002B7D78"/>
    <w:rsid w:val="002C22BE"/>
    <w:rsid w:val="002D02E7"/>
    <w:rsid w:val="00300972"/>
    <w:rsid w:val="00301E2B"/>
    <w:rsid w:val="00302DC1"/>
    <w:rsid w:val="0031039B"/>
    <w:rsid w:val="00327F78"/>
    <w:rsid w:val="00335A14"/>
    <w:rsid w:val="00336B56"/>
    <w:rsid w:val="0034707A"/>
    <w:rsid w:val="0034796B"/>
    <w:rsid w:val="00352BE9"/>
    <w:rsid w:val="00364B5A"/>
    <w:rsid w:val="003676E2"/>
    <w:rsid w:val="0037447A"/>
    <w:rsid w:val="00376346"/>
    <w:rsid w:val="003810A1"/>
    <w:rsid w:val="003A21D1"/>
    <w:rsid w:val="003B01C6"/>
    <w:rsid w:val="003B6A5E"/>
    <w:rsid w:val="003B7FA9"/>
    <w:rsid w:val="003C2699"/>
    <w:rsid w:val="003E05A2"/>
    <w:rsid w:val="003F0DD3"/>
    <w:rsid w:val="003F61CB"/>
    <w:rsid w:val="004040B1"/>
    <w:rsid w:val="004048C7"/>
    <w:rsid w:val="00407F82"/>
    <w:rsid w:val="0041305A"/>
    <w:rsid w:val="00413BD9"/>
    <w:rsid w:val="00417B84"/>
    <w:rsid w:val="004210D4"/>
    <w:rsid w:val="004219C7"/>
    <w:rsid w:val="00430E44"/>
    <w:rsid w:val="00433F84"/>
    <w:rsid w:val="00441759"/>
    <w:rsid w:val="00442A7F"/>
    <w:rsid w:val="00446A92"/>
    <w:rsid w:val="0045535A"/>
    <w:rsid w:val="004622C3"/>
    <w:rsid w:val="00465C98"/>
    <w:rsid w:val="00477435"/>
    <w:rsid w:val="00477F62"/>
    <w:rsid w:val="00481885"/>
    <w:rsid w:val="00492D3C"/>
    <w:rsid w:val="0049306F"/>
    <w:rsid w:val="00494B25"/>
    <w:rsid w:val="004A4EBE"/>
    <w:rsid w:val="004A7F10"/>
    <w:rsid w:val="004B4AB8"/>
    <w:rsid w:val="004C4068"/>
    <w:rsid w:val="004D17FB"/>
    <w:rsid w:val="004D2E35"/>
    <w:rsid w:val="004D5248"/>
    <w:rsid w:val="00510199"/>
    <w:rsid w:val="00521075"/>
    <w:rsid w:val="0052108D"/>
    <w:rsid w:val="00523237"/>
    <w:rsid w:val="0053202D"/>
    <w:rsid w:val="005464A0"/>
    <w:rsid w:val="00553EFC"/>
    <w:rsid w:val="005607AD"/>
    <w:rsid w:val="00583F50"/>
    <w:rsid w:val="005B11A3"/>
    <w:rsid w:val="005C1803"/>
    <w:rsid w:val="005C451C"/>
    <w:rsid w:val="005C4A89"/>
    <w:rsid w:val="005E2B9A"/>
    <w:rsid w:val="005F658D"/>
    <w:rsid w:val="00601BEB"/>
    <w:rsid w:val="00605C6C"/>
    <w:rsid w:val="006109C0"/>
    <w:rsid w:val="00610EA4"/>
    <w:rsid w:val="006130EC"/>
    <w:rsid w:val="00615F04"/>
    <w:rsid w:val="00616CE1"/>
    <w:rsid w:val="00621927"/>
    <w:rsid w:val="00624449"/>
    <w:rsid w:val="006260FC"/>
    <w:rsid w:val="006403D5"/>
    <w:rsid w:val="0067518D"/>
    <w:rsid w:val="00695F0A"/>
    <w:rsid w:val="006A07CE"/>
    <w:rsid w:val="006B4F32"/>
    <w:rsid w:val="006C03A6"/>
    <w:rsid w:val="006C4B7C"/>
    <w:rsid w:val="006D1EAD"/>
    <w:rsid w:val="006D231B"/>
    <w:rsid w:val="006D4F7C"/>
    <w:rsid w:val="006E2626"/>
    <w:rsid w:val="006E48A2"/>
    <w:rsid w:val="006E6C0E"/>
    <w:rsid w:val="006E755A"/>
    <w:rsid w:val="007028F9"/>
    <w:rsid w:val="00704DDD"/>
    <w:rsid w:val="00710801"/>
    <w:rsid w:val="007164D3"/>
    <w:rsid w:val="0072528C"/>
    <w:rsid w:val="007257CB"/>
    <w:rsid w:val="007362D7"/>
    <w:rsid w:val="007403A1"/>
    <w:rsid w:val="00742CA8"/>
    <w:rsid w:val="00745F7A"/>
    <w:rsid w:val="00750EC0"/>
    <w:rsid w:val="007525AE"/>
    <w:rsid w:val="00763C11"/>
    <w:rsid w:val="007660C6"/>
    <w:rsid w:val="00780E7D"/>
    <w:rsid w:val="00781529"/>
    <w:rsid w:val="00782C36"/>
    <w:rsid w:val="00782FE5"/>
    <w:rsid w:val="00786AB4"/>
    <w:rsid w:val="00791FE1"/>
    <w:rsid w:val="007A045B"/>
    <w:rsid w:val="007A2571"/>
    <w:rsid w:val="007B1CFF"/>
    <w:rsid w:val="007B7A42"/>
    <w:rsid w:val="007D6B9E"/>
    <w:rsid w:val="007F3CF4"/>
    <w:rsid w:val="007F7448"/>
    <w:rsid w:val="00814195"/>
    <w:rsid w:val="0082224C"/>
    <w:rsid w:val="00832044"/>
    <w:rsid w:val="0083701C"/>
    <w:rsid w:val="0084191B"/>
    <w:rsid w:val="008542CA"/>
    <w:rsid w:val="0085441A"/>
    <w:rsid w:val="0085612F"/>
    <w:rsid w:val="00856FD9"/>
    <w:rsid w:val="008573E5"/>
    <w:rsid w:val="008605BD"/>
    <w:rsid w:val="00864C2A"/>
    <w:rsid w:val="00867D90"/>
    <w:rsid w:val="008772B7"/>
    <w:rsid w:val="00887F3F"/>
    <w:rsid w:val="008939F7"/>
    <w:rsid w:val="00895249"/>
    <w:rsid w:val="00896040"/>
    <w:rsid w:val="008A0436"/>
    <w:rsid w:val="008B18A8"/>
    <w:rsid w:val="008B392D"/>
    <w:rsid w:val="008C5103"/>
    <w:rsid w:val="008F746A"/>
    <w:rsid w:val="00907E1B"/>
    <w:rsid w:val="00910BBB"/>
    <w:rsid w:val="00912B59"/>
    <w:rsid w:val="00913BBD"/>
    <w:rsid w:val="00913D6E"/>
    <w:rsid w:val="0092196F"/>
    <w:rsid w:val="0092310A"/>
    <w:rsid w:val="00930F1B"/>
    <w:rsid w:val="00946F67"/>
    <w:rsid w:val="00962FB9"/>
    <w:rsid w:val="0096666B"/>
    <w:rsid w:val="009755BE"/>
    <w:rsid w:val="0098188F"/>
    <w:rsid w:val="009877B1"/>
    <w:rsid w:val="00993742"/>
    <w:rsid w:val="00994359"/>
    <w:rsid w:val="009966FA"/>
    <w:rsid w:val="00997420"/>
    <w:rsid w:val="0099780F"/>
    <w:rsid w:val="009A1BBC"/>
    <w:rsid w:val="009B1E75"/>
    <w:rsid w:val="009B7421"/>
    <w:rsid w:val="009C4B01"/>
    <w:rsid w:val="009F0CDF"/>
    <w:rsid w:val="00A029E8"/>
    <w:rsid w:val="00A03194"/>
    <w:rsid w:val="00A11266"/>
    <w:rsid w:val="00A16A05"/>
    <w:rsid w:val="00A1753F"/>
    <w:rsid w:val="00A262E5"/>
    <w:rsid w:val="00A324CA"/>
    <w:rsid w:val="00A46330"/>
    <w:rsid w:val="00A540C5"/>
    <w:rsid w:val="00A547FE"/>
    <w:rsid w:val="00A57712"/>
    <w:rsid w:val="00A87150"/>
    <w:rsid w:val="00AD1252"/>
    <w:rsid w:val="00AD59A6"/>
    <w:rsid w:val="00AD5C9A"/>
    <w:rsid w:val="00AE008E"/>
    <w:rsid w:val="00AE0688"/>
    <w:rsid w:val="00AE0973"/>
    <w:rsid w:val="00AE1DA4"/>
    <w:rsid w:val="00AF0818"/>
    <w:rsid w:val="00AF3F9D"/>
    <w:rsid w:val="00AF60F9"/>
    <w:rsid w:val="00B15E8C"/>
    <w:rsid w:val="00B17F1A"/>
    <w:rsid w:val="00B216F0"/>
    <w:rsid w:val="00B25163"/>
    <w:rsid w:val="00B31328"/>
    <w:rsid w:val="00B4020C"/>
    <w:rsid w:val="00B405D4"/>
    <w:rsid w:val="00B50AC4"/>
    <w:rsid w:val="00B53338"/>
    <w:rsid w:val="00B555AF"/>
    <w:rsid w:val="00B650B7"/>
    <w:rsid w:val="00B6710B"/>
    <w:rsid w:val="00B77F99"/>
    <w:rsid w:val="00B94A93"/>
    <w:rsid w:val="00B94D4E"/>
    <w:rsid w:val="00BA020E"/>
    <w:rsid w:val="00BA7A9F"/>
    <w:rsid w:val="00BB393B"/>
    <w:rsid w:val="00BB4F00"/>
    <w:rsid w:val="00BC0E04"/>
    <w:rsid w:val="00BC4492"/>
    <w:rsid w:val="00BC58D7"/>
    <w:rsid w:val="00BE06CF"/>
    <w:rsid w:val="00BE72D9"/>
    <w:rsid w:val="00C00421"/>
    <w:rsid w:val="00C06EED"/>
    <w:rsid w:val="00C11118"/>
    <w:rsid w:val="00C14E75"/>
    <w:rsid w:val="00C20D0C"/>
    <w:rsid w:val="00C232D2"/>
    <w:rsid w:val="00C314FA"/>
    <w:rsid w:val="00C3351F"/>
    <w:rsid w:val="00C34D87"/>
    <w:rsid w:val="00C37BBD"/>
    <w:rsid w:val="00C4035B"/>
    <w:rsid w:val="00C46410"/>
    <w:rsid w:val="00C53C73"/>
    <w:rsid w:val="00C55E67"/>
    <w:rsid w:val="00C66C36"/>
    <w:rsid w:val="00C710EF"/>
    <w:rsid w:val="00C722A7"/>
    <w:rsid w:val="00C74F29"/>
    <w:rsid w:val="00C85B2A"/>
    <w:rsid w:val="00C93278"/>
    <w:rsid w:val="00CD6FEA"/>
    <w:rsid w:val="00CE5D85"/>
    <w:rsid w:val="00CF5953"/>
    <w:rsid w:val="00D019DA"/>
    <w:rsid w:val="00D06379"/>
    <w:rsid w:val="00D15822"/>
    <w:rsid w:val="00D15CDC"/>
    <w:rsid w:val="00D26436"/>
    <w:rsid w:val="00D27C0A"/>
    <w:rsid w:val="00D32ABF"/>
    <w:rsid w:val="00D47E43"/>
    <w:rsid w:val="00D52B0A"/>
    <w:rsid w:val="00D544B7"/>
    <w:rsid w:val="00D5567F"/>
    <w:rsid w:val="00D6166B"/>
    <w:rsid w:val="00D63F38"/>
    <w:rsid w:val="00D645B5"/>
    <w:rsid w:val="00D650B2"/>
    <w:rsid w:val="00D71A77"/>
    <w:rsid w:val="00D83004"/>
    <w:rsid w:val="00D83AB0"/>
    <w:rsid w:val="00D85B21"/>
    <w:rsid w:val="00D872A3"/>
    <w:rsid w:val="00D87E7D"/>
    <w:rsid w:val="00DA1882"/>
    <w:rsid w:val="00DB3879"/>
    <w:rsid w:val="00DC5C89"/>
    <w:rsid w:val="00DD5E7A"/>
    <w:rsid w:val="00DD69D9"/>
    <w:rsid w:val="00DE1198"/>
    <w:rsid w:val="00DE4937"/>
    <w:rsid w:val="00DF1351"/>
    <w:rsid w:val="00DF3C5B"/>
    <w:rsid w:val="00DF4080"/>
    <w:rsid w:val="00E15EC6"/>
    <w:rsid w:val="00E16B77"/>
    <w:rsid w:val="00E23120"/>
    <w:rsid w:val="00E24D2C"/>
    <w:rsid w:val="00E263CE"/>
    <w:rsid w:val="00E322DA"/>
    <w:rsid w:val="00E501E8"/>
    <w:rsid w:val="00E54FB9"/>
    <w:rsid w:val="00E5666D"/>
    <w:rsid w:val="00E645DB"/>
    <w:rsid w:val="00E64D98"/>
    <w:rsid w:val="00E6780B"/>
    <w:rsid w:val="00E67F36"/>
    <w:rsid w:val="00E74F9D"/>
    <w:rsid w:val="00E86E59"/>
    <w:rsid w:val="00EA151B"/>
    <w:rsid w:val="00EA63E8"/>
    <w:rsid w:val="00EC6C87"/>
    <w:rsid w:val="00ED2CF7"/>
    <w:rsid w:val="00ED6931"/>
    <w:rsid w:val="00EE1431"/>
    <w:rsid w:val="00EE3E4B"/>
    <w:rsid w:val="00EF1CC5"/>
    <w:rsid w:val="00F01D7A"/>
    <w:rsid w:val="00F07651"/>
    <w:rsid w:val="00F14906"/>
    <w:rsid w:val="00F226DE"/>
    <w:rsid w:val="00F27283"/>
    <w:rsid w:val="00F3153D"/>
    <w:rsid w:val="00F31CB6"/>
    <w:rsid w:val="00F4193B"/>
    <w:rsid w:val="00F53A6B"/>
    <w:rsid w:val="00F62143"/>
    <w:rsid w:val="00F77D07"/>
    <w:rsid w:val="00F8323A"/>
    <w:rsid w:val="00F863D0"/>
    <w:rsid w:val="00F86F16"/>
    <w:rsid w:val="00FA0397"/>
    <w:rsid w:val="00FA2764"/>
    <w:rsid w:val="00FA699C"/>
    <w:rsid w:val="00FB6A69"/>
    <w:rsid w:val="00FC052C"/>
    <w:rsid w:val="00FD487B"/>
    <w:rsid w:val="00FE414E"/>
    <w:rsid w:val="00FE5FE2"/>
    <w:rsid w:val="00FE61D7"/>
    <w:rsid w:val="00FE76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614DB7-040C-4B74-B3F4-A52E207D3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2B3"/>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952B3"/>
    <w:rPr>
      <w:rFonts w:cs="Times New Roman"/>
      <w:color w:val="0000FF"/>
      <w:u w:val="single"/>
    </w:rPr>
  </w:style>
  <w:style w:type="paragraph" w:styleId="ListParagraph">
    <w:name w:val="List Paragraph"/>
    <w:aliases w:val="2,Strip"/>
    <w:basedOn w:val="Normal"/>
    <w:link w:val="ListParagraphChar"/>
    <w:uiPriority w:val="34"/>
    <w:qFormat/>
    <w:rsid w:val="000952B3"/>
    <w:pPr>
      <w:ind w:left="720"/>
      <w:contextualSpacing/>
    </w:pPr>
    <w:rPr>
      <w:rFonts w:eastAsia="Times New Roman"/>
      <w:sz w:val="22"/>
      <w:szCs w:val="22"/>
    </w:rPr>
  </w:style>
  <w:style w:type="character" w:customStyle="1" w:styleId="ListParagraphChar">
    <w:name w:val="List Paragraph Char"/>
    <w:aliases w:val="2 Char,Strip Char"/>
    <w:link w:val="ListParagraph"/>
    <w:uiPriority w:val="34"/>
    <w:rsid w:val="000952B3"/>
    <w:rPr>
      <w:rFonts w:ascii="Times New Roman" w:eastAsia="Times New Roman" w:hAnsi="Times New Roman" w:cs="Times New Roman"/>
      <w:lang w:eastAsia="lv-LV"/>
    </w:rPr>
  </w:style>
  <w:style w:type="paragraph" w:customStyle="1" w:styleId="Default">
    <w:name w:val="Default"/>
    <w:rsid w:val="000952B3"/>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customStyle="1" w:styleId="naiskr">
    <w:name w:val="naiskr"/>
    <w:basedOn w:val="Normal"/>
    <w:rsid w:val="000952B3"/>
    <w:pPr>
      <w:spacing w:before="100" w:beforeAutospacing="1" w:after="100" w:afterAutospacing="1"/>
    </w:pPr>
    <w:rPr>
      <w:rFonts w:eastAsia="Times New Roman"/>
    </w:rPr>
  </w:style>
  <w:style w:type="paragraph" w:customStyle="1" w:styleId="naisnod">
    <w:name w:val="naisnod"/>
    <w:basedOn w:val="Normal"/>
    <w:rsid w:val="000952B3"/>
    <w:pPr>
      <w:spacing w:before="100" w:beforeAutospacing="1" w:after="100" w:afterAutospacing="1"/>
    </w:pPr>
    <w:rPr>
      <w:rFonts w:eastAsia="Times New Roman"/>
    </w:rPr>
  </w:style>
  <w:style w:type="character" w:styleId="CommentReference">
    <w:name w:val="annotation reference"/>
    <w:unhideWhenUsed/>
    <w:rsid w:val="00055596"/>
    <w:rPr>
      <w:sz w:val="16"/>
      <w:szCs w:val="16"/>
    </w:rPr>
  </w:style>
  <w:style w:type="paragraph" w:styleId="CommentText">
    <w:name w:val="annotation text"/>
    <w:basedOn w:val="Normal"/>
    <w:link w:val="CommentTextChar"/>
    <w:unhideWhenUsed/>
    <w:rsid w:val="00055596"/>
    <w:pPr>
      <w:spacing w:after="200"/>
    </w:pPr>
    <w:rPr>
      <w:rFonts w:ascii="Calibri" w:hAnsi="Calibri"/>
      <w:sz w:val="20"/>
      <w:szCs w:val="20"/>
      <w:lang w:val="x-none" w:eastAsia="x-none"/>
    </w:rPr>
  </w:style>
  <w:style w:type="character" w:customStyle="1" w:styleId="CommentTextChar">
    <w:name w:val="Comment Text Char"/>
    <w:basedOn w:val="DefaultParagraphFont"/>
    <w:link w:val="CommentText"/>
    <w:rsid w:val="00055596"/>
    <w:rPr>
      <w:rFonts w:ascii="Calibri" w:eastAsia="Calibri" w:hAnsi="Calibri" w:cs="Times New Roman"/>
      <w:sz w:val="20"/>
      <w:szCs w:val="20"/>
      <w:lang w:val="x-none" w:eastAsia="x-none"/>
    </w:rPr>
  </w:style>
  <w:style w:type="paragraph" w:styleId="BalloonText">
    <w:name w:val="Balloon Text"/>
    <w:basedOn w:val="Normal"/>
    <w:link w:val="BalloonTextChar"/>
    <w:uiPriority w:val="99"/>
    <w:semiHidden/>
    <w:unhideWhenUsed/>
    <w:rsid w:val="000555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596"/>
    <w:rPr>
      <w:rFonts w:ascii="Segoe UI" w:eastAsia="Calibri" w:hAnsi="Segoe UI" w:cs="Segoe UI"/>
      <w:sz w:val="18"/>
      <w:szCs w:val="18"/>
      <w:lang w:eastAsia="lv-LV"/>
    </w:rPr>
  </w:style>
  <w:style w:type="table" w:styleId="TableGrid">
    <w:name w:val="Table Grid"/>
    <w:basedOn w:val="TableNormal"/>
    <w:uiPriority w:val="39"/>
    <w:rsid w:val="00DF4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A045B"/>
    <w:pPr>
      <w:spacing w:before="100" w:beforeAutospacing="1" w:after="100" w:afterAutospacing="1"/>
    </w:pPr>
    <w:rPr>
      <w:rFonts w:eastAsia="Times New Roman"/>
    </w:rPr>
  </w:style>
  <w:style w:type="paragraph" w:styleId="Header">
    <w:name w:val="header"/>
    <w:basedOn w:val="Normal"/>
    <w:link w:val="HeaderChar"/>
    <w:uiPriority w:val="99"/>
    <w:unhideWhenUsed/>
    <w:rsid w:val="007A045B"/>
    <w:pPr>
      <w:tabs>
        <w:tab w:val="center" w:pos="4153"/>
        <w:tab w:val="right" w:pos="8306"/>
      </w:tabs>
    </w:pPr>
  </w:style>
  <w:style w:type="character" w:customStyle="1" w:styleId="HeaderChar">
    <w:name w:val="Header Char"/>
    <w:basedOn w:val="DefaultParagraphFont"/>
    <w:link w:val="Header"/>
    <w:uiPriority w:val="99"/>
    <w:rsid w:val="007A045B"/>
    <w:rPr>
      <w:rFonts w:ascii="Times New Roman" w:eastAsia="Calibri" w:hAnsi="Times New Roman" w:cs="Times New Roman"/>
      <w:sz w:val="24"/>
      <w:szCs w:val="24"/>
      <w:lang w:eastAsia="lv-LV"/>
    </w:rPr>
  </w:style>
  <w:style w:type="paragraph" w:styleId="Footer">
    <w:name w:val="footer"/>
    <w:basedOn w:val="Normal"/>
    <w:link w:val="FooterChar"/>
    <w:uiPriority w:val="99"/>
    <w:unhideWhenUsed/>
    <w:rsid w:val="007A045B"/>
    <w:pPr>
      <w:tabs>
        <w:tab w:val="center" w:pos="4153"/>
        <w:tab w:val="right" w:pos="8306"/>
      </w:tabs>
    </w:pPr>
  </w:style>
  <w:style w:type="character" w:customStyle="1" w:styleId="FooterChar">
    <w:name w:val="Footer Char"/>
    <w:basedOn w:val="DefaultParagraphFont"/>
    <w:link w:val="Footer"/>
    <w:uiPriority w:val="99"/>
    <w:rsid w:val="007A045B"/>
    <w:rPr>
      <w:rFonts w:ascii="Times New Roman" w:eastAsia="Calibri"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B94D4E"/>
    <w:pPr>
      <w:spacing w:after="0"/>
    </w:pPr>
    <w:rPr>
      <w:rFonts w:ascii="Times New Roman" w:hAnsi="Times New Roman"/>
      <w:b/>
      <w:bCs/>
      <w:lang w:val="lv-LV" w:eastAsia="lv-LV"/>
    </w:rPr>
  </w:style>
  <w:style w:type="character" w:customStyle="1" w:styleId="CommentSubjectChar">
    <w:name w:val="Comment Subject Char"/>
    <w:basedOn w:val="CommentTextChar"/>
    <w:link w:val="CommentSubject"/>
    <w:uiPriority w:val="99"/>
    <w:semiHidden/>
    <w:rsid w:val="00B94D4E"/>
    <w:rPr>
      <w:rFonts w:ascii="Times New Roman" w:eastAsia="Calibri" w:hAnsi="Times New Roman" w:cs="Times New Roman"/>
      <w:b/>
      <w:bCs/>
      <w:sz w:val="20"/>
      <w:szCs w:val="20"/>
      <w:lang w:val="x-none" w:eastAsia="lv-LV"/>
    </w:rPr>
  </w:style>
  <w:style w:type="paragraph" w:styleId="Revision">
    <w:name w:val="Revision"/>
    <w:hidden/>
    <w:uiPriority w:val="99"/>
    <w:semiHidden/>
    <w:rsid w:val="004040B1"/>
    <w:pPr>
      <w:spacing w:after="0" w:line="240" w:lineRule="auto"/>
    </w:pPr>
    <w:rPr>
      <w:rFonts w:ascii="Times New Roman" w:eastAsia="Calibri" w:hAnsi="Times New Roman" w:cs="Times New Roman"/>
      <w:sz w:val="24"/>
      <w:szCs w:val="24"/>
      <w:lang w:eastAsia="lv-LV"/>
    </w:rPr>
  </w:style>
  <w:style w:type="character" w:styleId="FootnoteReference">
    <w:name w:val="footnote reference"/>
    <w:aliases w:val="Footnote Reference Number,Footnote symbol,SUPERS,Footnote Refernece,ftref,Footnote Reference Superscript,stylish,BVI fnr,Fußnotenzeichen_Raxen,callout,Vēres atsauce,Odwołanie przypisu,Footnotes refss,Ref,de nota al pie,Times 10 Point"/>
    <w:basedOn w:val="DefaultParagraphFont"/>
    <w:link w:val="CharCharCharChar"/>
    <w:uiPriority w:val="99"/>
    <w:unhideWhenUsed/>
    <w:rsid w:val="00B31328"/>
    <w:rPr>
      <w:vertAlign w:val="superscript"/>
    </w:rPr>
  </w:style>
  <w:style w:type="paragraph" w:styleId="FootnoteText">
    <w:name w:val="footnote text"/>
    <w:aliases w:val="Footnote Text Char2,Footnote Text Char1 Char,Footnote Text Char Char Char,Footnote Text Char Char Char Char Char Char Char,Footnote Char Char Char Char Char Char Char,Fußnote Char Char Char Char Char Char Char,Footnote Text Char Char,f"/>
    <w:basedOn w:val="Normal"/>
    <w:link w:val="FootnoteTextChar"/>
    <w:uiPriority w:val="99"/>
    <w:unhideWhenUsed/>
    <w:rsid w:val="003F61CB"/>
    <w:rPr>
      <w:sz w:val="20"/>
      <w:szCs w:val="20"/>
    </w:rPr>
  </w:style>
  <w:style w:type="character" w:customStyle="1" w:styleId="FootnoteTextChar">
    <w:name w:val="Footnote Text Char"/>
    <w:aliases w:val="Footnote Text Char2 Char,Footnote Text Char1 Char Char,Footnote Text Char Char Char Char,Footnote Text Char Char Char Char Char Char Char Char,Footnote Char Char Char Char Char Char Char Char,Footnote Text Char Char Char1,f Char"/>
    <w:basedOn w:val="DefaultParagraphFont"/>
    <w:link w:val="FootnoteText"/>
    <w:uiPriority w:val="99"/>
    <w:rsid w:val="003F61CB"/>
    <w:rPr>
      <w:rFonts w:ascii="Times New Roman" w:eastAsia="Calibri" w:hAnsi="Times New Roman" w:cs="Times New Roman"/>
      <w:sz w:val="20"/>
      <w:szCs w:val="20"/>
      <w:lang w:eastAsia="lv-LV"/>
    </w:rPr>
  </w:style>
  <w:style w:type="paragraph" w:customStyle="1" w:styleId="CharCharCharChar">
    <w:name w:val="Char Char Char Char"/>
    <w:aliases w:val="Char2"/>
    <w:basedOn w:val="Normal"/>
    <w:next w:val="Normal"/>
    <w:link w:val="FootnoteReference"/>
    <w:uiPriority w:val="99"/>
    <w:rsid w:val="00782C36"/>
    <w:pPr>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styleId="PlainText">
    <w:name w:val="Plain Text"/>
    <w:basedOn w:val="Normal"/>
    <w:link w:val="PlainTextChar"/>
    <w:uiPriority w:val="99"/>
    <w:unhideWhenUsed/>
    <w:rsid w:val="00782C36"/>
    <w:rPr>
      <w:rFonts w:ascii="Calibri" w:hAnsi="Calibri"/>
      <w:color w:val="1F497D"/>
      <w:sz w:val="22"/>
      <w:szCs w:val="21"/>
      <w:lang w:val="x-none" w:eastAsia="en-US"/>
    </w:rPr>
  </w:style>
  <w:style w:type="character" w:customStyle="1" w:styleId="PlainTextChar">
    <w:name w:val="Plain Text Char"/>
    <w:basedOn w:val="DefaultParagraphFont"/>
    <w:link w:val="PlainText"/>
    <w:uiPriority w:val="99"/>
    <w:rsid w:val="00782C36"/>
    <w:rPr>
      <w:rFonts w:ascii="Calibri" w:eastAsia="Calibri" w:hAnsi="Calibri" w:cs="Times New Roman"/>
      <w:color w:val="1F497D"/>
      <w:szCs w:val="21"/>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83372">
      <w:bodyDiv w:val="1"/>
      <w:marLeft w:val="0"/>
      <w:marRight w:val="0"/>
      <w:marTop w:val="0"/>
      <w:marBottom w:val="0"/>
      <w:divBdr>
        <w:top w:val="none" w:sz="0" w:space="0" w:color="auto"/>
        <w:left w:val="none" w:sz="0" w:space="0" w:color="auto"/>
        <w:bottom w:val="none" w:sz="0" w:space="0" w:color="auto"/>
        <w:right w:val="none" w:sz="0" w:space="0" w:color="auto"/>
      </w:divBdr>
    </w:div>
    <w:div w:id="158230493">
      <w:bodyDiv w:val="1"/>
      <w:marLeft w:val="0"/>
      <w:marRight w:val="0"/>
      <w:marTop w:val="0"/>
      <w:marBottom w:val="0"/>
      <w:divBdr>
        <w:top w:val="none" w:sz="0" w:space="0" w:color="auto"/>
        <w:left w:val="none" w:sz="0" w:space="0" w:color="auto"/>
        <w:bottom w:val="none" w:sz="0" w:space="0" w:color="auto"/>
        <w:right w:val="none" w:sz="0" w:space="0" w:color="auto"/>
      </w:divBdr>
    </w:div>
    <w:div w:id="255794755">
      <w:bodyDiv w:val="1"/>
      <w:marLeft w:val="0"/>
      <w:marRight w:val="0"/>
      <w:marTop w:val="0"/>
      <w:marBottom w:val="0"/>
      <w:divBdr>
        <w:top w:val="none" w:sz="0" w:space="0" w:color="auto"/>
        <w:left w:val="none" w:sz="0" w:space="0" w:color="auto"/>
        <w:bottom w:val="none" w:sz="0" w:space="0" w:color="auto"/>
        <w:right w:val="none" w:sz="0" w:space="0" w:color="auto"/>
      </w:divBdr>
    </w:div>
    <w:div w:id="1456213429">
      <w:bodyDiv w:val="1"/>
      <w:marLeft w:val="0"/>
      <w:marRight w:val="0"/>
      <w:marTop w:val="0"/>
      <w:marBottom w:val="0"/>
      <w:divBdr>
        <w:top w:val="none" w:sz="0" w:space="0" w:color="auto"/>
        <w:left w:val="none" w:sz="0" w:space="0" w:color="auto"/>
        <w:bottom w:val="none" w:sz="0" w:space="0" w:color="auto"/>
        <w:right w:val="none" w:sz="0" w:space="0" w:color="auto"/>
      </w:divBdr>
    </w:div>
    <w:div w:id="167773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na.Usare@i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polsis.mk.gov.lv/documents/4608" TargetMode="External"/><Relationship Id="rId2" Type="http://schemas.openxmlformats.org/officeDocument/2006/relationships/hyperlink" Target="http://polsis.mk.gov.lv/documents/4608" TargetMode="External"/><Relationship Id="rId1" Type="http://schemas.openxmlformats.org/officeDocument/2006/relationships/hyperlink" Target="https://likumi.lv/ta/id/291823-darbibas-programmas-izaugsme-un-nodarbinatiba-1-1-1-specifiska-atbalsta-merka-palielinat-latvijas-zinatnisko-instituciju" TargetMode="External"/><Relationship Id="rId4" Type="http://schemas.openxmlformats.org/officeDocument/2006/relationships/hyperlink" Target="https://likumi.lv/ta/id/295595-par-videja-termina-budzeta-ietvaru-2018-2019-un-2020-gad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C1C0C-533B-49FE-922E-1B919583A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5</Pages>
  <Words>1616</Words>
  <Characters>9214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Anotācija</vt:lpstr>
    </vt:vector>
  </TitlesOfParts>
  <Company>IZM</Company>
  <LinksUpToDate>false</LinksUpToDate>
  <CharactersWithSpaces>10809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dc:title>
  <dc:subject>MK noteikumu grozījumi</dc:subject>
  <dc:creator>Elīna Usāre</dc:creator>
  <dc:description>E.Usāre
67047818
Elina.Usare@izm.gov.lv</dc:description>
  <cp:lastModifiedBy>Elīna Usāre</cp:lastModifiedBy>
  <cp:revision>58</cp:revision>
  <cp:lastPrinted>2018-10-03T07:32:00Z</cp:lastPrinted>
  <dcterms:created xsi:type="dcterms:W3CDTF">2018-10-16T06:30:00Z</dcterms:created>
  <dcterms:modified xsi:type="dcterms:W3CDTF">2018-12-11T09:54:00Z</dcterms:modified>
</cp:coreProperties>
</file>