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60" w:rsidRPr="001A75DA" w:rsidRDefault="00590D60" w:rsidP="00590D60">
      <w:pPr>
        <w:jc w:val="center"/>
        <w:rPr>
          <w:rFonts w:eastAsia="Times New Roman"/>
          <w:b/>
          <w:color w:val="000000" w:themeColor="text1"/>
          <w:sz w:val="28"/>
          <w:szCs w:val="28"/>
        </w:rPr>
      </w:pPr>
      <w:bookmarkStart w:id="0" w:name="OLE_LINK1"/>
      <w:bookmarkStart w:id="1" w:name="OLE_LINK2"/>
      <w:r w:rsidRPr="001A75DA">
        <w:rPr>
          <w:rFonts w:eastAsia="Times New Roman"/>
          <w:b/>
          <w:bCs/>
          <w:color w:val="000000" w:themeColor="text1"/>
          <w:sz w:val="28"/>
          <w:szCs w:val="28"/>
        </w:rPr>
        <w:t>Ministru kabineta rīkojuma projekta</w:t>
      </w:r>
    </w:p>
    <w:p w:rsidR="00590D60" w:rsidRPr="001A75DA" w:rsidRDefault="00590D60" w:rsidP="00590D60">
      <w:pPr>
        <w:ind w:right="-1"/>
        <w:jc w:val="center"/>
        <w:rPr>
          <w:b/>
          <w:color w:val="000000" w:themeColor="text1"/>
          <w:sz w:val="28"/>
          <w:szCs w:val="28"/>
        </w:rPr>
      </w:pPr>
      <w:r>
        <w:rPr>
          <w:b/>
          <w:color w:val="000000" w:themeColor="text1"/>
          <w:sz w:val="28"/>
          <w:szCs w:val="28"/>
        </w:rPr>
        <w:t>„Par valstij dividendēs izmaksājamo valsts sabiedrības ar ierobežotu atbildību „Latvijas Nacionālais simfoniskais orķestris”</w:t>
      </w:r>
      <w:r w:rsidRPr="001A75DA">
        <w:rPr>
          <w:b/>
          <w:color w:val="000000" w:themeColor="text1"/>
          <w:sz w:val="28"/>
          <w:szCs w:val="28"/>
        </w:rPr>
        <w:t xml:space="preserve"> sākotnējās ietekmes novērtējuma ziņojums (anotācija)</w:t>
      </w:r>
    </w:p>
    <w:bookmarkEnd w:id="0"/>
    <w:bookmarkEnd w:id="1"/>
    <w:p w:rsidR="00590D60" w:rsidRPr="001A75DA" w:rsidRDefault="00590D60" w:rsidP="00590D60">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590D60" w:rsidRPr="001A75DA" w:rsidTr="009B174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590D60" w:rsidRPr="001A75DA" w:rsidTr="009B174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90D60" w:rsidRDefault="00590D60" w:rsidP="00B30058">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sidRPr="00590D60">
              <w:rPr>
                <w:color w:val="000000" w:themeColor="text1"/>
                <w:sz w:val="28"/>
                <w:szCs w:val="28"/>
              </w:rPr>
              <w:t>Latvijas Nacionālais</w:t>
            </w:r>
            <w:r w:rsidRPr="00470650">
              <w:rPr>
                <w:color w:val="000000" w:themeColor="text1"/>
                <w:sz w:val="28"/>
                <w:szCs w:val="28"/>
              </w:rPr>
              <w:t xml:space="preserve"> simfoniskais orķestris</w:t>
            </w:r>
            <w:r w:rsidRPr="00822C8A">
              <w:rPr>
                <w:color w:val="000000" w:themeColor="text1"/>
                <w:sz w:val="28"/>
                <w:szCs w:val="28"/>
              </w:rPr>
              <w:t>” peļņas daļu” (turpmāk – Projekts) mērķis ir valsts sabiedrības ar ierobežotu atbildību „</w:t>
            </w:r>
            <w:r w:rsidRPr="00590D60">
              <w:rPr>
                <w:color w:val="000000" w:themeColor="text1"/>
                <w:sz w:val="28"/>
                <w:szCs w:val="28"/>
              </w:rPr>
              <w:t>Latvijas Nacionālais</w:t>
            </w:r>
            <w:r w:rsidRPr="00470650">
              <w:rPr>
                <w:color w:val="000000" w:themeColor="text1"/>
                <w:sz w:val="28"/>
                <w:szCs w:val="28"/>
              </w:rPr>
              <w:t xml:space="preserve"> simfoniskais orķestris</w:t>
            </w:r>
            <w:r w:rsidRPr="00822C8A">
              <w:rPr>
                <w:color w:val="000000" w:themeColor="text1"/>
                <w:sz w:val="28"/>
                <w:szCs w:val="28"/>
              </w:rPr>
              <w:t xml:space="preserve">”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00B30058" w:rsidRPr="00822C8A">
              <w:rPr>
                <w:color w:val="000000" w:themeColor="text1"/>
                <w:sz w:val="28"/>
                <w:szCs w:val="28"/>
              </w:rPr>
              <w:t xml:space="preserve">Saskaņā ar </w:t>
            </w:r>
            <w:r w:rsidR="00B30058">
              <w:rPr>
                <w:color w:val="000000" w:themeColor="text1"/>
                <w:sz w:val="28"/>
                <w:szCs w:val="28"/>
              </w:rPr>
              <w:t>kapitālsabiedrības vidēja termiņa stratēģijas projektu „Valsts sabiedrības ar ierobežotu atbildību „</w:t>
            </w:r>
            <w:r w:rsidR="00B30058" w:rsidRPr="00590D60">
              <w:rPr>
                <w:color w:val="000000" w:themeColor="text1"/>
                <w:sz w:val="28"/>
                <w:szCs w:val="28"/>
              </w:rPr>
              <w:t>Latvijas Nacionālais</w:t>
            </w:r>
            <w:r w:rsidR="00B30058" w:rsidRPr="00470650">
              <w:rPr>
                <w:color w:val="000000" w:themeColor="text1"/>
                <w:sz w:val="28"/>
                <w:szCs w:val="28"/>
              </w:rPr>
              <w:t xml:space="preserve"> simfoniskais orķestris</w:t>
            </w:r>
            <w:r w:rsidR="00B30058">
              <w:rPr>
                <w:color w:val="000000" w:themeColor="text1"/>
                <w:sz w:val="28"/>
                <w:szCs w:val="28"/>
              </w:rPr>
              <w:t>”</w:t>
            </w:r>
            <w:r w:rsidR="00B30058" w:rsidRPr="001A75DA">
              <w:rPr>
                <w:color w:val="000000" w:themeColor="text1"/>
                <w:sz w:val="28"/>
                <w:szCs w:val="28"/>
              </w:rPr>
              <w:t xml:space="preserve"> vidēja termiņa darbības stratēģija 2018. – 202</w:t>
            </w:r>
            <w:r w:rsidR="00B30058">
              <w:rPr>
                <w:color w:val="000000" w:themeColor="text1"/>
                <w:sz w:val="28"/>
                <w:szCs w:val="28"/>
              </w:rPr>
              <w:t>2</w:t>
            </w:r>
            <w:r w:rsidR="00B30058" w:rsidRPr="001A75DA">
              <w:rPr>
                <w:color w:val="000000" w:themeColor="text1"/>
                <w:sz w:val="28"/>
                <w:szCs w:val="28"/>
              </w:rPr>
              <w:t xml:space="preserve">.gadam” (turpmāk – </w:t>
            </w:r>
            <w:r w:rsidR="00B30058" w:rsidRPr="00B213F4">
              <w:rPr>
                <w:color w:val="000000" w:themeColor="text1"/>
                <w:sz w:val="28"/>
                <w:szCs w:val="28"/>
              </w:rPr>
              <w:t xml:space="preserve">Stratēģija) </w:t>
            </w:r>
            <w:r w:rsidRPr="00822C8A">
              <w:rPr>
                <w:color w:val="000000" w:themeColor="text1"/>
                <w:sz w:val="28"/>
                <w:szCs w:val="28"/>
              </w:rPr>
              <w:t>201</w:t>
            </w:r>
            <w:r w:rsidR="00321919">
              <w:rPr>
                <w:color w:val="000000" w:themeColor="text1"/>
                <w:sz w:val="28"/>
                <w:szCs w:val="28"/>
              </w:rPr>
              <w:t>8</w:t>
            </w:r>
            <w:r w:rsidRPr="00822C8A">
              <w:rPr>
                <w:color w:val="000000" w:themeColor="text1"/>
                <w:sz w:val="28"/>
                <w:szCs w:val="28"/>
              </w:rPr>
              <w:t>. – 202</w:t>
            </w:r>
            <w:r>
              <w:rPr>
                <w:color w:val="000000" w:themeColor="text1"/>
                <w:sz w:val="28"/>
                <w:szCs w:val="28"/>
              </w:rPr>
              <w:t>1</w:t>
            </w:r>
            <w:r w:rsidRPr="00822C8A">
              <w:rPr>
                <w:color w:val="000000" w:themeColor="text1"/>
                <w:sz w:val="28"/>
                <w:szCs w:val="28"/>
              </w:rPr>
              <w:t>.gadam prognozējamā dividendēs izmaksājamā peļņas daļa plānota</w:t>
            </w:r>
            <w:r w:rsidR="001265EE">
              <w:rPr>
                <w:color w:val="000000" w:themeColor="text1"/>
                <w:sz w:val="28"/>
                <w:szCs w:val="28"/>
              </w:rPr>
              <w:t xml:space="preserve"> </w:t>
            </w:r>
            <w:r w:rsidR="001265EE" w:rsidRPr="001265EE">
              <w:rPr>
                <w:sz w:val="28"/>
                <w:szCs w:val="28"/>
              </w:rPr>
              <w:t>6</w:t>
            </w:r>
            <w:r w:rsidRPr="001265EE">
              <w:rPr>
                <w:sz w:val="28"/>
                <w:szCs w:val="28"/>
              </w:rPr>
              <w:t> </w:t>
            </w:r>
            <w:r w:rsidR="001265EE" w:rsidRPr="001265EE">
              <w:rPr>
                <w:sz w:val="28"/>
                <w:szCs w:val="28"/>
              </w:rPr>
              <w:t>796</w:t>
            </w:r>
            <w:r w:rsidRPr="00822C8A">
              <w:rPr>
                <w:color w:val="000000" w:themeColor="text1"/>
                <w:sz w:val="28"/>
                <w:szCs w:val="28"/>
              </w:rPr>
              <w:t> </w:t>
            </w:r>
            <w:r w:rsidRPr="00822C8A">
              <w:rPr>
                <w:i/>
                <w:color w:val="000000" w:themeColor="text1"/>
                <w:sz w:val="28"/>
                <w:szCs w:val="28"/>
              </w:rPr>
              <w:t xml:space="preserve">euro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90D60" w:rsidRPr="001A75DA" w:rsidTr="009B17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590D60" w:rsidRPr="001A75DA" w:rsidTr="009B17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590D60" w:rsidRDefault="00590D60" w:rsidP="00C72199">
            <w:pPr>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(turpmāk – Noteikumi Nr.806) 5.punktu, kas nosaka, ka Ministru kabinets pēc valsts kapitāla </w:t>
            </w:r>
            <w:r w:rsidRPr="00822C8A">
              <w:rPr>
                <w:color w:val="000000" w:themeColor="text1"/>
                <w:sz w:val="28"/>
                <w:szCs w:val="28"/>
              </w:rPr>
              <w:lastRenderedPageBreak/>
              <w:t>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590D60" w:rsidRPr="001A75DA" w:rsidTr="009B17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590D60" w:rsidRDefault="00590D60" w:rsidP="009B174C">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00590D60" w:rsidRDefault="00590D60" w:rsidP="009B174C">
            <w:pPr>
              <w:pStyle w:val="Default"/>
              <w:ind w:right="-1" w:firstLine="695"/>
              <w:jc w:val="both"/>
              <w:rPr>
                <w:rFonts w:eastAsia="Times New Roman"/>
                <w:color w:val="000000" w:themeColor="text1"/>
                <w:sz w:val="28"/>
                <w:szCs w:val="28"/>
                <w:lang w:eastAsia="lv-LV"/>
              </w:rPr>
            </w:pPr>
            <w:r>
              <w:rPr>
                <w:color w:val="000000" w:themeColor="text1"/>
                <w:sz w:val="28"/>
                <w:szCs w:val="28"/>
              </w:rPr>
              <w:t xml:space="preserve">Kapitālsabiedrības </w:t>
            </w:r>
            <w:r w:rsidRPr="00B213F4">
              <w:rPr>
                <w:color w:val="000000" w:themeColor="text1"/>
                <w:sz w:val="28"/>
                <w:szCs w:val="28"/>
              </w:rPr>
              <w:t>Stratēģij</w:t>
            </w:r>
            <w:r w:rsidR="00B30058">
              <w:rPr>
                <w:color w:val="000000" w:themeColor="text1"/>
                <w:sz w:val="28"/>
                <w:szCs w:val="28"/>
              </w:rPr>
              <w:t>ā</w:t>
            </w:r>
            <w:r w:rsidRPr="00B213F4">
              <w:rPr>
                <w:color w:val="000000" w:themeColor="text1"/>
                <w:sz w:val="28"/>
                <w:szCs w:val="28"/>
              </w:rPr>
              <w:t xml:space="preserve"> noteikt</w:t>
            </w:r>
            <w:r w:rsidR="00B213F4" w:rsidRPr="00B213F4">
              <w:rPr>
                <w:color w:val="000000" w:themeColor="text1"/>
                <w:sz w:val="28"/>
                <w:szCs w:val="28"/>
              </w:rPr>
              <w:t xml:space="preserve">ais finanšu </w:t>
            </w:r>
            <w:proofErr w:type="spellStart"/>
            <w:r w:rsidR="00B213F4" w:rsidRPr="00B213F4">
              <w:rPr>
                <w:color w:val="000000" w:themeColor="text1"/>
                <w:sz w:val="28"/>
                <w:szCs w:val="28"/>
              </w:rPr>
              <w:t>virsmērķis</w:t>
            </w:r>
            <w:proofErr w:type="spellEnd"/>
            <w:r w:rsidR="00B213F4" w:rsidRPr="00B213F4">
              <w:rPr>
                <w:color w:val="000000" w:themeColor="text1"/>
                <w:sz w:val="28"/>
                <w:szCs w:val="28"/>
              </w:rPr>
              <w:t xml:space="preserve"> ir </w:t>
            </w:r>
            <w:r w:rsidR="00B213F4" w:rsidRPr="00B213F4">
              <w:rPr>
                <w:sz w:val="28"/>
                <w:szCs w:val="28"/>
                <w:lang w:eastAsia="lv-LV"/>
              </w:rPr>
              <w:t>kultūras institūcijas finanšu stabilitāte,</w:t>
            </w:r>
            <w:r w:rsidR="00B213F4">
              <w:rPr>
                <w:lang w:eastAsia="lv-LV"/>
              </w:rPr>
              <w:t xml:space="preserve"> </w:t>
            </w:r>
            <w:r w:rsidRPr="00B213F4">
              <w:rPr>
                <w:color w:val="auto"/>
                <w:sz w:val="28"/>
                <w:szCs w:val="28"/>
              </w:rPr>
              <w:t xml:space="preserve">kurš sastāv no tādiem finanšu mērķiem kā </w:t>
            </w:r>
            <w:r w:rsidR="00B213F4" w:rsidRPr="00B213F4">
              <w:rPr>
                <w:color w:val="auto"/>
                <w:sz w:val="28"/>
                <w:szCs w:val="28"/>
              </w:rPr>
              <w:t>plānoto pašu ieņēmumu īpatsvars kopējos ieņēmumos</w:t>
            </w:r>
            <w:r w:rsidRPr="00B213F4">
              <w:rPr>
                <w:color w:val="auto"/>
                <w:sz w:val="28"/>
                <w:szCs w:val="28"/>
              </w:rPr>
              <w:t xml:space="preserve">, pašu kapitāla atdeve, biļešu ieņēmumi, pārējie pašu ieņēmumi, </w:t>
            </w:r>
            <w:r w:rsidRPr="00AB2CCF">
              <w:rPr>
                <w:color w:val="auto"/>
                <w:sz w:val="28"/>
                <w:szCs w:val="28"/>
              </w:rPr>
              <w:t>peļņa (</w:t>
            </w:r>
            <w:r w:rsidRPr="00AB2CCF">
              <w:rPr>
                <w:rFonts w:eastAsia="Times New Roman"/>
                <w:color w:val="auto"/>
                <w:sz w:val="28"/>
                <w:szCs w:val="28"/>
                <w:lang w:eastAsia="lv-LV"/>
              </w:rPr>
              <w:t xml:space="preserve">2018.gadā – </w:t>
            </w:r>
            <w:r w:rsidR="00AB2CCF" w:rsidRPr="00AB2CCF">
              <w:rPr>
                <w:rFonts w:eastAsia="Times New Roman"/>
                <w:color w:val="auto"/>
                <w:sz w:val="28"/>
                <w:szCs w:val="28"/>
              </w:rPr>
              <w:t>3 071</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2019.gadā – </w:t>
            </w:r>
            <w:r w:rsidR="00AB2CCF" w:rsidRPr="00AB2CCF">
              <w:rPr>
                <w:color w:val="auto"/>
                <w:sz w:val="28"/>
                <w:szCs w:val="28"/>
              </w:rPr>
              <w:t>3</w:t>
            </w:r>
            <w:r w:rsidR="0067153C">
              <w:rPr>
                <w:color w:val="auto"/>
                <w:sz w:val="28"/>
                <w:szCs w:val="28"/>
              </w:rPr>
              <w:t> </w:t>
            </w:r>
            <w:r w:rsidR="00AB2CCF" w:rsidRPr="00AB2CCF">
              <w:rPr>
                <w:color w:val="auto"/>
                <w:sz w:val="28"/>
                <w:szCs w:val="28"/>
              </w:rPr>
              <w:t>0</w:t>
            </w:r>
            <w:r w:rsidRPr="00AB2CCF">
              <w:rPr>
                <w:color w:val="auto"/>
                <w:sz w:val="28"/>
                <w:szCs w:val="28"/>
              </w:rPr>
              <w:t>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2020.gadā – </w:t>
            </w:r>
            <w:r w:rsidRPr="00AB2CCF">
              <w:rPr>
                <w:color w:val="auto"/>
                <w:sz w:val="28"/>
                <w:szCs w:val="28"/>
              </w:rPr>
              <w:t>2</w:t>
            </w:r>
            <w:r w:rsidR="0067153C">
              <w:rPr>
                <w:color w:val="auto"/>
                <w:sz w:val="28"/>
                <w:szCs w:val="28"/>
              </w:rPr>
              <w:t> </w:t>
            </w:r>
            <w:r w:rsidR="00AB2CCF" w:rsidRPr="00AB2CCF">
              <w:rPr>
                <w:color w:val="auto"/>
                <w:sz w:val="28"/>
                <w:szCs w:val="28"/>
              </w:rPr>
              <w:t>0</w:t>
            </w:r>
            <w:r w:rsidRPr="00AB2CCF">
              <w:rPr>
                <w:color w:val="auto"/>
                <w:sz w:val="28"/>
                <w:szCs w:val="28"/>
              </w:rPr>
              <w:t>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2021.gadā – </w:t>
            </w:r>
            <w:r w:rsidR="00AB2CCF" w:rsidRPr="00AB2CCF">
              <w:rPr>
                <w:rFonts w:eastAsia="Times New Roman"/>
                <w:color w:val="auto"/>
                <w:sz w:val="28"/>
                <w:szCs w:val="28"/>
              </w:rPr>
              <w:t>3 371</w:t>
            </w:r>
            <w:r w:rsidRPr="00AB2CCF">
              <w:rPr>
                <w:rFonts w:eastAsia="Times New Roman"/>
                <w:color w:val="auto"/>
                <w:sz w:val="28"/>
                <w:szCs w:val="28"/>
                <w:lang w:eastAsia="lv-LV"/>
              </w:rPr>
              <w:t> </w:t>
            </w:r>
            <w:r w:rsidRPr="00AB2CCF">
              <w:rPr>
                <w:rFonts w:eastAsia="Times New Roman"/>
                <w:i/>
                <w:color w:val="auto"/>
                <w:sz w:val="28"/>
                <w:szCs w:val="28"/>
                <w:lang w:eastAsia="lv-LV"/>
              </w:rPr>
              <w:t xml:space="preserve">euro, </w:t>
            </w:r>
            <w:r w:rsidRPr="00AB2CCF">
              <w:rPr>
                <w:rFonts w:eastAsia="Times New Roman"/>
                <w:color w:val="auto"/>
                <w:sz w:val="28"/>
                <w:szCs w:val="28"/>
                <w:lang w:eastAsia="lv-LV"/>
              </w:rPr>
              <w:t xml:space="preserve">2022.gadā – </w:t>
            </w:r>
            <w:r w:rsidR="00AB2CCF" w:rsidRPr="00AB2CCF">
              <w:rPr>
                <w:color w:val="auto"/>
                <w:sz w:val="28"/>
                <w:szCs w:val="28"/>
              </w:rPr>
              <w:t>1</w:t>
            </w:r>
            <w:r w:rsidR="0067153C">
              <w:rPr>
                <w:color w:val="auto"/>
                <w:sz w:val="28"/>
                <w:szCs w:val="28"/>
              </w:rPr>
              <w:t> </w:t>
            </w:r>
            <w:r w:rsidR="00AB2CCF" w:rsidRPr="00AB2CCF">
              <w:rPr>
                <w:color w:val="auto"/>
                <w:sz w:val="28"/>
                <w:szCs w:val="28"/>
              </w:rPr>
              <w:t>199</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w:t>
            </w:r>
            <w:r w:rsidRPr="00AB2CCF">
              <w:rPr>
                <w:color w:val="auto"/>
                <w:sz w:val="28"/>
                <w:szCs w:val="28"/>
              </w:rPr>
              <w:t xml:space="preserve"> un kopējais likviditātes rādītājs (</w:t>
            </w:r>
            <w:r w:rsidRPr="00AB2CCF">
              <w:rPr>
                <w:rFonts w:eastAsia="Times New Roman"/>
                <w:color w:val="auto"/>
                <w:sz w:val="28"/>
                <w:szCs w:val="28"/>
                <w:lang w:eastAsia="lv-LV"/>
              </w:rPr>
              <w:t xml:space="preserve">2018.gadā – </w:t>
            </w:r>
            <w:r w:rsidRPr="00AB2CCF">
              <w:rPr>
                <w:color w:val="auto"/>
                <w:sz w:val="28"/>
                <w:szCs w:val="28"/>
              </w:rPr>
              <w:t>0,</w:t>
            </w:r>
            <w:r w:rsidR="00B213F4" w:rsidRPr="00AB2CCF">
              <w:rPr>
                <w:color w:val="auto"/>
                <w:sz w:val="28"/>
                <w:szCs w:val="28"/>
              </w:rPr>
              <w:t>58</w:t>
            </w:r>
            <w:r w:rsidRPr="00AB2CCF">
              <w:rPr>
                <w:rFonts w:eastAsia="Times New Roman"/>
                <w:color w:val="auto"/>
                <w:sz w:val="28"/>
                <w:szCs w:val="28"/>
                <w:lang w:eastAsia="lv-LV"/>
              </w:rPr>
              <w:t> procenti, 2019.gadā – 0,</w:t>
            </w:r>
            <w:r w:rsidR="00B213F4" w:rsidRPr="00AB2CCF">
              <w:rPr>
                <w:rFonts w:eastAsia="Times New Roman"/>
                <w:color w:val="auto"/>
                <w:sz w:val="28"/>
                <w:szCs w:val="28"/>
                <w:lang w:eastAsia="lv-LV"/>
              </w:rPr>
              <w:t>47</w:t>
            </w:r>
            <w:r w:rsidRPr="00AB2CCF">
              <w:rPr>
                <w:rFonts w:eastAsia="Times New Roman"/>
                <w:color w:val="auto"/>
                <w:sz w:val="28"/>
                <w:szCs w:val="28"/>
                <w:lang w:eastAsia="lv-LV"/>
              </w:rPr>
              <w:t> procenti, 2020.gadā – 0,</w:t>
            </w:r>
            <w:r w:rsidR="00AB2CCF" w:rsidRPr="00AB2CCF">
              <w:rPr>
                <w:rFonts w:eastAsia="Times New Roman"/>
                <w:color w:val="auto"/>
                <w:sz w:val="28"/>
                <w:szCs w:val="28"/>
                <w:lang w:eastAsia="lv-LV"/>
              </w:rPr>
              <w:t>4</w:t>
            </w:r>
            <w:r w:rsidRPr="00AB2CCF">
              <w:rPr>
                <w:rFonts w:eastAsia="Times New Roman"/>
                <w:color w:val="auto"/>
                <w:sz w:val="28"/>
                <w:szCs w:val="28"/>
                <w:lang w:eastAsia="lv-LV"/>
              </w:rPr>
              <w:t>2 procenti, 2021.gadā – 0,</w:t>
            </w:r>
            <w:r w:rsidR="00AB2CCF" w:rsidRPr="00AB2CCF">
              <w:rPr>
                <w:rFonts w:eastAsia="Times New Roman"/>
                <w:color w:val="auto"/>
                <w:sz w:val="28"/>
                <w:szCs w:val="28"/>
                <w:lang w:eastAsia="lv-LV"/>
              </w:rPr>
              <w:t>4</w:t>
            </w:r>
            <w:r w:rsidRPr="00AB2CCF">
              <w:rPr>
                <w:rFonts w:eastAsia="Times New Roman"/>
                <w:color w:val="auto"/>
                <w:sz w:val="28"/>
                <w:szCs w:val="28"/>
                <w:lang w:eastAsia="lv-LV"/>
              </w:rPr>
              <w:t>7 procenti, 2022.gadā – 0,</w:t>
            </w:r>
            <w:r w:rsidR="00AB2CCF" w:rsidRPr="00AB2CCF">
              <w:rPr>
                <w:rFonts w:eastAsia="Times New Roman"/>
                <w:color w:val="auto"/>
                <w:sz w:val="28"/>
                <w:szCs w:val="28"/>
                <w:lang w:eastAsia="lv-LV"/>
              </w:rPr>
              <w:t>45</w:t>
            </w:r>
            <w:r w:rsidRPr="00AB2CCF">
              <w:rPr>
                <w:rFonts w:eastAsia="Times New Roman"/>
                <w:color w:val="auto"/>
                <w:sz w:val="28"/>
                <w:szCs w:val="28"/>
                <w:lang w:eastAsia="lv-LV"/>
              </w:rPr>
              <w:t> procenti)</w:t>
            </w:r>
            <w:r w:rsidRPr="00AB2CCF">
              <w:rPr>
                <w:color w:val="auto"/>
                <w:sz w:val="28"/>
                <w:szCs w:val="28"/>
              </w:rPr>
              <w:t>.</w:t>
            </w:r>
            <w:r w:rsidRPr="00321919">
              <w:rPr>
                <w:color w:val="FF0000"/>
                <w:sz w:val="28"/>
                <w:szCs w:val="28"/>
              </w:rPr>
              <w:t xml:space="preserve"> </w:t>
            </w:r>
            <w:r w:rsidRPr="001A75DA">
              <w:rPr>
                <w:color w:val="000000" w:themeColor="text1"/>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822C8A">
              <w:rPr>
                <w:color w:val="000000" w:themeColor="text1"/>
                <w:sz w:val="28"/>
                <w:szCs w:val="28"/>
              </w:rPr>
              <w:t xml:space="preserve">novirzīt </w:t>
            </w:r>
            <w:r w:rsidRPr="00822C8A">
              <w:rPr>
                <w:rFonts w:eastAsia="Times New Roman"/>
                <w:color w:val="000000" w:themeColor="text1"/>
                <w:sz w:val="28"/>
                <w:szCs w:val="28"/>
              </w:rPr>
              <w:t>kapitālsabiedrības materiāli tehniskās bāzes uzlabošanai.</w:t>
            </w:r>
          </w:p>
          <w:p w:rsidR="00590D60" w:rsidRDefault="00590D60" w:rsidP="009B174C">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 xml:space="preserve">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w:t>
            </w:r>
            <w:r w:rsidRPr="00822C8A">
              <w:rPr>
                <w:color w:val="000000" w:themeColor="text1"/>
                <w:sz w:val="28"/>
                <w:szCs w:val="28"/>
              </w:rPr>
              <w:lastRenderedPageBreak/>
              <w:t>80 procentu apmērā un 2019.gadā (par 2018. pārskata gadu) 85 procentu apmērā no attiecīgās kapitālsabiedrības peļņas, ja likumā „</w:t>
            </w:r>
            <w:r w:rsidRPr="00822C8A">
              <w:rPr>
                <w:bCs/>
                <w:color w:val="000000" w:themeColor="text1"/>
                <w:sz w:val="28"/>
                <w:szCs w:val="28"/>
              </w:rPr>
              <w:t>Par vidēja termiņa budžeta ietvaru 2018., 2019. un 2020.gadam</w:t>
            </w:r>
            <w:r w:rsidRPr="00822C8A">
              <w:rPr>
                <w:color w:val="000000" w:themeColor="text1"/>
                <w:sz w:val="28"/>
                <w:szCs w:val="28"/>
              </w:rPr>
              <w:t>” nav noteikts citādi.</w:t>
            </w:r>
          </w:p>
          <w:p w:rsidR="00590D60" w:rsidRPr="001A75DA" w:rsidRDefault="00590D60" w:rsidP="009B174C">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590D60" w:rsidRPr="001A75DA" w:rsidRDefault="00590D60" w:rsidP="009B174C">
            <w:pPr>
              <w:pStyle w:val="tv2132"/>
              <w:spacing w:line="240" w:lineRule="auto"/>
              <w:ind w:right="-1" w:firstLine="695"/>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6"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7"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590D60" w:rsidRDefault="00590D60" w:rsidP="009B174C">
            <w:pPr>
              <w:autoSpaceDE w:val="0"/>
              <w:autoSpaceDN w:val="0"/>
              <w:adjustRightInd w:val="0"/>
              <w:ind w:right="-1" w:firstLine="695"/>
              <w:jc w:val="both"/>
              <w:rPr>
                <w:color w:val="000000" w:themeColor="text1"/>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w:t>
            </w:r>
            <w:r w:rsidRPr="00413D1C">
              <w:rPr>
                <w:rFonts w:eastAsiaTheme="minorHAnsi"/>
                <w:sz w:val="28"/>
                <w:szCs w:val="28"/>
              </w:rPr>
              <w:t xml:space="preserve">, lai </w:t>
            </w:r>
            <w:r w:rsidR="00C05A71" w:rsidRPr="002030F6">
              <w:rPr>
                <w:rFonts w:eastAsia="Times New Roman"/>
                <w:sz w:val="28"/>
                <w:szCs w:val="28"/>
              </w:rPr>
              <w:t>sagatavotu un darītu pieejamus sabiedrībai kvalitatīvus profesionālās mūzikas koncertus, iestudēt latviešu komponistu darbus, veicināt jaunradi latviešu simfoniskas mūzikas jomā, kā arī popularizēt simfonisko mūziku Latvijā un ārvalstīs</w:t>
            </w:r>
            <w:r w:rsidRPr="002030F6">
              <w:rPr>
                <w:rFonts w:eastAsiaTheme="minorHAnsi"/>
                <w:sz w:val="28"/>
                <w:szCs w:val="28"/>
              </w:rPr>
              <w:t xml:space="preserve">, </w:t>
            </w:r>
            <w:r w:rsidRPr="00822C8A">
              <w:rPr>
                <w:rFonts w:eastAsiaTheme="minorHAnsi"/>
                <w:color w:val="000000" w:themeColor="text1"/>
                <w:sz w:val="28"/>
                <w:szCs w:val="28"/>
              </w:rPr>
              <w:t xml:space="preserve">kas tika noteikts </w:t>
            </w:r>
            <w:r w:rsidRPr="00822C8A">
              <w:rPr>
                <w:color w:val="000000" w:themeColor="text1"/>
                <w:sz w:val="28"/>
                <w:szCs w:val="28"/>
              </w:rPr>
              <w:t>Ministru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C05A71">
              <w:rPr>
                <w:sz w:val="28"/>
                <w:szCs w:val="28"/>
              </w:rPr>
              <w:t xml:space="preserve">Stratēģijā </w:t>
            </w:r>
            <w:r w:rsidRPr="00C05A71">
              <w:rPr>
                <w:sz w:val="28"/>
                <w:szCs w:val="28"/>
              </w:rPr>
              <w:lastRenderedPageBreak/>
              <w:t xml:space="preserve">minētajā laika periodā kapitālsabiedrībai ir nepieciešami ieguldījumi </w:t>
            </w:r>
            <w:r w:rsidRPr="00C05A71">
              <w:rPr>
                <w:rStyle w:val="c1"/>
                <w:rFonts w:ascii="Times New Roman" w:hAnsi="Times New Roman" w:cs="Times New Roman"/>
                <w:sz w:val="28"/>
                <w:szCs w:val="28"/>
              </w:rPr>
              <w:t>mūzikas instrumentu</w:t>
            </w:r>
            <w:r w:rsidR="002030F6">
              <w:rPr>
                <w:rStyle w:val="c1"/>
                <w:rFonts w:ascii="Times New Roman" w:hAnsi="Times New Roman" w:cs="Times New Roman"/>
                <w:sz w:val="28"/>
                <w:szCs w:val="28"/>
              </w:rPr>
              <w:t xml:space="preserve"> </w:t>
            </w:r>
            <w:r w:rsidR="002030F6" w:rsidRPr="00B213F4">
              <w:rPr>
                <w:rStyle w:val="c1"/>
                <w:rFonts w:ascii="Times New Roman" w:hAnsi="Times New Roman" w:cs="Times New Roman"/>
                <w:sz w:val="28"/>
                <w:szCs w:val="28"/>
              </w:rPr>
              <w:t xml:space="preserve">(A </w:t>
            </w:r>
            <w:r w:rsidR="002030F6" w:rsidRPr="00B213F4">
              <w:rPr>
                <w:sz w:val="28"/>
                <w:szCs w:val="28"/>
              </w:rPr>
              <w:t>klarnete, B klarnete, oboja, Tai gongs (C3-B3)</w:t>
            </w:r>
            <w:r w:rsidR="00B213F4" w:rsidRPr="00B213F4">
              <w:rPr>
                <w:sz w:val="28"/>
                <w:szCs w:val="28"/>
              </w:rPr>
              <w:t xml:space="preserve">) </w:t>
            </w:r>
            <w:r w:rsidRPr="00B213F4">
              <w:rPr>
                <w:rStyle w:val="c1"/>
                <w:rFonts w:ascii="Times New Roman" w:hAnsi="Times New Roman" w:cs="Times New Roman"/>
                <w:sz w:val="28"/>
                <w:szCs w:val="28"/>
              </w:rPr>
              <w:t>iegādei</w:t>
            </w:r>
            <w:r w:rsidRPr="00703A11">
              <w:rPr>
                <w:rStyle w:val="c1"/>
                <w:rFonts w:ascii="Times New Roman" w:hAnsi="Times New Roman" w:cs="Times New Roman"/>
                <w:sz w:val="28"/>
                <w:szCs w:val="28"/>
              </w:rPr>
              <w:t xml:space="preserve"> </w:t>
            </w:r>
            <w:r w:rsidR="00C0625B" w:rsidRPr="00C0625B">
              <w:rPr>
                <w:rStyle w:val="c1"/>
                <w:rFonts w:ascii="Times New Roman" w:hAnsi="Times New Roman" w:cs="Times New Roman"/>
                <w:sz w:val="28"/>
                <w:szCs w:val="28"/>
              </w:rPr>
              <w:t>19</w:t>
            </w:r>
            <w:r w:rsidRPr="00C0625B">
              <w:rPr>
                <w:rFonts w:eastAsia="Times New Roman"/>
                <w:sz w:val="28"/>
                <w:szCs w:val="28"/>
              </w:rPr>
              <w:t> </w:t>
            </w:r>
            <w:r w:rsidR="00C0625B" w:rsidRPr="00C0625B">
              <w:rPr>
                <w:rFonts w:eastAsia="Times New Roman"/>
                <w:sz w:val="28"/>
                <w:szCs w:val="28"/>
              </w:rPr>
              <w:t>997</w:t>
            </w:r>
            <w:r w:rsidRPr="00C0625B">
              <w:rPr>
                <w:rFonts w:eastAsia="Times New Roman"/>
                <w:sz w:val="28"/>
                <w:szCs w:val="28"/>
              </w:rPr>
              <w:t> </w:t>
            </w:r>
            <w:r w:rsidRPr="00C0625B">
              <w:rPr>
                <w:i/>
                <w:sz w:val="28"/>
                <w:szCs w:val="28"/>
              </w:rPr>
              <w:t>euro</w:t>
            </w:r>
            <w:r w:rsidRPr="00C0625B">
              <w:rPr>
                <w:sz w:val="28"/>
                <w:szCs w:val="28"/>
              </w:rPr>
              <w:t xml:space="preserve"> apmērā</w:t>
            </w:r>
            <w:r w:rsidR="0067153C">
              <w:rPr>
                <w:color w:val="000000" w:themeColor="text1"/>
                <w:sz w:val="28"/>
                <w:szCs w:val="28"/>
              </w:rPr>
              <w:t xml:space="preserve">, </w:t>
            </w:r>
            <w:r w:rsidR="002030F6">
              <w:rPr>
                <w:color w:val="000000" w:themeColor="text1"/>
                <w:sz w:val="28"/>
                <w:szCs w:val="28"/>
              </w:rPr>
              <w:t>no kur</w:t>
            </w:r>
            <w:r w:rsidR="0067153C">
              <w:rPr>
                <w:color w:val="000000" w:themeColor="text1"/>
                <w:sz w:val="28"/>
                <w:szCs w:val="28"/>
              </w:rPr>
              <w:t>iem</w:t>
            </w:r>
            <w:r w:rsidR="002030F6">
              <w:rPr>
                <w:color w:val="000000" w:themeColor="text1"/>
                <w:sz w:val="28"/>
                <w:szCs w:val="28"/>
              </w:rPr>
              <w:t xml:space="preserve"> </w:t>
            </w:r>
            <w:r w:rsidR="001265EE" w:rsidRPr="001265EE">
              <w:rPr>
                <w:sz w:val="28"/>
                <w:szCs w:val="28"/>
              </w:rPr>
              <w:t>6 796 </w:t>
            </w:r>
            <w:r w:rsidR="002030F6" w:rsidRPr="001265EE">
              <w:rPr>
                <w:i/>
                <w:sz w:val="28"/>
                <w:szCs w:val="28"/>
              </w:rPr>
              <w:t>euro</w:t>
            </w:r>
            <w:r w:rsidR="002030F6" w:rsidRPr="00595C2C">
              <w:rPr>
                <w:color w:val="000000" w:themeColor="text1"/>
                <w:sz w:val="28"/>
                <w:szCs w:val="28"/>
              </w:rPr>
              <w:t xml:space="preserve"> apmērā </w:t>
            </w:r>
            <w:r w:rsidR="002030F6">
              <w:rPr>
                <w:color w:val="000000" w:themeColor="text1"/>
                <w:sz w:val="28"/>
                <w:szCs w:val="28"/>
              </w:rPr>
              <w:t xml:space="preserve">plānots segt no dividendēm, bet pārējo summu no </w:t>
            </w:r>
            <w:r w:rsidR="00B213F4">
              <w:rPr>
                <w:color w:val="000000" w:themeColor="text1"/>
                <w:sz w:val="28"/>
                <w:szCs w:val="28"/>
              </w:rPr>
              <w:t xml:space="preserve">peļņas un </w:t>
            </w:r>
            <w:r w:rsidR="002030F6">
              <w:rPr>
                <w:color w:val="000000" w:themeColor="text1"/>
                <w:sz w:val="28"/>
                <w:szCs w:val="28"/>
              </w:rPr>
              <w:t>pašu ieņēmumiem</w:t>
            </w:r>
            <w:r w:rsidRPr="00B213F4">
              <w:rPr>
                <w:sz w:val="28"/>
                <w:szCs w:val="28"/>
              </w:rPr>
              <w:t>.</w:t>
            </w:r>
            <w:r w:rsidRPr="00C34B00">
              <w:rPr>
                <w:color w:val="FF0000"/>
                <w:sz w:val="28"/>
                <w:szCs w:val="28"/>
              </w:rPr>
              <w:t xml:space="preserve"> </w:t>
            </w:r>
            <w:r w:rsidRPr="00822C8A">
              <w:rPr>
                <w:rFonts w:eastAsiaTheme="minorHAnsi"/>
                <w:color w:val="000000" w:themeColor="text1"/>
                <w:sz w:val="28"/>
                <w:szCs w:val="28"/>
              </w:rPr>
              <w:t>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apdraudot kapitālsabiedrības spēju darboties nākotnē.</w:t>
            </w:r>
          </w:p>
          <w:p w:rsidR="00590D60" w:rsidRPr="002030F6" w:rsidRDefault="00590D60" w:rsidP="009B174C">
            <w:pPr>
              <w:ind w:right="-1" w:firstLine="695"/>
              <w:jc w:val="both"/>
              <w:rPr>
                <w:sz w:val="28"/>
                <w:szCs w:val="28"/>
              </w:rPr>
            </w:pPr>
            <w:r w:rsidRPr="002030F6">
              <w:rPr>
                <w:sz w:val="28"/>
                <w:szCs w:val="28"/>
              </w:rPr>
              <w:t xml:space="preserve">Ar kapitālsabiedrību, pamatojoties uz Kultūras institūciju likuma 23.panta otro daļu, </w:t>
            </w:r>
            <w:r w:rsidRPr="002030F6">
              <w:rPr>
                <w:rFonts w:eastAsia="Arial Unicode MS"/>
                <w:sz w:val="28"/>
                <w:szCs w:val="28"/>
              </w:rPr>
              <w:t>2018.gada 2.janvārī noslēgts līdzdarbības līgums Nr.2.5.-8-</w:t>
            </w:r>
            <w:r w:rsidR="002030F6" w:rsidRPr="002030F6">
              <w:rPr>
                <w:rFonts w:eastAsia="Arial Unicode MS"/>
                <w:sz w:val="28"/>
                <w:szCs w:val="28"/>
              </w:rPr>
              <w:t>3</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valsts deleģētus pārvaldes uzdevumus kultūras jomā, kuru ietvaros kapitālsabiedrības tiešie uzdevumi ietver </w:t>
            </w:r>
            <w:r w:rsidRPr="002030F6">
              <w:rPr>
                <w:sz w:val="28"/>
                <w:szCs w:val="28"/>
              </w:rPr>
              <w:t xml:space="preserve">radīt daudzveidīgas un kvalitatīvas profesionālās simfoniskās mūzikas koncertprogrammas, nodrošinot repertuāra plašumu un veicinot jaunradi, kā arī nacionālās identitātes nostiprināšanu. </w:t>
            </w:r>
          </w:p>
          <w:p w:rsidR="00590D60" w:rsidRDefault="00590D60" w:rsidP="009B174C">
            <w:pPr>
              <w:pStyle w:val="Default"/>
              <w:ind w:right="-1" w:firstLine="695"/>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w:t>
            </w:r>
            <w:r w:rsidRPr="00822C8A">
              <w:rPr>
                <w:color w:val="000000" w:themeColor="text1"/>
                <w:sz w:val="28"/>
                <w:szCs w:val="28"/>
              </w:rPr>
              <w:lastRenderedPageBreak/>
              <w:t>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590D60" w:rsidRDefault="00590D60" w:rsidP="009B174C">
            <w:pPr>
              <w:pStyle w:val="Default"/>
              <w:ind w:right="-1" w:firstLine="695"/>
              <w:jc w:val="both"/>
              <w:rPr>
                <w:color w:val="000000" w:themeColor="text1"/>
                <w:sz w:val="28"/>
                <w:szCs w:val="28"/>
                <w:lang w:eastAsia="lv-LV"/>
              </w:rPr>
            </w:pPr>
            <w:r w:rsidRPr="00822C8A">
              <w:rPr>
                <w:color w:val="000000" w:themeColor="text1"/>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w:t>
            </w:r>
            <w:r w:rsidRPr="00822C8A">
              <w:rPr>
                <w:color w:val="000000" w:themeColor="text1"/>
                <w:sz w:val="28"/>
                <w:szCs w:val="28"/>
              </w:rPr>
              <w:lastRenderedPageBreak/>
              <w:t>nevar uzskatīt par reālu atlīdzību par sniegto pakalpojumu. Eiropas Komisijas skaidrojumā – „</w:t>
            </w:r>
            <w:r w:rsidRPr="00822C8A">
              <w:rPr>
                <w:i/>
                <w:color w:val="000000" w:themeColor="text1"/>
                <w:sz w:val="28"/>
                <w:szCs w:val="28"/>
              </w:rPr>
              <w:t>daļa no faktiskajām izmaksām</w:t>
            </w:r>
            <w:r w:rsidRPr="00822C8A">
              <w:rPr>
                <w:color w:val="000000" w:themeColor="text1"/>
                <w:sz w:val="28"/>
                <w:szCs w:val="28"/>
              </w:rPr>
              <w:t>” ir ne vairāk kā 50 procentus no kopējiem kultūras iestādes izdevumiem (biļešu ieņēmumi, maksas pakalpojumu u.c. pašu ieņēmumi).</w:t>
            </w:r>
          </w:p>
          <w:p w:rsidR="00590D60" w:rsidRDefault="009B174C" w:rsidP="009B174C">
            <w:pPr>
              <w:ind w:firstLine="695"/>
              <w:jc w:val="both"/>
              <w:rPr>
                <w:rFonts w:eastAsia="Times New Roman"/>
                <w:color w:val="000000" w:themeColor="text1"/>
                <w:sz w:val="28"/>
                <w:szCs w:val="28"/>
              </w:rPr>
            </w:pPr>
            <w:r w:rsidRPr="00D227DE">
              <w:rPr>
                <w:sz w:val="28"/>
                <w:szCs w:val="28"/>
              </w:rPr>
              <w:t>Saskaņā ar 2017.gada darbības rādītājiem kapitālsabiedrības pašu ieņēmumi no saimnieciskās darbības, tai skaitā no biļešu tirdzniecības, bija 690 634 </w:t>
            </w:r>
            <w:r w:rsidRPr="00D227DE">
              <w:rPr>
                <w:i/>
                <w:iCs/>
                <w:sz w:val="28"/>
                <w:szCs w:val="28"/>
              </w:rPr>
              <w:t>euro</w:t>
            </w:r>
            <w:r w:rsidRPr="00D227DE">
              <w:rPr>
                <w:sz w:val="28"/>
                <w:szCs w:val="28"/>
              </w:rPr>
              <w:t>, kas veidoja 24</w:t>
            </w:r>
            <w:r w:rsidR="0067153C">
              <w:rPr>
                <w:sz w:val="28"/>
                <w:szCs w:val="28"/>
              </w:rPr>
              <w:t> </w:t>
            </w:r>
            <w:r w:rsidRPr="00D227DE">
              <w:rPr>
                <w:sz w:val="28"/>
                <w:szCs w:val="28"/>
              </w:rPr>
              <w:t>procentus no kopējiem kapitālsabiedrības izdevumiem kultūras pakalpojumu pieejamības nodrošināšanā. Savukārt dotācija no valsts pamatbudžeta bija 2</w:t>
            </w:r>
            <w:r w:rsidR="0067153C">
              <w:rPr>
                <w:sz w:val="28"/>
                <w:szCs w:val="28"/>
              </w:rPr>
              <w:t> </w:t>
            </w:r>
            <w:r w:rsidRPr="00D227DE">
              <w:rPr>
                <w:sz w:val="28"/>
                <w:szCs w:val="28"/>
              </w:rPr>
              <w:t>169</w:t>
            </w:r>
            <w:r w:rsidR="0067153C">
              <w:rPr>
                <w:sz w:val="28"/>
                <w:szCs w:val="28"/>
              </w:rPr>
              <w:t> </w:t>
            </w:r>
            <w:r w:rsidRPr="00D227DE">
              <w:rPr>
                <w:sz w:val="28"/>
                <w:szCs w:val="28"/>
              </w:rPr>
              <w:t>544 </w:t>
            </w:r>
            <w:r w:rsidRPr="00D227DE">
              <w:rPr>
                <w:i/>
                <w:iCs/>
                <w:sz w:val="28"/>
                <w:szCs w:val="28"/>
              </w:rPr>
              <w:t>euro</w:t>
            </w:r>
            <w:r w:rsidRPr="00D227DE">
              <w:rPr>
                <w:sz w:val="28"/>
                <w:szCs w:val="28"/>
              </w:rPr>
              <w:t xml:space="preserve"> jeb 76 procenti no kopējiem kapitālsabiedrības izdevumiem kultūras pakalpojumu pieejamības nodrošināšanā.</w:t>
            </w:r>
            <w:r>
              <w:rPr>
                <w:sz w:val="28"/>
                <w:szCs w:val="28"/>
              </w:rPr>
              <w:t xml:space="preserve"> </w:t>
            </w:r>
            <w:r w:rsidR="00590D60" w:rsidRPr="001A75DA">
              <w:rPr>
                <w:color w:val="000000" w:themeColor="text1"/>
                <w:sz w:val="28"/>
                <w:szCs w:val="28"/>
              </w:rPr>
              <w:t>Ņemot vērā iepriekš minēto, kapitālsabiedrība</w:t>
            </w:r>
            <w:r w:rsidR="00590D60" w:rsidRPr="001A75DA">
              <w:rPr>
                <w:rFonts w:eastAsia="Times New Roman"/>
                <w:color w:val="000000" w:themeColor="text1"/>
                <w:sz w:val="28"/>
                <w:szCs w:val="28"/>
              </w:rPr>
              <w:t xml:space="preserve"> nav uzskatāma par saimnieciskās darbības veicēju, jo tā pašu ieņēmumi nepārsniedz 50 procentus no kopējiem izdevumiem.</w:t>
            </w:r>
          </w:p>
          <w:p w:rsidR="00590D60" w:rsidRPr="00323A81" w:rsidRDefault="00590D60" w:rsidP="009B174C">
            <w:pPr>
              <w:pStyle w:val="Default"/>
              <w:ind w:right="-1" w:firstLine="695"/>
              <w:jc w:val="both"/>
              <w:rPr>
                <w:color w:val="auto"/>
                <w:sz w:val="28"/>
                <w:szCs w:val="28"/>
                <w:lang w:eastAsia="lv-LV"/>
              </w:rPr>
            </w:pPr>
            <w:r w:rsidRPr="00323A81">
              <w:rPr>
                <w:color w:val="auto"/>
                <w:sz w:val="28"/>
                <w:szCs w:val="28"/>
              </w:rPr>
              <w:t>Lai nodrošinātu, ka valsts atbalsts turpmāk tiek sniegts saskaņā ar korektu valsts atbalsta nosacījumu regulējumu kultūras nozares ietvaros, kā arī veiktu piešķirtā finansējuma uzraudzību un kontroli, Kultūras ministrija pirms ikgadējās valsts budžeta dotācijas piešķiršanas vērtēs kapitālsabiedrības plānoto finansējumu, ņemot vērā pašu ieņēmumu un izdevumu, valsts budžeta dotācijas, kā arī pārējo finanšu resursu proporcionālo sadalījumu (vai pašu ieņēmumu robežvērtība nepārsniedz 50</w:t>
            </w:r>
            <w:r>
              <w:rPr>
                <w:color w:val="auto"/>
                <w:sz w:val="28"/>
                <w:szCs w:val="28"/>
              </w:rPr>
              <w:t> procentus</w:t>
            </w:r>
            <w:r w:rsidRPr="00323A81">
              <w:rPr>
                <w:color w:val="auto"/>
                <w:sz w:val="28"/>
                <w:szCs w:val="28"/>
              </w:rPr>
              <w:t xml:space="preserve"> no kopējiem kultūras iestādes izdevumiem), papildus vērtējot, vai izpildās visas Līguma par Eiropas Savienības darbību 107.panta 1.punktā noteiktās komercdarbības atbalsta pazīmes. Ja tiks konstatēts komercdarbības atbalsts kapitālsabiedrībai, finansējums tiks piešķirts, piemērojot </w:t>
            </w:r>
            <w:r w:rsidRPr="00E33E9D">
              <w:rPr>
                <w:color w:val="auto"/>
                <w:sz w:val="28"/>
                <w:szCs w:val="28"/>
              </w:rPr>
              <w:t xml:space="preserve">Eiropas Komisijas 2014.gada 17.jūnija Regulas Nr.651/2014, ar ko noteiktas atbalsta kategorijas atzīst par saderīgām ar iekšējo tirgu, piemērojot Līguma 107. un </w:t>
            </w:r>
            <w:r w:rsidRPr="00E33E9D">
              <w:rPr>
                <w:color w:val="auto"/>
                <w:sz w:val="28"/>
                <w:szCs w:val="28"/>
              </w:rPr>
              <w:lastRenderedPageBreak/>
              <w:t>108</w:t>
            </w:r>
            <w:r w:rsidR="00363FC2">
              <w:rPr>
                <w:color w:val="auto"/>
                <w:sz w:val="28"/>
                <w:szCs w:val="28"/>
              </w:rPr>
              <w:t>.</w:t>
            </w:r>
            <w:r w:rsidRPr="00E33E9D">
              <w:rPr>
                <w:color w:val="auto"/>
                <w:sz w:val="28"/>
                <w:szCs w:val="28"/>
              </w:rPr>
              <w:t>pantu</w:t>
            </w:r>
            <w:r w:rsidRPr="00EB06C7">
              <w:rPr>
                <w:color w:val="auto"/>
                <w:sz w:val="28"/>
                <w:szCs w:val="28"/>
              </w:rPr>
              <w:t>,</w:t>
            </w:r>
            <w:r w:rsidRPr="00323A81">
              <w:rPr>
                <w:color w:val="auto"/>
                <w:sz w:val="28"/>
                <w:szCs w:val="28"/>
              </w:rPr>
              <w:t xml:space="preserve"> I nodaļas un 53.panta specifiskos nosacījumus vai Komisijas Regulu (ES) Nr.1407/2013 par Līguma par Eiropas Savienības darbību 107. un 108.panta piemērošanu </w:t>
            </w:r>
            <w:r w:rsidRPr="00323A81">
              <w:rPr>
                <w:i/>
                <w:color w:val="auto"/>
                <w:sz w:val="28"/>
                <w:szCs w:val="28"/>
              </w:rPr>
              <w:t xml:space="preserve">de </w:t>
            </w:r>
            <w:proofErr w:type="spellStart"/>
            <w:r w:rsidRPr="00323A81">
              <w:rPr>
                <w:i/>
                <w:color w:val="auto"/>
                <w:sz w:val="28"/>
                <w:szCs w:val="28"/>
              </w:rPr>
              <w:t>minimis</w:t>
            </w:r>
            <w:proofErr w:type="spellEnd"/>
            <w:r w:rsidRPr="00323A81">
              <w:rPr>
                <w:i/>
                <w:color w:val="auto"/>
                <w:sz w:val="28"/>
                <w:szCs w:val="28"/>
              </w:rPr>
              <w:t xml:space="preserve"> </w:t>
            </w:r>
            <w:r w:rsidRPr="00323A81">
              <w:rPr>
                <w:color w:val="auto"/>
                <w:sz w:val="28"/>
                <w:szCs w:val="28"/>
              </w:rPr>
              <w:t>atbalstam.</w:t>
            </w:r>
          </w:p>
          <w:p w:rsidR="00590D60" w:rsidRDefault="00590D60" w:rsidP="009B174C">
            <w:pPr>
              <w:ind w:right="-1" w:firstLine="695"/>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regulārus ieguldījumus </w:t>
            </w:r>
            <w:r w:rsidRPr="00822C8A">
              <w:rPr>
                <w:rFonts w:eastAsiaTheme="minorHAnsi"/>
                <w:color w:val="000000" w:themeColor="text1"/>
                <w:sz w:val="28"/>
                <w:szCs w:val="28"/>
              </w:rPr>
              <w:t>tehniskās un tehnoloģiskās darbības pilnveidošanā</w:t>
            </w:r>
            <w:r w:rsidRPr="00822C8A">
              <w:rPr>
                <w:color w:val="000000" w:themeColor="text1"/>
                <w:sz w:val="28"/>
                <w:szCs w:val="28"/>
              </w:rPr>
              <w:t>, līdz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590D60" w:rsidRPr="001A75DA" w:rsidTr="009B17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90D60" w:rsidRDefault="00590D60" w:rsidP="009B174C">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590D60" w:rsidRPr="001A75DA" w:rsidTr="009B17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color w:val="000000" w:themeColor="text1"/>
                <w:sz w:val="28"/>
                <w:szCs w:val="28"/>
              </w:rPr>
              <w:t>Nav</w:t>
            </w:r>
          </w:p>
        </w:tc>
      </w:tr>
    </w:tbl>
    <w:p w:rsidR="00590D60" w:rsidRDefault="00590D60" w:rsidP="00590D60">
      <w:pPr>
        <w:pStyle w:val="Pamatteksts"/>
        <w:jc w:val="both"/>
        <w:rPr>
          <w:b/>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90D60" w:rsidRPr="00EB06C7" w:rsidTr="009B174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pStyle w:val="Pamatteksts"/>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590D60" w:rsidRPr="00EB06C7" w:rsidTr="009B174C">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590D60" w:rsidRDefault="00590D60" w:rsidP="009B174C">
            <w:pPr>
              <w:pStyle w:val="Pamatteksts"/>
              <w:rPr>
                <w:iCs/>
                <w:color w:val="000000" w:themeColor="text1"/>
                <w:szCs w:val="28"/>
              </w:rPr>
            </w:pPr>
            <w:r w:rsidRPr="00E33E9D">
              <w:rPr>
                <w:bCs/>
                <w:iCs/>
                <w:color w:val="000000" w:themeColor="text1"/>
                <w:szCs w:val="28"/>
              </w:rPr>
              <w:t>Projekts šo jomu neskar.</w:t>
            </w:r>
          </w:p>
        </w:tc>
      </w:tr>
    </w:tbl>
    <w:p w:rsidR="00590D60" w:rsidRPr="001A75DA" w:rsidRDefault="00590D60" w:rsidP="00590D60">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590D60" w:rsidRPr="001A75DA" w:rsidTr="009B174C">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590D60" w:rsidRPr="001A75DA" w:rsidTr="009B174C">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590D60" w:rsidRPr="001A75DA" w:rsidTr="009B174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7"/>
                <w:szCs w:val="27"/>
              </w:rPr>
            </w:pPr>
            <w:r w:rsidRPr="00822C8A">
              <w:rPr>
                <w:rFonts w:eastAsia="Times New Roman"/>
                <w:iCs/>
                <w:color w:val="000000" w:themeColor="text1"/>
                <w:sz w:val="27"/>
                <w:szCs w:val="27"/>
              </w:rPr>
              <w:t>2021.</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00590D60" w:rsidRPr="001A75DA" w:rsidTr="009B174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2019.</w:t>
            </w:r>
          </w:p>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363FC2">
            <w:pPr>
              <w:jc w:val="center"/>
              <w:rPr>
                <w:rFonts w:eastAsia="Times New Roman"/>
                <w:iCs/>
                <w:color w:val="000000" w:themeColor="text1"/>
              </w:rPr>
            </w:pPr>
            <w:r w:rsidRPr="00822C8A">
              <w:rPr>
                <w:rFonts w:eastAsia="Times New Roman"/>
                <w:iCs/>
                <w:color w:val="000000" w:themeColor="text1"/>
                <w:sz w:val="22"/>
                <w:szCs w:val="22"/>
              </w:rPr>
              <w:t xml:space="preserve">izmaiņas, salīdzinot ar vidēja termiņa budžeta ietvaru </w:t>
            </w:r>
            <w:r w:rsidR="00363FC2" w:rsidRPr="00822C8A">
              <w:rPr>
                <w:rFonts w:eastAsia="Times New Roman"/>
                <w:iCs/>
                <w:color w:val="000000" w:themeColor="text1"/>
                <w:sz w:val="22"/>
                <w:szCs w:val="22"/>
              </w:rPr>
              <w:t>202</w:t>
            </w:r>
            <w:r w:rsidR="00363FC2">
              <w:rPr>
                <w:rFonts w:eastAsia="Times New Roman"/>
                <w:iCs/>
                <w:color w:val="000000" w:themeColor="text1"/>
                <w:sz w:val="22"/>
                <w:szCs w:val="22"/>
              </w:rPr>
              <w:t>0</w:t>
            </w:r>
            <w:r w:rsidRPr="00822C8A">
              <w:rPr>
                <w:rFonts w:eastAsia="Times New Roman"/>
                <w:iCs/>
                <w:color w:val="000000" w:themeColor="text1"/>
                <w:sz w:val="22"/>
                <w:szCs w:val="22"/>
              </w:rPr>
              <w:t>. gadam</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lastRenderedPageBreak/>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lastRenderedPageBreak/>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 </w:t>
            </w:r>
            <w:r w:rsidRPr="00822C8A">
              <w:rPr>
                <w:color w:val="000000" w:themeColor="text1"/>
                <w:sz w:val="28"/>
                <w:szCs w:val="28"/>
              </w:rPr>
              <w:t>Projekts šo jomu neskar.</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590D60" w:rsidRDefault="00590D60" w:rsidP="009B174C">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590D60" w:rsidRDefault="00590D60" w:rsidP="009B174C">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četros gados kopā netiktu pārskaitīta summa </w:t>
            </w:r>
            <w:r w:rsidR="001265EE" w:rsidRPr="001265EE">
              <w:rPr>
                <w:sz w:val="28"/>
                <w:szCs w:val="28"/>
              </w:rPr>
              <w:t>6</w:t>
            </w:r>
            <w:r w:rsidR="001265EE">
              <w:rPr>
                <w:sz w:val="28"/>
                <w:szCs w:val="28"/>
              </w:rPr>
              <w:t> </w:t>
            </w:r>
            <w:r w:rsidR="001265EE" w:rsidRPr="001265EE">
              <w:rPr>
                <w:sz w:val="28"/>
                <w:szCs w:val="28"/>
              </w:rPr>
              <w:t>796</w:t>
            </w:r>
            <w:r w:rsidR="001265EE" w:rsidRPr="00822C8A">
              <w:rPr>
                <w:color w:val="000000" w:themeColor="text1"/>
                <w:sz w:val="28"/>
                <w:szCs w:val="28"/>
              </w:rPr>
              <w:t> </w:t>
            </w:r>
            <w:r w:rsidRPr="001265EE">
              <w:rPr>
                <w:i/>
                <w:sz w:val="28"/>
                <w:szCs w:val="28"/>
              </w:rPr>
              <w:t>euro</w:t>
            </w:r>
            <w:r w:rsidRPr="00822C8A">
              <w:rPr>
                <w:rFonts w:eastAsia="Times New Roman"/>
                <w:color w:val="000000" w:themeColor="text1"/>
                <w:sz w:val="28"/>
                <w:szCs w:val="28"/>
              </w:rPr>
              <w:t xml:space="preserve"> 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590D60" w:rsidRDefault="00590D60" w:rsidP="00590D60">
      <w:pPr>
        <w:pStyle w:val="Pamatteksts"/>
        <w:rPr>
          <w:b/>
          <w:color w:val="000000" w:themeColor="text1"/>
          <w:szCs w:val="28"/>
        </w:rPr>
      </w:pPr>
    </w:p>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lastRenderedPageBreak/>
              <w:t>IV. Tiesību akta projekta ietekme uz spēkā esošo tiesību normu sistēmu</w:t>
            </w:r>
          </w:p>
        </w:tc>
      </w:tr>
      <w:tr w:rsidR="00590D60" w:rsidRPr="001A75DA" w:rsidTr="009B174C">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color w:val="000000" w:themeColor="text1"/>
                <w:sz w:val="28"/>
                <w:szCs w:val="28"/>
              </w:rPr>
            </w:pPr>
            <w:r w:rsidRPr="00822C8A">
              <w:rPr>
                <w:bCs/>
                <w:iCs/>
                <w:color w:val="000000" w:themeColor="text1"/>
                <w:sz w:val="28"/>
                <w:szCs w:val="28"/>
              </w:rPr>
              <w:t>Projekts šo jomu neskar.</w:t>
            </w:r>
          </w:p>
        </w:tc>
      </w:tr>
    </w:tbl>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Cs/>
                <w:iCs/>
                <w:color w:val="000000" w:themeColor="text1"/>
                <w:sz w:val="28"/>
                <w:szCs w:val="28"/>
              </w:rPr>
            </w:pPr>
            <w:r w:rsidRPr="00822C8A">
              <w:rPr>
                <w:bCs/>
                <w:iCs/>
                <w:color w:val="000000" w:themeColor="text1"/>
                <w:sz w:val="28"/>
                <w:szCs w:val="28"/>
              </w:rPr>
              <w:t>Projekts šo jomu neskar.</w:t>
            </w:r>
          </w:p>
        </w:tc>
      </w:tr>
    </w:tbl>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Cs/>
                <w:iCs/>
                <w:color w:val="000000" w:themeColor="text1"/>
                <w:sz w:val="28"/>
                <w:szCs w:val="28"/>
              </w:rPr>
            </w:pPr>
            <w:r w:rsidRPr="00822C8A">
              <w:rPr>
                <w:bCs/>
                <w:iCs/>
                <w:color w:val="000000" w:themeColor="text1"/>
                <w:sz w:val="28"/>
                <w:szCs w:val="28"/>
              </w:rPr>
              <w:t>Projekts šo jomu neskar.</w:t>
            </w:r>
          </w:p>
        </w:tc>
      </w:tr>
    </w:tbl>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90D60" w:rsidRPr="001A75DA" w:rsidTr="009B17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590D60" w:rsidRPr="001A75DA" w:rsidTr="009B17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both"/>
              <w:rPr>
                <w:iCs/>
                <w:color w:val="000000" w:themeColor="text1"/>
                <w:sz w:val="28"/>
                <w:szCs w:val="28"/>
              </w:rPr>
            </w:pPr>
            <w:r w:rsidRPr="00822C8A">
              <w:rPr>
                <w:color w:val="000000" w:themeColor="text1"/>
                <w:sz w:val="28"/>
                <w:szCs w:val="28"/>
              </w:rPr>
              <w:t>Kultūras ministrija.</w:t>
            </w:r>
          </w:p>
        </w:tc>
      </w:tr>
      <w:tr w:rsidR="00590D60" w:rsidRPr="001A75DA" w:rsidTr="009B17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590D60" w:rsidRDefault="00590D60" w:rsidP="009B174C">
            <w:pPr>
              <w:rPr>
                <w:iCs/>
                <w:color w:val="000000" w:themeColor="text1"/>
                <w:sz w:val="28"/>
                <w:szCs w:val="28"/>
              </w:rPr>
            </w:pPr>
            <w:r w:rsidRPr="00822C8A">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both"/>
              <w:rPr>
                <w:iCs/>
                <w:color w:val="000000" w:themeColor="text1"/>
                <w:sz w:val="28"/>
                <w:szCs w:val="28"/>
              </w:rPr>
            </w:pPr>
            <w:r w:rsidRPr="00822C8A">
              <w:rPr>
                <w:color w:val="000000" w:themeColor="text1"/>
                <w:sz w:val="28"/>
                <w:szCs w:val="28"/>
              </w:rPr>
              <w:t>Projekts šo jomu neskar.</w:t>
            </w:r>
          </w:p>
        </w:tc>
      </w:tr>
      <w:tr w:rsidR="00590D60" w:rsidRPr="001A75DA" w:rsidTr="009B17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color w:val="000000" w:themeColor="text1"/>
                <w:sz w:val="28"/>
                <w:szCs w:val="28"/>
              </w:rPr>
              <w:t>Nav</w:t>
            </w:r>
          </w:p>
        </w:tc>
      </w:tr>
    </w:tbl>
    <w:p w:rsidR="00590D60" w:rsidRPr="001A75DA" w:rsidRDefault="00590D60" w:rsidP="00590D60">
      <w:pPr>
        <w:pStyle w:val="Pamatteksts"/>
        <w:rPr>
          <w:b/>
          <w:color w:val="000000" w:themeColor="text1"/>
          <w:szCs w:val="28"/>
        </w:rPr>
      </w:pPr>
    </w:p>
    <w:p w:rsidR="00590D60" w:rsidRPr="001A75DA" w:rsidRDefault="00590D60" w:rsidP="00590D60">
      <w:pPr>
        <w:jc w:val="both"/>
        <w:rPr>
          <w:rFonts w:eastAsia="Times New Roman"/>
          <w:color w:val="000000" w:themeColor="text1"/>
        </w:rPr>
      </w:pPr>
    </w:p>
    <w:p w:rsidR="00590D60" w:rsidRPr="001A75DA" w:rsidRDefault="00590D60" w:rsidP="00590D60">
      <w:pPr>
        <w:ind w:left="357" w:hanging="73"/>
        <w:rPr>
          <w:color w:val="000000" w:themeColor="text1"/>
          <w:sz w:val="28"/>
          <w:szCs w:val="28"/>
        </w:rPr>
      </w:pPr>
      <w:r w:rsidRPr="00822C8A">
        <w:rPr>
          <w:color w:val="000000" w:themeColor="text1"/>
          <w:sz w:val="28"/>
          <w:szCs w:val="28"/>
        </w:rPr>
        <w:t>Kultūras ministre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t>D.Melbārde</w:t>
      </w:r>
    </w:p>
    <w:p w:rsidR="00590D60" w:rsidRPr="001A75DA" w:rsidRDefault="00590D60" w:rsidP="00590D60">
      <w:pPr>
        <w:rPr>
          <w:color w:val="000000" w:themeColor="text1"/>
          <w:sz w:val="28"/>
          <w:szCs w:val="28"/>
        </w:rPr>
      </w:pPr>
    </w:p>
    <w:p w:rsidR="00590D60" w:rsidRPr="001A75DA" w:rsidRDefault="00590D60" w:rsidP="00590D60">
      <w:pPr>
        <w:ind w:left="357" w:hanging="73"/>
        <w:rPr>
          <w:color w:val="000000" w:themeColor="text1"/>
          <w:sz w:val="28"/>
          <w:szCs w:val="28"/>
        </w:rPr>
      </w:pPr>
      <w:r w:rsidRPr="00822C8A">
        <w:rPr>
          <w:color w:val="000000" w:themeColor="text1"/>
          <w:sz w:val="28"/>
          <w:szCs w:val="28"/>
        </w:rPr>
        <w:t>Vīza: Valsts sekretār</w:t>
      </w:r>
      <w:r w:rsidR="00336FAE">
        <w:rPr>
          <w:color w:val="000000" w:themeColor="text1"/>
          <w:sz w:val="28"/>
          <w:szCs w:val="28"/>
        </w:rPr>
        <w:t>e</w:t>
      </w:r>
      <w:r w:rsidR="00336FAE">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336FAE">
        <w:rPr>
          <w:color w:val="000000" w:themeColor="text1"/>
          <w:sz w:val="28"/>
          <w:szCs w:val="28"/>
        </w:rPr>
        <w:t>D.Vilsone</w:t>
      </w: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tabs>
          <w:tab w:val="left" w:pos="6804"/>
        </w:tabs>
        <w:ind w:right="-1"/>
        <w:rPr>
          <w:color w:val="000000" w:themeColor="text1"/>
          <w:sz w:val="20"/>
          <w:szCs w:val="20"/>
        </w:rPr>
      </w:pPr>
      <w:r w:rsidRPr="00822C8A">
        <w:rPr>
          <w:color w:val="000000" w:themeColor="text1"/>
          <w:sz w:val="20"/>
          <w:szCs w:val="20"/>
        </w:rPr>
        <w:t>Katajs 67330327</w:t>
      </w:r>
    </w:p>
    <w:p w:rsidR="00A258F4" w:rsidRDefault="00C94131" w:rsidP="00AB2CCF">
      <w:pPr>
        <w:ind w:right="-1"/>
      </w:pPr>
      <w:hyperlink r:id="rId8" w:history="1">
        <w:r w:rsidR="00590D60" w:rsidRPr="001A75DA">
          <w:rPr>
            <w:rStyle w:val="Hipersaite"/>
            <w:sz w:val="20"/>
            <w:szCs w:val="20"/>
          </w:rPr>
          <w:t>Marcis.Katajs@km.gov.lv</w:t>
        </w:r>
      </w:hyperlink>
    </w:p>
    <w:sectPr w:rsidR="00A258F4" w:rsidSect="009B174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EE" w:rsidRDefault="001265EE" w:rsidP="00336FAE">
      <w:r>
        <w:separator/>
      </w:r>
    </w:p>
  </w:endnote>
  <w:endnote w:type="continuationSeparator" w:id="0">
    <w:p w:rsidR="001265EE" w:rsidRDefault="001265EE" w:rsidP="0033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E" w:rsidRDefault="001265EE">
    <w:pPr>
      <w:pStyle w:val="Kjene"/>
      <w:jc w:val="center"/>
    </w:pPr>
  </w:p>
  <w:p w:rsidR="001265EE" w:rsidRDefault="001265EE">
    <w:pPr>
      <w:pStyle w:val="Kjene"/>
    </w:pPr>
    <w:r w:rsidRPr="007B30B4">
      <w:rPr>
        <w:sz w:val="20"/>
        <w:szCs w:val="20"/>
      </w:rPr>
      <w:t>KMAnot_</w:t>
    </w:r>
    <w:r w:rsidR="009B0E88">
      <w:rPr>
        <w:sz w:val="20"/>
        <w:szCs w:val="20"/>
      </w:rPr>
      <w:t>0</w:t>
    </w:r>
    <w:r w:rsidR="00363FC2">
      <w:rPr>
        <w:sz w:val="20"/>
        <w:szCs w:val="20"/>
      </w:rPr>
      <w:t>5</w:t>
    </w:r>
    <w:r w:rsidR="009B0E88">
      <w:rPr>
        <w:sz w:val="20"/>
        <w:szCs w:val="20"/>
      </w:rPr>
      <w:t>12</w:t>
    </w:r>
    <w:r w:rsidR="0067153C">
      <w:rPr>
        <w:sz w:val="20"/>
        <w:szCs w:val="20"/>
      </w:rPr>
      <w:t>18</w:t>
    </w:r>
    <w:r w:rsidRPr="007B30B4">
      <w:rPr>
        <w:sz w:val="20"/>
        <w:szCs w:val="20"/>
      </w:rPr>
      <w:t>_</w:t>
    </w:r>
    <w:r>
      <w:rPr>
        <w:sz w:val="20"/>
        <w:szCs w:val="20"/>
      </w:rPr>
      <w:t>LNSO</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E" w:rsidRDefault="001265EE">
    <w:pPr>
      <w:pStyle w:val="Kjene"/>
    </w:pPr>
    <w:r w:rsidRPr="007B30B4">
      <w:rPr>
        <w:sz w:val="20"/>
        <w:szCs w:val="20"/>
      </w:rPr>
      <w:t>KMAnot_</w:t>
    </w:r>
    <w:r w:rsidR="00363FC2">
      <w:rPr>
        <w:sz w:val="20"/>
        <w:szCs w:val="20"/>
      </w:rPr>
      <w:t>05</w:t>
    </w:r>
    <w:r w:rsidR="009B0E88">
      <w:rPr>
        <w:sz w:val="20"/>
        <w:szCs w:val="20"/>
      </w:rPr>
      <w:t>12</w:t>
    </w:r>
    <w:r>
      <w:rPr>
        <w:sz w:val="20"/>
        <w:szCs w:val="20"/>
      </w:rPr>
      <w:t>18</w:t>
    </w:r>
    <w:r w:rsidRPr="007B30B4">
      <w:rPr>
        <w:sz w:val="20"/>
        <w:szCs w:val="20"/>
      </w:rPr>
      <w:t>_</w:t>
    </w:r>
    <w:r>
      <w:rPr>
        <w:sz w:val="20"/>
        <w:szCs w:val="20"/>
      </w:rPr>
      <w:t>LNSO</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EE" w:rsidRDefault="001265EE" w:rsidP="00336FAE">
      <w:r>
        <w:separator/>
      </w:r>
    </w:p>
  </w:footnote>
  <w:footnote w:type="continuationSeparator" w:id="0">
    <w:p w:rsidR="001265EE" w:rsidRDefault="001265EE" w:rsidP="00336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1265EE" w:rsidRDefault="00C94131">
        <w:pPr>
          <w:pStyle w:val="Galvene"/>
          <w:jc w:val="center"/>
        </w:pPr>
        <w:r>
          <w:fldChar w:fldCharType="begin"/>
        </w:r>
        <w:r w:rsidR="00267EE1">
          <w:instrText xml:space="preserve"> PAGE   \* MERGEFORMAT </w:instrText>
        </w:r>
        <w:r>
          <w:fldChar w:fldCharType="separate"/>
        </w:r>
        <w:r w:rsidR="005C3C93">
          <w:rPr>
            <w:noProof/>
          </w:rPr>
          <w:t>10</w:t>
        </w:r>
        <w:r>
          <w:fldChar w:fldCharType="end"/>
        </w:r>
      </w:p>
    </w:sdtContent>
  </w:sdt>
  <w:p w:rsidR="001265EE" w:rsidRDefault="001265E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D60"/>
    <w:rsid w:val="001265EE"/>
    <w:rsid w:val="002030F6"/>
    <w:rsid w:val="00266085"/>
    <w:rsid w:val="00267EE1"/>
    <w:rsid w:val="002D56BE"/>
    <w:rsid w:val="00321919"/>
    <w:rsid w:val="00336FAE"/>
    <w:rsid w:val="00363FC2"/>
    <w:rsid w:val="003C56D0"/>
    <w:rsid w:val="003E35AF"/>
    <w:rsid w:val="004C2AAE"/>
    <w:rsid w:val="004F1B84"/>
    <w:rsid w:val="005743D6"/>
    <w:rsid w:val="00590D60"/>
    <w:rsid w:val="005C3C93"/>
    <w:rsid w:val="0067153C"/>
    <w:rsid w:val="00701637"/>
    <w:rsid w:val="00703A11"/>
    <w:rsid w:val="00750750"/>
    <w:rsid w:val="008F6753"/>
    <w:rsid w:val="00940BFA"/>
    <w:rsid w:val="009B0E88"/>
    <w:rsid w:val="009B174C"/>
    <w:rsid w:val="00A258F4"/>
    <w:rsid w:val="00A63259"/>
    <w:rsid w:val="00A67998"/>
    <w:rsid w:val="00A7761E"/>
    <w:rsid w:val="00AB2CCF"/>
    <w:rsid w:val="00B213F4"/>
    <w:rsid w:val="00B30058"/>
    <w:rsid w:val="00C05A71"/>
    <w:rsid w:val="00C0625B"/>
    <w:rsid w:val="00C34B00"/>
    <w:rsid w:val="00C72199"/>
    <w:rsid w:val="00C94131"/>
    <w:rsid w:val="00D1635B"/>
    <w:rsid w:val="00D51BAC"/>
    <w:rsid w:val="00E22A74"/>
    <w:rsid w:val="00F106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0D60"/>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590D60"/>
    <w:rPr>
      <w:color w:val="0000FF"/>
      <w:u w:val="single"/>
    </w:rPr>
  </w:style>
  <w:style w:type="paragraph" w:styleId="Pamatteksts">
    <w:name w:val="Body Text"/>
    <w:basedOn w:val="Parastais"/>
    <w:link w:val="PamattekstsRakstz"/>
    <w:semiHidden/>
    <w:unhideWhenUsed/>
    <w:rsid w:val="00590D60"/>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590D60"/>
    <w:rPr>
      <w:rFonts w:ascii="Times New Roman" w:eastAsia="Times New Roman" w:hAnsi="Times New Roman" w:cs="Times New Roman"/>
      <w:sz w:val="28"/>
      <w:szCs w:val="20"/>
    </w:rPr>
  </w:style>
  <w:style w:type="paragraph" w:customStyle="1" w:styleId="tv2132">
    <w:name w:val="tv2132"/>
    <w:basedOn w:val="Parastais"/>
    <w:rsid w:val="00590D60"/>
    <w:pPr>
      <w:spacing w:line="360" w:lineRule="auto"/>
      <w:ind w:firstLine="300"/>
    </w:pPr>
    <w:rPr>
      <w:rFonts w:eastAsia="Times New Roman"/>
      <w:color w:val="414142"/>
      <w:sz w:val="20"/>
      <w:szCs w:val="20"/>
    </w:rPr>
  </w:style>
  <w:style w:type="paragraph" w:customStyle="1" w:styleId="Default">
    <w:name w:val="Default"/>
    <w:rsid w:val="00590D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590D60"/>
    <w:pPr>
      <w:tabs>
        <w:tab w:val="center" w:pos="4153"/>
        <w:tab w:val="right" w:pos="8306"/>
      </w:tabs>
    </w:pPr>
  </w:style>
  <w:style w:type="character" w:customStyle="1" w:styleId="GalveneRakstz">
    <w:name w:val="Galvene Rakstz."/>
    <w:basedOn w:val="Noklusjumarindkopasfonts"/>
    <w:link w:val="Galvene"/>
    <w:uiPriority w:val="99"/>
    <w:rsid w:val="00590D60"/>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590D60"/>
    <w:pPr>
      <w:tabs>
        <w:tab w:val="center" w:pos="4153"/>
        <w:tab w:val="right" w:pos="8306"/>
      </w:tabs>
    </w:pPr>
  </w:style>
  <w:style w:type="character" w:customStyle="1" w:styleId="KjeneRakstz">
    <w:name w:val="Kājene Rakstz."/>
    <w:basedOn w:val="Noklusjumarindkopasfonts"/>
    <w:link w:val="Kjene"/>
    <w:uiPriority w:val="99"/>
    <w:rsid w:val="00590D60"/>
    <w:rPr>
      <w:rFonts w:ascii="Times New Roman" w:eastAsia="Calibri" w:hAnsi="Times New Roman" w:cs="Times New Roman"/>
      <w:sz w:val="24"/>
      <w:szCs w:val="24"/>
      <w:lang w:eastAsia="lv-LV"/>
    </w:rPr>
  </w:style>
  <w:style w:type="character" w:customStyle="1" w:styleId="c1">
    <w:name w:val="c1"/>
    <w:basedOn w:val="Noklusjumarindkopasfonts"/>
    <w:rsid w:val="00590D60"/>
    <w:rPr>
      <w:rFonts w:ascii="Arial" w:hAnsi="Arial" w:cs="Arial" w:hint="default"/>
      <w:sz w:val="24"/>
      <w:szCs w:val="24"/>
    </w:rPr>
  </w:style>
  <w:style w:type="paragraph" w:styleId="Balonteksts">
    <w:name w:val="Balloon Text"/>
    <w:basedOn w:val="Parastais"/>
    <w:link w:val="BalontekstsRakstz"/>
    <w:uiPriority w:val="99"/>
    <w:semiHidden/>
    <w:unhideWhenUsed/>
    <w:rsid w:val="006715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153C"/>
    <w:rPr>
      <w:rFonts w:ascii="Tahoma" w:eastAsia="Calibri" w:hAnsi="Tahoma" w:cs="Tahoma"/>
      <w:sz w:val="16"/>
      <w:szCs w:val="16"/>
      <w:lang w:eastAsia="lv-LV"/>
    </w:rPr>
  </w:style>
  <w:style w:type="character" w:styleId="Komentraatsauce">
    <w:name w:val="annotation reference"/>
    <w:basedOn w:val="Noklusjumarindkopasfonts"/>
    <w:uiPriority w:val="99"/>
    <w:semiHidden/>
    <w:unhideWhenUsed/>
    <w:rsid w:val="0067153C"/>
    <w:rPr>
      <w:sz w:val="16"/>
      <w:szCs w:val="16"/>
    </w:rPr>
  </w:style>
  <w:style w:type="paragraph" w:styleId="Komentrateksts">
    <w:name w:val="annotation text"/>
    <w:basedOn w:val="Parastais"/>
    <w:link w:val="KomentratekstsRakstz"/>
    <w:uiPriority w:val="99"/>
    <w:semiHidden/>
    <w:unhideWhenUsed/>
    <w:rsid w:val="0067153C"/>
    <w:rPr>
      <w:sz w:val="20"/>
      <w:szCs w:val="20"/>
    </w:rPr>
  </w:style>
  <w:style w:type="character" w:customStyle="1" w:styleId="KomentratekstsRakstz">
    <w:name w:val="Komentāra teksts Rakstz."/>
    <w:basedOn w:val="Noklusjumarindkopasfonts"/>
    <w:link w:val="Komentrateksts"/>
    <w:uiPriority w:val="99"/>
    <w:semiHidden/>
    <w:rsid w:val="0067153C"/>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7153C"/>
    <w:rPr>
      <w:b/>
      <w:bCs/>
    </w:rPr>
  </w:style>
  <w:style w:type="character" w:customStyle="1" w:styleId="KomentratmaRakstz">
    <w:name w:val="Komentāra tēma Rakstz."/>
    <w:basedOn w:val="KomentratekstsRakstz"/>
    <w:link w:val="Komentratma"/>
    <w:uiPriority w:val="99"/>
    <w:semiHidden/>
    <w:rsid w:val="0067153C"/>
    <w:rPr>
      <w:b/>
      <w:bCs/>
    </w:rPr>
  </w:style>
</w:styles>
</file>

<file path=word/webSettings.xml><?xml version="1.0" encoding="utf-8"?>
<w:webSettings xmlns:r="http://schemas.openxmlformats.org/officeDocument/2006/relationships" xmlns:w="http://schemas.openxmlformats.org/wordprocessingml/2006/main">
  <w:divs>
    <w:div w:id="475687572">
      <w:bodyDiv w:val="1"/>
      <w:marLeft w:val="0"/>
      <w:marRight w:val="0"/>
      <w:marTop w:val="0"/>
      <w:marBottom w:val="0"/>
      <w:divBdr>
        <w:top w:val="none" w:sz="0" w:space="0" w:color="auto"/>
        <w:left w:val="none" w:sz="0" w:space="0" w:color="auto"/>
        <w:bottom w:val="none" w:sz="0" w:space="0" w:color="auto"/>
        <w:right w:val="none" w:sz="0" w:space="0" w:color="auto"/>
      </w:divBdr>
    </w:div>
    <w:div w:id="1618412327">
      <w:bodyDiv w:val="1"/>
      <w:marLeft w:val="0"/>
      <w:marRight w:val="0"/>
      <w:marTop w:val="0"/>
      <w:marBottom w:val="0"/>
      <w:divBdr>
        <w:top w:val="none" w:sz="0" w:space="0" w:color="auto"/>
        <w:left w:val="none" w:sz="0" w:space="0" w:color="auto"/>
        <w:bottom w:val="none" w:sz="0" w:space="0" w:color="auto"/>
        <w:right w:val="none" w:sz="0" w:space="0" w:color="auto"/>
      </w:divBdr>
    </w:div>
    <w:div w:id="16971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78921-kartiba-kada-valsts-kapitalsabiedribas-un-publiski-privatas-kapitalsabiedribas-kuras-valsts-ir-dalibnieks-akciona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9764</Words>
  <Characters>5567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Nacionālais simfoniskais orķestris” sākotnējās ietekmes novērtējuma ziņojums (anotācija)</dc:title>
  <dc:subject>Anotācija</dc:subject>
  <dc:creator>Mārcis Katajs</dc:creator>
  <cp:keywords>KMAnot_051218_LNSO_strategija</cp:keywords>
  <dc:description>67330327, 
Marcis.Katajs@km.gov.lv </dc:description>
  <cp:lastModifiedBy>Dzintra Rozīte</cp:lastModifiedBy>
  <cp:revision>7</cp:revision>
  <dcterms:created xsi:type="dcterms:W3CDTF">2018-12-04T08:24:00Z</dcterms:created>
  <dcterms:modified xsi:type="dcterms:W3CDTF">2018-12-11T07:09:00Z</dcterms:modified>
</cp:coreProperties>
</file>