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D98F" w14:textId="1A4ACB1F" w:rsidR="005F6E36" w:rsidRPr="000907B2" w:rsidRDefault="00E477C2" w:rsidP="00C339F2">
      <w:pPr>
        <w:spacing w:line="276" w:lineRule="auto"/>
        <w:jc w:val="center"/>
        <w:rPr>
          <w:b/>
          <w:color w:val="000000"/>
        </w:rPr>
      </w:pPr>
      <w:r>
        <w:rPr>
          <w:b/>
          <w:color w:val="000000"/>
        </w:rPr>
        <w:t xml:space="preserve"> </w:t>
      </w:r>
      <w:r w:rsidR="005F6E36" w:rsidRPr="000907B2">
        <w:rPr>
          <w:b/>
          <w:color w:val="000000"/>
        </w:rPr>
        <w:t xml:space="preserve">Ministru kabineta noteikumu projekta </w:t>
      </w:r>
    </w:p>
    <w:p w14:paraId="2AA3087C" w14:textId="77777777" w:rsidR="005F6E36" w:rsidRPr="000907B2" w:rsidRDefault="005F6E36" w:rsidP="00C339F2">
      <w:pPr>
        <w:spacing w:line="276" w:lineRule="auto"/>
        <w:jc w:val="center"/>
        <w:rPr>
          <w:b/>
          <w:color w:val="000000"/>
        </w:rPr>
      </w:pPr>
      <w:r w:rsidRPr="000907B2">
        <w:rPr>
          <w:b/>
          <w:color w:val="000000"/>
        </w:rPr>
        <w:t>„Grozījumi M</w:t>
      </w:r>
      <w:r w:rsidR="00E1162E" w:rsidRPr="000907B2">
        <w:rPr>
          <w:b/>
          <w:color w:val="000000"/>
        </w:rPr>
        <w:t>inistru kabineta 201</w:t>
      </w:r>
      <w:r w:rsidR="00CB6FD6" w:rsidRPr="000907B2">
        <w:rPr>
          <w:b/>
          <w:color w:val="000000"/>
        </w:rPr>
        <w:t>4</w:t>
      </w:r>
      <w:r w:rsidR="00E1162E" w:rsidRPr="000907B2">
        <w:rPr>
          <w:b/>
          <w:color w:val="000000"/>
        </w:rPr>
        <w:t>.</w:t>
      </w:r>
      <w:r w:rsidR="00CB6FD6" w:rsidRPr="000907B2">
        <w:rPr>
          <w:b/>
          <w:color w:val="000000"/>
        </w:rPr>
        <w:t xml:space="preserve"> </w:t>
      </w:r>
      <w:r w:rsidR="00E1162E" w:rsidRPr="000907B2">
        <w:rPr>
          <w:b/>
          <w:color w:val="000000"/>
        </w:rPr>
        <w:t>gada 25.</w:t>
      </w:r>
      <w:r w:rsidR="00CB6FD6" w:rsidRPr="000907B2">
        <w:rPr>
          <w:b/>
          <w:color w:val="000000"/>
        </w:rPr>
        <w:t xml:space="preserve"> novembra</w:t>
      </w:r>
      <w:r w:rsidRPr="000907B2">
        <w:rPr>
          <w:b/>
          <w:color w:val="000000"/>
        </w:rPr>
        <w:t xml:space="preserve"> noteikumos </w:t>
      </w:r>
    </w:p>
    <w:p w14:paraId="4B89461A" w14:textId="77777777" w:rsidR="005F6E36" w:rsidRPr="000907B2" w:rsidRDefault="00E1162E" w:rsidP="00C339F2">
      <w:pPr>
        <w:spacing w:line="276" w:lineRule="auto"/>
        <w:jc w:val="center"/>
        <w:rPr>
          <w:b/>
          <w:color w:val="000000"/>
        </w:rPr>
      </w:pPr>
      <w:r w:rsidRPr="000907B2">
        <w:rPr>
          <w:b/>
          <w:color w:val="000000"/>
        </w:rPr>
        <w:t>Nr.</w:t>
      </w:r>
      <w:r w:rsidR="005F6E36" w:rsidRPr="000907B2">
        <w:rPr>
          <w:b/>
          <w:color w:val="000000"/>
        </w:rPr>
        <w:t>7</w:t>
      </w:r>
      <w:r w:rsidR="00CB6FD6" w:rsidRPr="000907B2">
        <w:rPr>
          <w:b/>
          <w:color w:val="000000"/>
        </w:rPr>
        <w:t>27</w:t>
      </w:r>
      <w:r w:rsidR="005F6E36" w:rsidRPr="000907B2">
        <w:rPr>
          <w:b/>
          <w:color w:val="000000"/>
        </w:rPr>
        <w:t xml:space="preserve"> „</w:t>
      </w:r>
      <w:r w:rsidR="00CB6FD6" w:rsidRPr="000907B2">
        <w:rPr>
          <w:b/>
          <w:color w:val="000000"/>
        </w:rPr>
        <w:t>Darbības programmas ”Pārtikas un pamata materiālās palīdzības sniegšana vistrūcīgākajām personām 2014.-2020. gada plānošanas periodā” īstenošanas noteikumi</w:t>
      </w:r>
      <w:r w:rsidR="005F6E36" w:rsidRPr="000907B2">
        <w:rPr>
          <w:b/>
          <w:color w:val="000000"/>
        </w:rPr>
        <w:t>””</w:t>
      </w:r>
    </w:p>
    <w:p w14:paraId="6C53311A" w14:textId="77777777" w:rsidR="00B445F0" w:rsidRPr="000907B2" w:rsidRDefault="00B76D85" w:rsidP="00C339F2">
      <w:pPr>
        <w:spacing w:line="276" w:lineRule="auto"/>
        <w:jc w:val="center"/>
        <w:rPr>
          <w:b/>
        </w:rPr>
      </w:pPr>
      <w:r w:rsidRPr="000907B2">
        <w:rPr>
          <w:b/>
        </w:rPr>
        <w:t xml:space="preserve">sākotnējās ietekmes novērtējuma </w:t>
      </w:r>
      <w:smartTag w:uri="schemas-tilde-lv/tildestengine" w:element="veidnes">
        <w:smartTagPr>
          <w:attr w:name="text" w:val="ziņojums"/>
          <w:attr w:name="id" w:val="-1"/>
          <w:attr w:name="baseform" w:val="ziņojum|s"/>
        </w:smartTagPr>
        <w:r w:rsidRPr="000907B2">
          <w:rPr>
            <w:b/>
          </w:rPr>
          <w:t>ziņojums</w:t>
        </w:r>
      </w:smartTag>
      <w:r w:rsidRPr="000907B2">
        <w:rPr>
          <w:b/>
        </w:rPr>
        <w:t xml:space="preserve"> (anotācija)</w:t>
      </w:r>
    </w:p>
    <w:p w14:paraId="1DA88B5A" w14:textId="77777777" w:rsidR="00487B6F" w:rsidRPr="000907B2" w:rsidRDefault="00487B6F" w:rsidP="00365CAA">
      <w:pPr>
        <w:pStyle w:val="Title"/>
        <w:spacing w:before="130" w:line="276" w:lineRule="auto"/>
        <w:ind w:firstLine="539"/>
        <w:rPr>
          <w:sz w:val="24"/>
          <w:szCs w:val="24"/>
        </w:rPr>
      </w:pP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
        <w:gridCol w:w="519"/>
        <w:gridCol w:w="375"/>
        <w:gridCol w:w="1419"/>
        <w:gridCol w:w="506"/>
        <w:gridCol w:w="549"/>
        <w:gridCol w:w="6662"/>
      </w:tblGrid>
      <w:tr w:rsidR="00487B6F" w:rsidRPr="000907B2" w14:paraId="44ECEE2C" w14:textId="77777777" w:rsidTr="006A609A">
        <w:trPr>
          <w:cantSplit/>
        </w:trPr>
        <w:tc>
          <w:tcPr>
            <w:tcW w:w="10065" w:type="dxa"/>
            <w:gridSpan w:val="7"/>
            <w:shd w:val="clear" w:color="auto" w:fill="FFFFFF"/>
            <w:vAlign w:val="center"/>
            <w:hideMark/>
          </w:tcPr>
          <w:p w14:paraId="65F6B790" w14:textId="77777777" w:rsidR="00487B6F" w:rsidRPr="000907B2" w:rsidRDefault="00487B6F" w:rsidP="00365CAA">
            <w:pPr>
              <w:spacing w:line="276" w:lineRule="auto"/>
              <w:jc w:val="center"/>
              <w:rPr>
                <w:b/>
                <w:iCs/>
                <w:lang w:eastAsia="en-US"/>
              </w:rPr>
            </w:pPr>
            <w:r w:rsidRPr="000907B2">
              <w:rPr>
                <w:b/>
                <w:iCs/>
                <w:lang w:eastAsia="en-US"/>
              </w:rPr>
              <w:t>Tiesību akta projekta anotācijas kopsavilkums</w:t>
            </w:r>
          </w:p>
        </w:tc>
      </w:tr>
      <w:tr w:rsidR="00487B6F" w:rsidRPr="000907B2" w14:paraId="21123EF3" w14:textId="77777777" w:rsidTr="006A609A">
        <w:trPr>
          <w:cantSplit/>
          <w:trHeight w:val="42"/>
        </w:trPr>
        <w:tc>
          <w:tcPr>
            <w:tcW w:w="2854" w:type="dxa"/>
            <w:gridSpan w:val="5"/>
            <w:shd w:val="clear" w:color="auto" w:fill="auto"/>
            <w:hideMark/>
          </w:tcPr>
          <w:p w14:paraId="5079E62D" w14:textId="77777777" w:rsidR="00487B6F" w:rsidRPr="000907B2" w:rsidRDefault="00487B6F" w:rsidP="00365CAA">
            <w:pPr>
              <w:spacing w:line="276" w:lineRule="auto"/>
              <w:rPr>
                <w:iCs/>
                <w:lang w:eastAsia="en-US"/>
              </w:rPr>
            </w:pPr>
            <w:r w:rsidRPr="000907B2">
              <w:rPr>
                <w:iCs/>
                <w:lang w:eastAsia="en-US"/>
              </w:rPr>
              <w:t>Mērķis, risinājums un projekta spēkā stāšanās laiks (500 zīmes bez atstarpēm)</w:t>
            </w:r>
          </w:p>
        </w:tc>
        <w:tc>
          <w:tcPr>
            <w:tcW w:w="7211" w:type="dxa"/>
            <w:gridSpan w:val="2"/>
            <w:shd w:val="clear" w:color="auto" w:fill="auto"/>
            <w:hideMark/>
          </w:tcPr>
          <w:p w14:paraId="58477D48" w14:textId="6EC70287" w:rsidR="00BB5482" w:rsidRPr="000907B2" w:rsidRDefault="00487B6F" w:rsidP="00365CAA">
            <w:pPr>
              <w:spacing w:line="276" w:lineRule="auto"/>
              <w:ind w:left="114" w:right="110"/>
              <w:jc w:val="both"/>
              <w:rPr>
                <w:bCs/>
              </w:rPr>
            </w:pPr>
            <w:r w:rsidRPr="000907B2">
              <w:rPr>
                <w:bCs/>
              </w:rPr>
              <w:t>Ministru kabineta noteikumu projekta „Grozījumi Ministru kabineta 2014. gada 25. novembra noteikumos Nr.727 „Darbības programmas ”Pārtikas un pamata materiālās palīdzības sniegšana vistrūcīgākajām personām 2014.-2020. gada plānošanas periodā” īstenošanas noteikumi”” (turpmāk – Noteikumu projekts) mērķis</w:t>
            </w:r>
            <w:r w:rsidR="00917DC9">
              <w:rPr>
                <w:bCs/>
              </w:rPr>
              <w:t>, risinājums un spēkā stāšanās laiks</w:t>
            </w:r>
            <w:r w:rsidR="00A77011" w:rsidRPr="000907B2">
              <w:rPr>
                <w:bCs/>
              </w:rPr>
              <w:t>:</w:t>
            </w:r>
          </w:p>
          <w:p w14:paraId="34C325AC" w14:textId="33E8767E" w:rsidR="002B457B" w:rsidRPr="000907B2" w:rsidRDefault="00BB5482" w:rsidP="00365CAA">
            <w:pPr>
              <w:spacing w:line="276" w:lineRule="auto"/>
              <w:ind w:left="114" w:right="110"/>
              <w:jc w:val="both"/>
            </w:pPr>
            <w:r w:rsidRPr="000907B2">
              <w:rPr>
                <w:b/>
                <w:bCs/>
              </w:rPr>
              <w:t xml:space="preserve">- </w:t>
            </w:r>
            <w:r w:rsidRPr="000907B2">
              <w:rPr>
                <w:bCs/>
              </w:rPr>
              <w:t>no 2019. gada 1. janvāra</w:t>
            </w:r>
            <w:r w:rsidRPr="000907B2">
              <w:rPr>
                <w:b/>
                <w:bCs/>
              </w:rPr>
              <w:t xml:space="preserve"> </w:t>
            </w:r>
            <w:r w:rsidR="00A77011" w:rsidRPr="000907B2">
              <w:rPr>
                <w:b/>
                <w:bCs/>
              </w:rPr>
              <w:t xml:space="preserve">noteikt </w:t>
            </w:r>
            <w:r w:rsidR="00487B6F" w:rsidRPr="000907B2">
              <w:rPr>
                <w:b/>
              </w:rPr>
              <w:t xml:space="preserve">izmaiņas </w:t>
            </w:r>
            <w:r w:rsidR="002B457B" w:rsidRPr="000907B2">
              <w:t>personu lok</w:t>
            </w:r>
            <w:r w:rsidR="00A77011" w:rsidRPr="000907B2">
              <w:t>ā</w:t>
            </w:r>
            <w:r w:rsidR="00F84DB2" w:rsidRPr="000907B2">
              <w:t xml:space="preserve">, kurām ir tiesības </w:t>
            </w:r>
            <w:r w:rsidR="002B457B" w:rsidRPr="000907B2">
              <w:t xml:space="preserve">saņemt </w:t>
            </w:r>
            <w:r w:rsidR="004F1DE6" w:rsidRPr="000907B2">
              <w:t>Eiropas Atbalsta fonda vistrūcīgākajām personām (turpmāk - Fonds)</w:t>
            </w:r>
            <w:r w:rsidR="00F84DB2" w:rsidRPr="000907B2">
              <w:t xml:space="preserve"> </w:t>
            </w:r>
            <w:r w:rsidR="002B457B" w:rsidRPr="000907B2">
              <w:t>atbalstu</w:t>
            </w:r>
            <w:r w:rsidR="00610130" w:rsidRPr="000907B2">
              <w:t>;</w:t>
            </w:r>
          </w:p>
          <w:p w14:paraId="48CF0210" w14:textId="7AC6DB65" w:rsidR="00610130" w:rsidRPr="000907B2" w:rsidRDefault="00610130" w:rsidP="00365CAA">
            <w:pPr>
              <w:spacing w:line="276" w:lineRule="auto"/>
              <w:ind w:left="114" w:right="110"/>
              <w:jc w:val="both"/>
            </w:pPr>
            <w:r w:rsidRPr="000907B2">
              <w:t>-</w:t>
            </w:r>
            <w:r w:rsidR="00BB5482" w:rsidRPr="000907B2">
              <w:t xml:space="preserve"> </w:t>
            </w:r>
            <w:r w:rsidR="00BB5482" w:rsidRPr="000907B2">
              <w:rPr>
                <w:b/>
              </w:rPr>
              <w:t>mainīt nosacīju</w:t>
            </w:r>
            <w:r w:rsidRPr="000907B2">
              <w:rPr>
                <w:b/>
              </w:rPr>
              <w:t>m</w:t>
            </w:r>
            <w:r w:rsidR="00BB5482" w:rsidRPr="000907B2">
              <w:rPr>
                <w:b/>
              </w:rPr>
              <w:t>u</w:t>
            </w:r>
            <w:r w:rsidR="00C22008" w:rsidRPr="000907B2">
              <w:rPr>
                <w:b/>
              </w:rPr>
              <w:t>s</w:t>
            </w:r>
            <w:r w:rsidRPr="000907B2">
              <w:t xml:space="preserve"> </w:t>
            </w:r>
            <w:r w:rsidR="00F84DB2" w:rsidRPr="000907B2">
              <w:t>pamata materiālās palīdzības</w:t>
            </w:r>
            <w:r w:rsidR="006A609A" w:rsidRPr="000907B2">
              <w:t xml:space="preserve"> </w:t>
            </w:r>
            <w:r w:rsidRPr="000907B2">
              <w:t xml:space="preserve">saņemšanai; </w:t>
            </w:r>
          </w:p>
          <w:p w14:paraId="6F801E2B" w14:textId="5EC51DCF" w:rsidR="00487B6F" w:rsidRPr="000907B2" w:rsidRDefault="00610130" w:rsidP="00365CAA">
            <w:pPr>
              <w:spacing w:line="276" w:lineRule="auto"/>
              <w:ind w:left="114" w:right="110"/>
              <w:jc w:val="both"/>
              <w:rPr>
                <w:i/>
                <w:iCs/>
                <w:lang w:eastAsia="en-US"/>
              </w:rPr>
            </w:pPr>
            <w:r w:rsidRPr="000907B2">
              <w:t>-</w:t>
            </w:r>
            <w:r w:rsidR="00F84DB2" w:rsidRPr="000907B2">
              <w:t xml:space="preserve"> </w:t>
            </w:r>
            <w:r w:rsidR="00BB5482" w:rsidRPr="000907B2">
              <w:rPr>
                <w:b/>
              </w:rPr>
              <w:t>p</w:t>
            </w:r>
            <w:r w:rsidR="00B36E83" w:rsidRPr="000907B2">
              <w:rPr>
                <w:b/>
              </w:rPr>
              <w:t>recizēt</w:t>
            </w:r>
            <w:r w:rsidR="00BB5482" w:rsidRPr="000907B2">
              <w:t xml:space="preserve"> </w:t>
            </w:r>
            <w:r w:rsidR="00F84DB2" w:rsidRPr="000907B2">
              <w:t xml:space="preserve">papildpasākumu </w:t>
            </w:r>
            <w:r w:rsidR="00BB5482" w:rsidRPr="000907B2">
              <w:t>veidus</w:t>
            </w:r>
            <w:r w:rsidR="00487B6F" w:rsidRPr="000907B2">
              <w:t>.</w:t>
            </w:r>
          </w:p>
        </w:tc>
      </w:tr>
      <w:tr w:rsidR="00487B6F" w:rsidRPr="000907B2" w14:paraId="3E5D314B" w14:textId="77777777" w:rsidTr="006A609A">
        <w:tblPrEx>
          <w:shd w:val="clear" w:color="auto" w:fill="auto"/>
          <w:tblCellMar>
            <w:top w:w="30" w:type="dxa"/>
            <w:left w:w="30" w:type="dxa"/>
            <w:bottom w:w="30" w:type="dxa"/>
            <w:right w:w="30" w:type="dxa"/>
          </w:tblCellMar>
        </w:tblPrEx>
        <w:tc>
          <w:tcPr>
            <w:tcW w:w="10065" w:type="dxa"/>
            <w:gridSpan w:val="7"/>
            <w:vAlign w:val="center"/>
            <w:hideMark/>
          </w:tcPr>
          <w:p w14:paraId="7A30D4B6" w14:textId="77777777" w:rsidR="00487B6F" w:rsidRPr="000907B2" w:rsidRDefault="00487B6F" w:rsidP="00365CAA">
            <w:pPr>
              <w:spacing w:line="276" w:lineRule="auto"/>
              <w:jc w:val="center"/>
              <w:rPr>
                <w:b/>
                <w:bCs/>
              </w:rPr>
            </w:pPr>
            <w:r w:rsidRPr="000907B2">
              <w:rPr>
                <w:b/>
                <w:bCs/>
              </w:rPr>
              <w:t>I. Tiesību akta projekta izstrādes nepieciešamība</w:t>
            </w:r>
          </w:p>
        </w:tc>
      </w:tr>
      <w:tr w:rsidR="00487B6F" w:rsidRPr="000907B2" w14:paraId="1927B7FA" w14:textId="77777777" w:rsidTr="006A609A">
        <w:tblPrEx>
          <w:shd w:val="clear" w:color="auto" w:fill="auto"/>
          <w:tblCellMar>
            <w:top w:w="30" w:type="dxa"/>
            <w:left w:w="30" w:type="dxa"/>
            <w:bottom w:w="30" w:type="dxa"/>
            <w:right w:w="30" w:type="dxa"/>
          </w:tblCellMar>
        </w:tblPrEx>
        <w:tc>
          <w:tcPr>
            <w:tcW w:w="554" w:type="dxa"/>
            <w:gridSpan w:val="2"/>
            <w:hideMark/>
          </w:tcPr>
          <w:p w14:paraId="1838E8BC" w14:textId="77777777" w:rsidR="00487B6F" w:rsidRPr="000907B2" w:rsidRDefault="00487B6F" w:rsidP="00365CAA">
            <w:pPr>
              <w:spacing w:line="276" w:lineRule="auto"/>
              <w:jc w:val="center"/>
            </w:pPr>
            <w:r w:rsidRPr="000907B2">
              <w:t>1.</w:t>
            </w:r>
          </w:p>
        </w:tc>
        <w:tc>
          <w:tcPr>
            <w:tcW w:w="1794" w:type="dxa"/>
            <w:gridSpan w:val="2"/>
            <w:hideMark/>
          </w:tcPr>
          <w:p w14:paraId="5A4529A5" w14:textId="77777777" w:rsidR="00487B6F" w:rsidRPr="000907B2" w:rsidRDefault="00487B6F" w:rsidP="00365CAA">
            <w:pPr>
              <w:spacing w:line="276" w:lineRule="auto"/>
            </w:pPr>
            <w:r w:rsidRPr="000907B2">
              <w:t>Pamatojums</w:t>
            </w:r>
          </w:p>
          <w:p w14:paraId="2A5B855F" w14:textId="77777777" w:rsidR="00487B6F" w:rsidRPr="000907B2" w:rsidRDefault="00487B6F" w:rsidP="00365CAA">
            <w:pPr>
              <w:spacing w:line="276" w:lineRule="auto"/>
            </w:pPr>
          </w:p>
        </w:tc>
        <w:tc>
          <w:tcPr>
            <w:tcW w:w="7717" w:type="dxa"/>
            <w:gridSpan w:val="3"/>
            <w:hideMark/>
          </w:tcPr>
          <w:p w14:paraId="373F7992" w14:textId="1409876F" w:rsidR="00487B6F" w:rsidRPr="000907B2" w:rsidRDefault="00291783" w:rsidP="001B6A2D">
            <w:pPr>
              <w:spacing w:line="276" w:lineRule="auto"/>
              <w:ind w:left="191" w:right="112"/>
              <w:jc w:val="both"/>
            </w:pPr>
            <w:r w:rsidRPr="000907B2">
              <w:t>Noteikumu projekts</w:t>
            </w:r>
            <w:r w:rsidR="004F1DE6" w:rsidRPr="000907B2">
              <w:t xml:space="preserve"> izstrādāts </w:t>
            </w:r>
            <w:r w:rsidRPr="000907B2">
              <w:t>pēc Labklājības ministrijas (turpmāk – LM) iniciatīvas un nosaka izmaiņas</w:t>
            </w:r>
            <w:r w:rsidR="004F1DE6" w:rsidRPr="000907B2">
              <w:t xml:space="preserve"> </w:t>
            </w:r>
            <w:r w:rsidRPr="000907B2">
              <w:t>Fonda darbības programmas “Pārtikas un pamata materiālās palīdzības sniegšana</w:t>
            </w:r>
            <w:r w:rsidR="004F1DE6" w:rsidRPr="000907B2">
              <w:t xml:space="preserve"> vistrūcīgākajām personām 2014.–2020. gada plānošanas </w:t>
            </w:r>
            <w:r w:rsidRPr="000907B2">
              <w:t xml:space="preserve">periodā” </w:t>
            </w:r>
            <w:r w:rsidR="001B6A2D" w:rsidRPr="000907B2">
              <w:rPr>
                <w:bCs/>
              </w:rPr>
              <w:t>(turpmāk – darbības programma)</w:t>
            </w:r>
            <w:r w:rsidR="001B6A2D">
              <w:rPr>
                <w:bCs/>
              </w:rPr>
              <w:t xml:space="preserve"> </w:t>
            </w:r>
            <w:r w:rsidRPr="000907B2">
              <w:t>atbalstāmo darbību īstenošanas nosacījumos.</w:t>
            </w:r>
          </w:p>
        </w:tc>
      </w:tr>
      <w:tr w:rsidR="00487B6F" w:rsidRPr="000907B2" w14:paraId="6A28CE3F" w14:textId="77777777" w:rsidTr="006A609A">
        <w:tblPrEx>
          <w:shd w:val="clear" w:color="auto" w:fill="auto"/>
          <w:tblCellMar>
            <w:top w:w="30" w:type="dxa"/>
            <w:left w:w="30" w:type="dxa"/>
            <w:bottom w:w="30" w:type="dxa"/>
            <w:right w:w="30" w:type="dxa"/>
          </w:tblCellMar>
        </w:tblPrEx>
        <w:tc>
          <w:tcPr>
            <w:tcW w:w="554" w:type="dxa"/>
            <w:gridSpan w:val="2"/>
          </w:tcPr>
          <w:p w14:paraId="23C9A573" w14:textId="77777777" w:rsidR="00487B6F" w:rsidRPr="000907B2" w:rsidRDefault="00487B6F" w:rsidP="00365CAA">
            <w:pPr>
              <w:spacing w:line="276" w:lineRule="auto"/>
              <w:jc w:val="center"/>
            </w:pPr>
            <w:r w:rsidRPr="000907B2">
              <w:t>2.</w:t>
            </w:r>
          </w:p>
        </w:tc>
        <w:tc>
          <w:tcPr>
            <w:tcW w:w="1794" w:type="dxa"/>
            <w:gridSpan w:val="2"/>
          </w:tcPr>
          <w:p w14:paraId="09DCE607" w14:textId="77777777" w:rsidR="00487B6F" w:rsidRPr="000907B2" w:rsidRDefault="00487B6F" w:rsidP="00365CAA">
            <w:pPr>
              <w:spacing w:line="276" w:lineRule="auto"/>
            </w:pPr>
            <w:r w:rsidRPr="000907B2">
              <w:t>Pašreizējā situācija un problēmas, kuru risināšanai tiesību akta projekts izstrādāts, tiesiskā regulējuma mērķis un būtība</w:t>
            </w:r>
          </w:p>
        </w:tc>
        <w:tc>
          <w:tcPr>
            <w:tcW w:w="7717" w:type="dxa"/>
            <w:gridSpan w:val="3"/>
          </w:tcPr>
          <w:p w14:paraId="440440E8" w14:textId="02AB62E1" w:rsidR="00487B6F" w:rsidRPr="000907B2" w:rsidRDefault="00487B6F" w:rsidP="007F5AA0">
            <w:pPr>
              <w:spacing w:line="276" w:lineRule="auto"/>
              <w:ind w:left="191" w:right="254"/>
              <w:jc w:val="both"/>
            </w:pPr>
            <w:r w:rsidRPr="000907B2">
              <w:t xml:space="preserve">Saskaņā ar </w:t>
            </w:r>
            <w:r w:rsidR="00D67EE5" w:rsidRPr="000907B2">
              <w:t xml:space="preserve">LM </w:t>
            </w:r>
            <w:r w:rsidRPr="000907B2">
              <w:t>datiem</w:t>
            </w:r>
            <w:r w:rsidR="002A583E">
              <w:t>,</w:t>
            </w:r>
            <w:r w:rsidRPr="000907B2">
              <w:rPr>
                <w:rStyle w:val="FootnoteReference"/>
              </w:rPr>
              <w:footnoteReference w:id="1"/>
            </w:r>
            <w:r w:rsidRPr="000907B2">
              <w:t xml:space="preserve"> </w:t>
            </w:r>
            <w:r w:rsidR="001E2D7E" w:rsidRPr="000907B2">
              <w:t xml:space="preserve">pēdējos piecos gados cilvēku ar trūcīgas personas statusu (unikālas personas) </w:t>
            </w:r>
            <w:r w:rsidRPr="000907B2">
              <w:t>skaits samazinājies par 54%</w:t>
            </w:r>
            <w:r w:rsidR="004F1DE6" w:rsidRPr="000907B2">
              <w:t>,</w:t>
            </w:r>
            <w:r w:rsidR="009A0980" w:rsidRPr="000907B2">
              <w:t xml:space="preserve"> </w:t>
            </w:r>
            <w:proofErr w:type="gramStart"/>
            <w:r w:rsidRPr="000907B2">
              <w:t>(</w:t>
            </w:r>
            <w:proofErr w:type="gramEnd"/>
            <w:r w:rsidRPr="000907B2">
              <w:t>134,3 tūkst. personas 2013. g., 62,3 tūkst. personas 2017. g.).</w:t>
            </w:r>
          </w:p>
          <w:p w14:paraId="723AEAA1" w14:textId="1C42D1C5" w:rsidR="00487B6F" w:rsidRPr="000907B2" w:rsidRDefault="00487B6F" w:rsidP="007F5AA0">
            <w:pPr>
              <w:spacing w:before="120" w:line="276" w:lineRule="auto"/>
              <w:ind w:left="191" w:right="254"/>
              <w:jc w:val="both"/>
            </w:pPr>
            <w:r w:rsidRPr="000907B2">
              <w:t xml:space="preserve">Trūcīgo personu skaita samazinājuma iemesli </w:t>
            </w:r>
            <w:r w:rsidR="001E2D7E" w:rsidRPr="000907B2">
              <w:t>ir objektīva iedzīvotāju materiālās situācijas uzlabošanās, kas saistīta ar v</w:t>
            </w:r>
            <w:r w:rsidRPr="000907B2">
              <w:t xml:space="preserve">eiktajām izmaiņām likumdošanā, piemēram, minimālās algas </w:t>
            </w:r>
            <w:r w:rsidR="001E2D7E" w:rsidRPr="000907B2">
              <w:t>apmēra</w:t>
            </w:r>
            <w:r w:rsidR="005123AF" w:rsidRPr="000907B2">
              <w:t xml:space="preserve"> un</w:t>
            </w:r>
            <w:r w:rsidRPr="000907B2">
              <w:t xml:space="preserve"> ar iedzīvotāju </w:t>
            </w:r>
            <w:r w:rsidR="005123AF" w:rsidRPr="000907B2">
              <w:t xml:space="preserve">ienākuma </w:t>
            </w:r>
            <w:r w:rsidRPr="000907B2">
              <w:t xml:space="preserve">nodokli </w:t>
            </w:r>
            <w:r w:rsidR="005123AF" w:rsidRPr="000907B2">
              <w:t xml:space="preserve">neapliekamā minimuma nodarbinātai </w:t>
            </w:r>
            <w:r w:rsidRPr="000907B2">
              <w:t>personai</w:t>
            </w:r>
            <w:proofErr w:type="gramStart"/>
            <w:r w:rsidRPr="000907B2">
              <w:t xml:space="preserve"> un</w:t>
            </w:r>
            <w:proofErr w:type="gramEnd"/>
            <w:r w:rsidRPr="000907B2">
              <w:t xml:space="preserve"> par tās apgādībā esošiem bērniem</w:t>
            </w:r>
            <w:r w:rsidR="005123AF" w:rsidRPr="000907B2">
              <w:t xml:space="preserve"> paaugstināšana,</w:t>
            </w:r>
            <w:r w:rsidRPr="000907B2">
              <w:t xml:space="preserve"> nodarbinātības rādītāju pieaugums (īpaši jaunieš</w:t>
            </w:r>
            <w:r w:rsidR="005123AF" w:rsidRPr="000907B2">
              <w:t xml:space="preserve">u un pirmspensijas vecuma iedzīvotāju </w:t>
            </w:r>
            <w:r w:rsidRPr="000907B2">
              <w:t>vidū) un pensiju indeksācija pensijas vecuma personām.</w:t>
            </w:r>
          </w:p>
          <w:p w14:paraId="2AB18751" w14:textId="7CF38FAE" w:rsidR="00D6053F" w:rsidRPr="000907B2" w:rsidRDefault="003412D7" w:rsidP="007F5AA0">
            <w:pPr>
              <w:spacing w:before="120" w:line="276" w:lineRule="auto"/>
              <w:ind w:left="191" w:right="254"/>
              <w:jc w:val="both"/>
            </w:pPr>
            <w:r w:rsidRPr="000907B2">
              <w:t xml:space="preserve">Šo izmaiņu rezultātā gan trūcīgo, gan maznodrošināto personu ienākumi </w:t>
            </w:r>
            <w:r w:rsidR="00861302" w:rsidRPr="000907B2">
              <w:t>arvien biežāk</w:t>
            </w:r>
            <w:r w:rsidRPr="000907B2">
              <w:t xml:space="preserve"> </w:t>
            </w:r>
            <w:r w:rsidR="00B8560D" w:rsidRPr="000907B2">
              <w:t xml:space="preserve">ir </w:t>
            </w:r>
            <w:r w:rsidRPr="000907B2">
              <w:t>nedaudz</w:t>
            </w:r>
            <w:r w:rsidR="00861302" w:rsidRPr="000907B2">
              <w:t xml:space="preserve"> lielāki par</w:t>
            </w:r>
            <w:r w:rsidRPr="000907B2">
              <w:t xml:space="preserve"> patlaban Ministru kabineta noteikto</w:t>
            </w:r>
            <w:r w:rsidR="00D6053F" w:rsidRPr="000907B2">
              <w:t xml:space="preserve"> personas</w:t>
            </w:r>
            <w:r w:rsidRPr="000907B2">
              <w:t xml:space="preserve"> ienākumu līmeni,</w:t>
            </w:r>
            <w:r w:rsidR="00861302" w:rsidRPr="000907B2">
              <w:t xml:space="preserve"> </w:t>
            </w:r>
            <w:r w:rsidRPr="000907B2">
              <w:t>attiecīgi 12</w:t>
            </w:r>
            <w:r w:rsidR="00CA4318" w:rsidRPr="000907B2">
              <w:t>8.06 EUR</w:t>
            </w:r>
            <w:r w:rsidR="00197FE2" w:rsidRPr="000907B2">
              <w:rPr>
                <w:rStyle w:val="FootnoteReference"/>
              </w:rPr>
              <w:footnoteReference w:id="2"/>
            </w:r>
            <w:r w:rsidR="00CA4318" w:rsidRPr="000907B2">
              <w:t xml:space="preserve"> un</w:t>
            </w:r>
            <w:r w:rsidR="00290EEF" w:rsidRPr="000907B2">
              <w:t xml:space="preserve"> </w:t>
            </w:r>
            <w:r w:rsidR="00CA4318" w:rsidRPr="000907B2">
              <w:t>18</w:t>
            </w:r>
            <w:r w:rsidR="00861302" w:rsidRPr="000907B2">
              <w:t>8</w:t>
            </w:r>
            <w:r w:rsidR="00CA4318" w:rsidRPr="000907B2">
              <w:t xml:space="preserve"> </w:t>
            </w:r>
            <w:r w:rsidRPr="000907B2">
              <w:t>EUR</w:t>
            </w:r>
            <w:r w:rsidR="00197FE2" w:rsidRPr="000907B2">
              <w:rPr>
                <w:rStyle w:val="FootnoteReference"/>
              </w:rPr>
              <w:footnoteReference w:id="3"/>
            </w:r>
            <w:r w:rsidR="00861302" w:rsidRPr="000907B2">
              <w:t xml:space="preserve"> (no </w:t>
            </w:r>
            <w:r w:rsidR="00861302" w:rsidRPr="000907B2">
              <w:lastRenderedPageBreak/>
              <w:t>01.04.2018.), kuru nepārsniedzot var saņemt Fonda atbalstu</w:t>
            </w:r>
            <w:r w:rsidRPr="000907B2">
              <w:t>.</w:t>
            </w:r>
            <w:r w:rsidR="00290EEF" w:rsidRPr="000907B2">
              <w:t xml:space="preserve"> </w:t>
            </w:r>
            <w:r w:rsidR="00D67EE5" w:rsidRPr="000907B2">
              <w:t>Saskaņā ar LM datiem, 2018.</w:t>
            </w:r>
            <w:r w:rsidR="005123AF" w:rsidRPr="000907B2">
              <w:t xml:space="preserve"> </w:t>
            </w:r>
            <w:r w:rsidR="00D67EE5" w:rsidRPr="000907B2">
              <w:t>gada 1. aprīlī valstī bija 11 278 maznodrošinātas personas ar ienākumiem līdz 188 EUR, savukārt septembr</w:t>
            </w:r>
            <w:r w:rsidR="005123AF" w:rsidRPr="000907B2">
              <w:t>ī</w:t>
            </w:r>
            <w:r w:rsidR="00D67EE5" w:rsidRPr="000907B2">
              <w:t xml:space="preserve"> 9991 personas jeb par 11,4% mazāk (salīdzinājumam jāmin, ka </w:t>
            </w:r>
            <w:r w:rsidR="005123AF" w:rsidRPr="000907B2">
              <w:t xml:space="preserve">arī </w:t>
            </w:r>
            <w:r w:rsidR="00D67EE5" w:rsidRPr="000907B2">
              <w:t>trūcīgo personu skaits valstī šajā pašā periodā samazinājies par 11%).</w:t>
            </w:r>
            <w:r w:rsidR="00D05E91" w:rsidRPr="000907B2">
              <w:t xml:space="preserve"> </w:t>
            </w:r>
          </w:p>
          <w:p w14:paraId="59482756" w14:textId="4BDE6C75" w:rsidR="00487B6F" w:rsidRPr="000907B2" w:rsidRDefault="00487B6F" w:rsidP="007F5AA0">
            <w:pPr>
              <w:spacing w:before="120" w:line="276" w:lineRule="auto"/>
              <w:ind w:left="191" w:right="254"/>
              <w:jc w:val="both"/>
            </w:pPr>
            <w:r w:rsidRPr="000907B2">
              <w:t xml:space="preserve">Izrietoši kopš </w:t>
            </w:r>
            <w:r w:rsidR="003C361A" w:rsidRPr="000907B2">
              <w:rPr>
                <w:bCs/>
              </w:rPr>
              <w:t>d</w:t>
            </w:r>
            <w:r w:rsidR="004F1DE6" w:rsidRPr="000907B2">
              <w:rPr>
                <w:bCs/>
              </w:rPr>
              <w:t xml:space="preserve">arbības programmas </w:t>
            </w:r>
            <w:r w:rsidR="00F51676" w:rsidRPr="000907B2">
              <w:rPr>
                <w:bCs/>
              </w:rPr>
              <w:t xml:space="preserve">īstenošanas </w:t>
            </w:r>
            <w:r w:rsidRPr="000907B2">
              <w:t xml:space="preserve">sākuma, </w:t>
            </w:r>
            <w:r w:rsidR="00BE2B07" w:rsidRPr="000907B2">
              <w:t>Fonda</w:t>
            </w:r>
            <w:r w:rsidRPr="000907B2">
              <w:t xml:space="preserve"> atbalstu saņēmušo unikālo personu skaitam ir tendence samazināties. Piemēram, 2017. gadā pārtikas komplektus saņēmušas 60 482 personas, kas ir par 1,7% mazāk nekā 2016. gadā (61 497 personas) un par 12% mazāk nekā 2015. gadā (68 876 personas), savukārt higiēnas un saimniecības preču komplektus bērniem vecumā līdz 18 gadiem 2017. gadā saņēmušas 18 196 personas, kas ir par 10,9% mazāk nekā 2016. gadā (20 419 personas) un par 29% mazāk nekā 2015.</w:t>
            </w:r>
            <w:r w:rsidR="003412D7" w:rsidRPr="000907B2">
              <w:t xml:space="preserve"> </w:t>
            </w:r>
            <w:r w:rsidRPr="000907B2">
              <w:t xml:space="preserve">gadā (25 675 personas).  </w:t>
            </w:r>
          </w:p>
          <w:p w14:paraId="10C6A539" w14:textId="0A46130A" w:rsidR="00D05E91" w:rsidRPr="000907B2" w:rsidRDefault="00D05E91" w:rsidP="007F5AA0">
            <w:pPr>
              <w:spacing w:before="120" w:line="276" w:lineRule="auto"/>
              <w:ind w:left="191" w:right="254"/>
              <w:jc w:val="both"/>
            </w:pPr>
            <w:r w:rsidRPr="000907B2">
              <w:t>Tādejādi, lai arī, izmantojot Fonda finansējumu, paredzēts samazināt zemu ienākumu ģimeņu nenodrošinātību ar pārtiku un pamata materiālās palīdzības precēm, praksē atbalsts ik gadu tiek sniegts mazākam skaitam iedzīvotāju.</w:t>
            </w:r>
          </w:p>
          <w:p w14:paraId="2F48ADD3" w14:textId="3D119600" w:rsidR="00F01847" w:rsidRPr="000907B2" w:rsidRDefault="00BE2B07" w:rsidP="007F5AA0">
            <w:pPr>
              <w:spacing w:before="120" w:line="276" w:lineRule="auto"/>
              <w:ind w:right="254"/>
              <w:jc w:val="both"/>
            </w:pPr>
            <w:r w:rsidRPr="000907B2">
              <w:t xml:space="preserve">Vienlaikus </w:t>
            </w:r>
            <w:r w:rsidR="00825330" w:rsidRPr="000907B2">
              <w:t>jāatzīmē</w:t>
            </w:r>
            <w:r w:rsidRPr="000907B2">
              <w:t>, ka</w:t>
            </w:r>
            <w:r w:rsidR="002A583E">
              <w:t>:</w:t>
            </w:r>
            <w:r w:rsidRPr="000907B2">
              <w:t xml:space="preserve"> </w:t>
            </w:r>
          </w:p>
          <w:p w14:paraId="07532417" w14:textId="4EA4DD58" w:rsidR="00F01847" w:rsidRPr="000907B2" w:rsidRDefault="00825330" w:rsidP="007F5AA0">
            <w:pPr>
              <w:pStyle w:val="ListParagraph"/>
              <w:numPr>
                <w:ilvl w:val="0"/>
                <w:numId w:val="49"/>
              </w:numPr>
              <w:spacing w:before="120"/>
              <w:ind w:left="333" w:right="254" w:hanging="284"/>
              <w:jc w:val="both"/>
              <w:rPr>
                <w:rFonts w:ascii="Times New Roman" w:hAnsi="Times New Roman"/>
                <w:sz w:val="24"/>
                <w:szCs w:val="24"/>
              </w:rPr>
            </w:pPr>
            <w:r w:rsidRPr="000907B2">
              <w:rPr>
                <w:rFonts w:ascii="Times New Roman" w:hAnsi="Times New Roman"/>
                <w:sz w:val="24"/>
                <w:szCs w:val="24"/>
              </w:rPr>
              <w:t>2016. gadā Latvijā nabadzības riskam bija pakļauti 425 tūkstoši jeb 22,1% iedzīvotāju – par 0,3 procent</w:t>
            </w:r>
            <w:r w:rsidR="00F01847" w:rsidRPr="000907B2">
              <w:rPr>
                <w:rFonts w:ascii="Times New Roman" w:hAnsi="Times New Roman"/>
                <w:sz w:val="24"/>
                <w:szCs w:val="24"/>
              </w:rPr>
              <w:t>punktiem vairāk nekā 2015.</w:t>
            </w:r>
            <w:r w:rsidR="000E4E15" w:rsidRPr="000907B2">
              <w:rPr>
                <w:rFonts w:ascii="Times New Roman" w:hAnsi="Times New Roman"/>
                <w:sz w:val="24"/>
                <w:szCs w:val="24"/>
              </w:rPr>
              <w:t> </w:t>
            </w:r>
            <w:r w:rsidR="00F01847" w:rsidRPr="000907B2">
              <w:rPr>
                <w:rFonts w:ascii="Times New Roman" w:hAnsi="Times New Roman"/>
                <w:sz w:val="24"/>
                <w:szCs w:val="24"/>
              </w:rPr>
              <w:t>gadā</w:t>
            </w:r>
            <w:r w:rsidR="00F01847" w:rsidRPr="000907B2">
              <w:rPr>
                <w:rFonts w:ascii="Times New Roman" w:hAnsi="Times New Roman"/>
                <w:sz w:val="24"/>
                <w:szCs w:val="24"/>
                <w:vertAlign w:val="superscript"/>
              </w:rPr>
              <w:footnoteReference w:id="4"/>
            </w:r>
            <w:r w:rsidR="000E4E15" w:rsidRPr="000907B2">
              <w:rPr>
                <w:rFonts w:ascii="Times New Roman" w:hAnsi="Times New Roman"/>
                <w:sz w:val="24"/>
                <w:szCs w:val="24"/>
              </w:rPr>
              <w:t>;</w:t>
            </w:r>
          </w:p>
          <w:p w14:paraId="36453CB6" w14:textId="40B97A02" w:rsidR="00D0280C" w:rsidRPr="000907B2" w:rsidRDefault="004F1DE6" w:rsidP="007F5AA0">
            <w:pPr>
              <w:pStyle w:val="ListParagraph"/>
              <w:numPr>
                <w:ilvl w:val="0"/>
                <w:numId w:val="49"/>
              </w:numPr>
              <w:spacing w:before="120"/>
              <w:ind w:left="333" w:right="254" w:hanging="284"/>
              <w:jc w:val="both"/>
              <w:rPr>
                <w:rFonts w:ascii="Times New Roman" w:hAnsi="Times New Roman"/>
                <w:sz w:val="24"/>
                <w:szCs w:val="24"/>
              </w:rPr>
            </w:pPr>
            <w:r w:rsidRPr="000907B2">
              <w:rPr>
                <w:rFonts w:ascii="Times New Roman" w:hAnsi="Times New Roman"/>
                <w:sz w:val="24"/>
                <w:szCs w:val="24"/>
              </w:rPr>
              <w:t xml:space="preserve">nabadzības riskam pakļauto iedzīvotāju </w:t>
            </w:r>
            <w:r w:rsidR="00825330" w:rsidRPr="000907B2">
              <w:rPr>
                <w:rFonts w:ascii="Times New Roman" w:hAnsi="Times New Roman"/>
                <w:sz w:val="24"/>
                <w:szCs w:val="24"/>
              </w:rPr>
              <w:t xml:space="preserve">īpatsvaram </w:t>
            </w:r>
            <w:r w:rsidRPr="000907B2">
              <w:rPr>
                <w:rFonts w:ascii="Times New Roman" w:hAnsi="Times New Roman"/>
                <w:sz w:val="24"/>
                <w:szCs w:val="24"/>
              </w:rPr>
              <w:t xml:space="preserve">vecuma grupā virs 65 gadiem </w:t>
            </w:r>
            <w:r w:rsidR="00825330" w:rsidRPr="000907B2">
              <w:rPr>
                <w:rFonts w:ascii="Times New Roman" w:hAnsi="Times New Roman"/>
                <w:sz w:val="24"/>
                <w:szCs w:val="24"/>
              </w:rPr>
              <w:t xml:space="preserve">ir augoša tendence. </w:t>
            </w:r>
            <w:r w:rsidRPr="000907B2">
              <w:rPr>
                <w:rFonts w:ascii="Times New Roman" w:hAnsi="Times New Roman"/>
                <w:sz w:val="24"/>
                <w:szCs w:val="24"/>
              </w:rPr>
              <w:t xml:space="preserve">Uz darbības programmas izstrādes brīdi </w:t>
            </w:r>
            <w:proofErr w:type="gramStart"/>
            <w:r w:rsidRPr="000907B2">
              <w:rPr>
                <w:rFonts w:ascii="Times New Roman" w:hAnsi="Times New Roman"/>
                <w:sz w:val="24"/>
                <w:szCs w:val="24"/>
              </w:rPr>
              <w:t>2012.gadā</w:t>
            </w:r>
            <w:proofErr w:type="gramEnd"/>
            <w:r w:rsidRPr="000907B2">
              <w:rPr>
                <w:rFonts w:ascii="Times New Roman" w:hAnsi="Times New Roman"/>
                <w:sz w:val="24"/>
                <w:szCs w:val="24"/>
              </w:rPr>
              <w:t xml:space="preserve"> šis īpatsvars bija 17,6%, tas pieaudzis no 38,1% 2015.</w:t>
            </w:r>
            <w:r w:rsidR="000E4E15" w:rsidRPr="000907B2">
              <w:rPr>
                <w:rFonts w:ascii="Times New Roman" w:hAnsi="Times New Roman"/>
                <w:sz w:val="24"/>
                <w:szCs w:val="24"/>
              </w:rPr>
              <w:t> </w:t>
            </w:r>
            <w:r w:rsidRPr="000907B2">
              <w:rPr>
                <w:rFonts w:ascii="Times New Roman" w:hAnsi="Times New Roman"/>
                <w:sz w:val="24"/>
                <w:szCs w:val="24"/>
              </w:rPr>
              <w:t>gadā līdz 39,9 % 2016. gadā</w:t>
            </w:r>
            <w:r w:rsidR="00825330" w:rsidRPr="000907B2">
              <w:rPr>
                <w:rFonts w:ascii="Times New Roman" w:hAnsi="Times New Roman"/>
                <w:sz w:val="24"/>
                <w:szCs w:val="24"/>
              </w:rPr>
              <w:t xml:space="preserve">. Īpaši </w:t>
            </w:r>
            <w:r w:rsidRPr="000907B2">
              <w:rPr>
                <w:rFonts w:ascii="Times New Roman" w:hAnsi="Times New Roman"/>
                <w:sz w:val="24"/>
                <w:szCs w:val="24"/>
              </w:rPr>
              <w:t xml:space="preserve">augsts nabadzības risks ir senioriem – ja persona vecumā virs 65 gadiem dzīvo viena pati, šis rādītājs ir 72,8%. Katru gadu augstam nabadzības riskam ir pakļauti bezdarbnieki, un 2016. gadā </w:t>
            </w:r>
            <w:r w:rsidR="00D0280C" w:rsidRPr="000907B2">
              <w:rPr>
                <w:rFonts w:ascii="Times New Roman" w:hAnsi="Times New Roman"/>
                <w:sz w:val="24"/>
                <w:szCs w:val="24"/>
              </w:rPr>
              <w:t xml:space="preserve">to īpatsvars </w:t>
            </w:r>
            <w:r w:rsidRPr="000907B2">
              <w:rPr>
                <w:rFonts w:ascii="Times New Roman" w:hAnsi="Times New Roman"/>
                <w:sz w:val="24"/>
                <w:szCs w:val="24"/>
              </w:rPr>
              <w:t xml:space="preserve">sasniedza 56,5 </w:t>
            </w:r>
            <w:r w:rsidR="00F01847" w:rsidRPr="000907B2">
              <w:rPr>
                <w:rFonts w:ascii="Times New Roman" w:hAnsi="Times New Roman"/>
                <w:sz w:val="24"/>
                <w:szCs w:val="24"/>
              </w:rPr>
              <w:t>%</w:t>
            </w:r>
            <w:r w:rsidR="00803015" w:rsidRPr="000907B2">
              <w:rPr>
                <w:rStyle w:val="FootnoteReference"/>
                <w:sz w:val="24"/>
                <w:szCs w:val="24"/>
              </w:rPr>
              <w:footnoteReference w:id="5"/>
            </w:r>
            <w:r w:rsidR="00F01847" w:rsidRPr="000907B2">
              <w:rPr>
                <w:rFonts w:ascii="Times New Roman" w:hAnsi="Times New Roman"/>
                <w:sz w:val="24"/>
                <w:szCs w:val="24"/>
              </w:rPr>
              <w:t>;</w:t>
            </w:r>
          </w:p>
          <w:p w14:paraId="7DFA340D" w14:textId="360CEF99" w:rsidR="004F1DE6" w:rsidRPr="000907B2" w:rsidRDefault="00D0280C" w:rsidP="007F5AA0">
            <w:pPr>
              <w:pStyle w:val="ListParagraph"/>
              <w:numPr>
                <w:ilvl w:val="0"/>
                <w:numId w:val="49"/>
              </w:numPr>
              <w:spacing w:before="120"/>
              <w:ind w:left="333" w:right="254" w:hanging="284"/>
              <w:jc w:val="both"/>
              <w:rPr>
                <w:rFonts w:ascii="Times New Roman" w:hAnsi="Times New Roman"/>
                <w:sz w:val="24"/>
                <w:szCs w:val="24"/>
              </w:rPr>
            </w:pPr>
            <w:r w:rsidRPr="000907B2">
              <w:rPr>
                <w:rFonts w:ascii="Times New Roman" w:hAnsi="Times New Roman"/>
                <w:sz w:val="24"/>
                <w:szCs w:val="24"/>
              </w:rPr>
              <w:t>reālais individuālais patēriņš (AIC) uz vienu iedzīvotāju, kas raksturo mājsaimniecību labklājību, Latvijā pērn bijis piektais zemākais Eiropas Savienībā (turpmāk-ES) (ES statistikas pārvaldes “Eurostat” jaunākie dati). Saskaņā ar tiem AIC, kas izteikts pirktspējas paritātes standartos (PPS), mūsu valstī 2</w:t>
            </w:r>
            <w:r w:rsidR="000907B2">
              <w:rPr>
                <w:rFonts w:ascii="Times New Roman" w:hAnsi="Times New Roman"/>
                <w:sz w:val="24"/>
                <w:szCs w:val="24"/>
              </w:rPr>
              <w:t>017</w:t>
            </w:r>
            <w:r w:rsidRPr="000907B2">
              <w:rPr>
                <w:rFonts w:ascii="Times New Roman" w:hAnsi="Times New Roman"/>
                <w:sz w:val="24"/>
                <w:szCs w:val="24"/>
              </w:rPr>
              <w:t>. gadā bija 7</w:t>
            </w:r>
            <w:r w:rsidR="000907B2">
              <w:rPr>
                <w:rFonts w:ascii="Times New Roman" w:hAnsi="Times New Roman"/>
                <w:sz w:val="24"/>
                <w:szCs w:val="24"/>
              </w:rPr>
              <w:t>2,4</w:t>
            </w:r>
            <w:r w:rsidRPr="000907B2">
              <w:rPr>
                <w:rFonts w:ascii="Times New Roman" w:hAnsi="Times New Roman"/>
                <w:sz w:val="24"/>
                <w:szCs w:val="24"/>
              </w:rPr>
              <w:t>% no ES vidējā līmeņa</w:t>
            </w:r>
            <w:r w:rsidR="008B0302" w:rsidRPr="000907B2">
              <w:rPr>
                <w:rStyle w:val="FootnoteReference"/>
                <w:sz w:val="24"/>
                <w:szCs w:val="24"/>
              </w:rPr>
              <w:footnoteReference w:id="6"/>
            </w:r>
            <w:r w:rsidRPr="000907B2">
              <w:rPr>
                <w:rFonts w:ascii="Times New Roman" w:hAnsi="Times New Roman"/>
                <w:sz w:val="24"/>
                <w:szCs w:val="24"/>
              </w:rPr>
              <w:t>;</w:t>
            </w:r>
          </w:p>
          <w:p w14:paraId="02ABDE92" w14:textId="3E5F7655" w:rsidR="004F1DE6" w:rsidRPr="000907B2" w:rsidRDefault="00F0742D" w:rsidP="007F5AA0">
            <w:pPr>
              <w:pStyle w:val="ListParagraph"/>
              <w:numPr>
                <w:ilvl w:val="0"/>
                <w:numId w:val="49"/>
              </w:numPr>
              <w:spacing w:before="120"/>
              <w:ind w:left="333" w:right="254" w:hanging="284"/>
              <w:jc w:val="both"/>
              <w:rPr>
                <w:rFonts w:ascii="Times New Roman" w:hAnsi="Times New Roman"/>
                <w:sz w:val="24"/>
                <w:szCs w:val="24"/>
              </w:rPr>
            </w:pPr>
            <w:r w:rsidRPr="000907B2">
              <w:rPr>
                <w:rFonts w:ascii="Times New Roman" w:hAnsi="Times New Roman"/>
                <w:sz w:val="24"/>
                <w:szCs w:val="24"/>
              </w:rPr>
              <w:lastRenderedPageBreak/>
              <w:t>vidējie mēneša ienākumi uz vienu mājsaimniecības locekli personām, kas pakļautas dziļai materiālajai nenodrošinātībai, bija 242 EUR</w:t>
            </w:r>
            <w:r w:rsidR="00D0280C" w:rsidRPr="000907B2">
              <w:rPr>
                <w:rFonts w:ascii="Times New Roman" w:hAnsi="Times New Roman"/>
                <w:sz w:val="24"/>
                <w:szCs w:val="24"/>
              </w:rPr>
              <w:t xml:space="preserve"> (EU-SILC 2017. gada apsekojuma datiem par 2016. gada ienākumiem)</w:t>
            </w:r>
            <w:r w:rsidR="00494D7F" w:rsidRPr="000907B2">
              <w:rPr>
                <w:rStyle w:val="FootnoteReference"/>
                <w:sz w:val="24"/>
                <w:szCs w:val="24"/>
              </w:rPr>
              <w:footnoteReference w:id="7"/>
            </w:r>
            <w:r w:rsidRPr="000907B2">
              <w:rPr>
                <w:rFonts w:ascii="Times New Roman" w:hAnsi="Times New Roman"/>
                <w:sz w:val="24"/>
                <w:szCs w:val="24"/>
              </w:rPr>
              <w:t>.</w:t>
            </w:r>
          </w:p>
          <w:p w14:paraId="6C88E86E" w14:textId="5B154EAB" w:rsidR="0020489F" w:rsidRPr="000907B2" w:rsidRDefault="00D67EE5" w:rsidP="00917DC9">
            <w:pPr>
              <w:spacing w:before="120" w:line="276" w:lineRule="auto"/>
              <w:ind w:left="191" w:right="254"/>
              <w:jc w:val="both"/>
            </w:pPr>
            <w:r w:rsidRPr="000907B2">
              <w:t xml:space="preserve">Lai </w:t>
            </w:r>
            <w:r w:rsidRPr="00917DC9">
              <w:t>arī LM</w:t>
            </w:r>
            <w:r w:rsidR="00917DC9" w:rsidRPr="00917DC9">
              <w:t xml:space="preserve"> līdz ar grozījumiem Ministru kabineta 2014. gada 25. novembra noteikumos Nr.727 „Darbības programmas ”Pārtikas un pamata materiālās palīdzības sniegšana vistrūcīgākajām personām 2014.-2020. gada plānošanas periodā” īstenošanas noteikumi”</w:t>
            </w:r>
            <w:r w:rsidRPr="00917DC9">
              <w:t xml:space="preserve"> </w:t>
            </w:r>
            <w:r w:rsidR="00917DC9" w:rsidRPr="00917DC9">
              <w:t xml:space="preserve">(Ministru kabineta 27.02.2018. noteikumi Nr. 120/LV, 43 (6129), 01.03.2018./Stājas spēkā 02.03.2018.), </w:t>
            </w:r>
            <w:r w:rsidRPr="00917DC9">
              <w:t>2</w:t>
            </w:r>
            <w:r w:rsidRPr="000907B2">
              <w:t>018.</w:t>
            </w:r>
            <w:r w:rsidR="00A4382A" w:rsidRPr="000907B2">
              <w:t xml:space="preserve"> </w:t>
            </w:r>
            <w:r w:rsidRPr="000907B2">
              <w:t>gadā uzsāka Fonda atbalsta sniegšanu papildus mērķa grupai – maznodrošinātām personām ar ienākumiem</w:t>
            </w:r>
            <w:r w:rsidR="0020489F" w:rsidRPr="000907B2">
              <w:t>,</w:t>
            </w:r>
            <w:r w:rsidRPr="000907B2">
              <w:t xml:space="preserve"> </w:t>
            </w:r>
            <w:r w:rsidR="00187C77" w:rsidRPr="000907B2">
              <w:t>kas nepārsniedz</w:t>
            </w:r>
            <w:r w:rsidRPr="000907B2">
              <w:t xml:space="preserve"> 188 EUR, redzam</w:t>
            </w:r>
            <w:r w:rsidR="00D0280C" w:rsidRPr="000907B2">
              <w:t>s</w:t>
            </w:r>
            <w:r w:rsidRPr="000907B2">
              <w:t>, ka šis mērķa grupas palielinājums skaitliski n</w:t>
            </w:r>
            <w:r w:rsidR="00936769" w:rsidRPr="000907B2">
              <w:t>e</w:t>
            </w:r>
            <w:r w:rsidRPr="000907B2">
              <w:t>ietekmēj</w:t>
            </w:r>
            <w:r w:rsidR="00936769" w:rsidRPr="000907B2">
              <w:t>a</w:t>
            </w:r>
            <w:r w:rsidRPr="000907B2">
              <w:t xml:space="preserve"> Fonda atbalstu saņēmušo personu skaitu</w:t>
            </w:r>
            <w:r w:rsidR="00936769" w:rsidRPr="000907B2">
              <w:t xml:space="preserve"> un</w:t>
            </w:r>
            <w:r w:rsidRPr="000907B2">
              <w:t xml:space="preserve"> no 2018. gada jūlija tas nemainīgi saglabājas 2017. gada līmenī</w:t>
            </w:r>
            <w:r w:rsidR="003D7396" w:rsidRPr="000907B2">
              <w:t>.</w:t>
            </w:r>
            <w:r w:rsidR="00BC06A0" w:rsidRPr="000907B2">
              <w:t xml:space="preserve"> </w:t>
            </w:r>
          </w:p>
          <w:p w14:paraId="208196B8" w14:textId="4F48F9F5" w:rsidR="007648F5" w:rsidRPr="000907B2" w:rsidRDefault="003D7396" w:rsidP="007F5AA0">
            <w:pPr>
              <w:spacing w:before="120" w:line="276" w:lineRule="auto"/>
              <w:ind w:left="191" w:right="254"/>
              <w:jc w:val="both"/>
            </w:pPr>
            <w:r w:rsidRPr="000907B2">
              <w:t>S</w:t>
            </w:r>
            <w:r w:rsidR="00BC06A0" w:rsidRPr="000907B2">
              <w:t>ecin</w:t>
            </w:r>
            <w:r w:rsidR="00324BB1" w:rsidRPr="000907B2">
              <w:t>āms, ka 188 EUR ir nepietiekam</w:t>
            </w:r>
            <w:r w:rsidR="003B7898" w:rsidRPr="000907B2">
              <w:t>a ģimenes vidējo ienākumu robeža F</w:t>
            </w:r>
            <w:r w:rsidRPr="000907B2">
              <w:t xml:space="preserve">onda atbalsta </w:t>
            </w:r>
            <w:r w:rsidR="003B7898" w:rsidRPr="000907B2">
              <w:t>saņemšanai pārtikas un pamata materiālās nenodrošinātības mazināšanai</w:t>
            </w:r>
            <w:r w:rsidR="00D67EE5" w:rsidRPr="000907B2">
              <w:t>.</w:t>
            </w:r>
            <w:r w:rsidR="007648F5" w:rsidRPr="000907B2">
              <w:t xml:space="preserve"> </w:t>
            </w:r>
          </w:p>
          <w:p w14:paraId="6B5A97E5" w14:textId="30542C68" w:rsidR="0020489F" w:rsidRPr="000907B2" w:rsidRDefault="00187C77" w:rsidP="007F5AA0">
            <w:pPr>
              <w:spacing w:before="120" w:line="276" w:lineRule="auto"/>
              <w:ind w:left="191" w:right="254"/>
              <w:jc w:val="both"/>
            </w:pPr>
            <w:r w:rsidRPr="000907B2">
              <w:t xml:space="preserve">Izvērtējot Fonda atbalsta saņemšanai atbilstošāko ienākumu līmeni, </w:t>
            </w:r>
            <w:r w:rsidR="00936769" w:rsidRPr="000907B2">
              <w:t xml:space="preserve">veiktas konsultācijas </w:t>
            </w:r>
            <w:r w:rsidR="003D7396" w:rsidRPr="000907B2">
              <w:t xml:space="preserve">ar Centrālās statistikas pārvaldi par </w:t>
            </w:r>
            <w:r w:rsidR="00936769" w:rsidRPr="000907B2">
              <w:t xml:space="preserve">iespējamo </w:t>
            </w:r>
            <w:r w:rsidR="005B4397" w:rsidRPr="000907B2">
              <w:t>atbilstošāk</w:t>
            </w:r>
            <w:r w:rsidR="00936769" w:rsidRPr="000907B2">
              <w:t xml:space="preserve">o </w:t>
            </w:r>
            <w:r w:rsidR="005B4397" w:rsidRPr="000907B2">
              <w:t xml:space="preserve">statistikas </w:t>
            </w:r>
            <w:r w:rsidR="00936769" w:rsidRPr="000907B2">
              <w:t xml:space="preserve">rādītāju. Tika </w:t>
            </w:r>
            <w:r w:rsidR="005B4397" w:rsidRPr="000907B2">
              <w:t xml:space="preserve">secināts, ka Fonda atbalsta saņēmēju ienākumus visprecīzāk raksturojošais ir </w:t>
            </w:r>
            <w:r w:rsidR="00227DEA" w:rsidRPr="000907B2">
              <w:t xml:space="preserve">tieši </w:t>
            </w:r>
            <w:r w:rsidR="005B4397" w:rsidRPr="000907B2">
              <w:t>dziļa</w:t>
            </w:r>
            <w:r w:rsidR="00227DEA" w:rsidRPr="000907B2">
              <w:t>s</w:t>
            </w:r>
            <w:r w:rsidR="005B4397" w:rsidRPr="000907B2">
              <w:t xml:space="preserve"> materiālā</w:t>
            </w:r>
            <w:r w:rsidR="00227DEA" w:rsidRPr="000907B2">
              <w:t>s</w:t>
            </w:r>
            <w:r w:rsidR="005B4397" w:rsidRPr="000907B2">
              <w:t xml:space="preserve"> nenodrošinātība</w:t>
            </w:r>
            <w:r w:rsidR="00227DEA" w:rsidRPr="000907B2">
              <w:t>s rādītājs</w:t>
            </w:r>
            <w:r w:rsidR="00891CDB" w:rsidRPr="000907B2">
              <w:t xml:space="preserve"> 2017. gadā</w:t>
            </w:r>
            <w:r w:rsidR="00936769" w:rsidRPr="000907B2">
              <w:t xml:space="preserve">, proti </w:t>
            </w:r>
            <w:r w:rsidR="00227DEA" w:rsidRPr="000907B2">
              <w:rPr>
                <w:b/>
              </w:rPr>
              <w:t>242 EUR</w:t>
            </w:r>
            <w:r w:rsidR="00227DEA" w:rsidRPr="00C70B2D">
              <w:t>.</w:t>
            </w:r>
            <w:r w:rsidR="0020489F" w:rsidRPr="00C70B2D">
              <w:t xml:space="preserve"> Šinī gadījumā Fonda atbalsts </w:t>
            </w:r>
            <w:r w:rsidR="003F49D7" w:rsidRPr="00C70B2D">
              <w:t>pilnā apmērā</w:t>
            </w:r>
            <w:r w:rsidR="00692939" w:rsidRPr="00C70B2D">
              <w:t xml:space="preserve"> (pārtikas palīdzība)</w:t>
            </w:r>
            <w:r w:rsidR="003F49D7" w:rsidRPr="00C70B2D">
              <w:t xml:space="preserve"> </w:t>
            </w:r>
            <w:r w:rsidR="00692939" w:rsidRPr="00C70B2D">
              <w:t xml:space="preserve">un daļējā vai pilnā apmērā (pamata materiālais atbalsts) </w:t>
            </w:r>
            <w:r w:rsidR="003F49D7" w:rsidRPr="00C70B2D">
              <w:t>ti</w:t>
            </w:r>
            <w:r w:rsidR="00D6053F" w:rsidRPr="00C70B2D">
              <w:t>ktu</w:t>
            </w:r>
            <w:r w:rsidR="003F49D7" w:rsidRPr="00C70B2D">
              <w:t xml:space="preserve"> nodrošināts līdz 202</w:t>
            </w:r>
            <w:r w:rsidR="00692939" w:rsidRPr="00C70B2D">
              <w:t>1</w:t>
            </w:r>
            <w:r w:rsidR="003F49D7" w:rsidRPr="00C70B2D">
              <w:t>. gada beigām</w:t>
            </w:r>
            <w:r w:rsidR="00D6053F" w:rsidRPr="00C70B2D">
              <w:t>,</w:t>
            </w:r>
            <w:r w:rsidR="00D6053F" w:rsidRPr="000907B2">
              <w:t xml:space="preserve"> kas nodrošinātu pakāpenisku pāreju uz 2021-2027. gada plānošanas perioda </w:t>
            </w:r>
            <w:r w:rsidR="00263CEB" w:rsidRPr="000907B2">
              <w:t>atbalsta finansējumu.</w:t>
            </w:r>
          </w:p>
          <w:p w14:paraId="3D33FBF0" w14:textId="0B18A4ED" w:rsidR="00487B6F" w:rsidRPr="000907B2" w:rsidRDefault="00487B6F" w:rsidP="007F5AA0">
            <w:pPr>
              <w:spacing w:before="120" w:line="276" w:lineRule="auto"/>
              <w:ind w:right="254"/>
              <w:jc w:val="both"/>
            </w:pPr>
            <w:r w:rsidRPr="000907B2">
              <w:t xml:space="preserve">Pēc </w:t>
            </w:r>
            <w:r w:rsidR="00F0742D" w:rsidRPr="000907B2">
              <w:t>Noteikumu projekta</w:t>
            </w:r>
            <w:r w:rsidRPr="000907B2">
              <w:t xml:space="preserve"> stāšanās spēkā:</w:t>
            </w:r>
          </w:p>
          <w:p w14:paraId="0E550786" w14:textId="320EC09A" w:rsidR="00487B6F" w:rsidRPr="000907B2" w:rsidRDefault="004F0953" w:rsidP="005949CB">
            <w:pPr>
              <w:pStyle w:val="ListParagraph"/>
              <w:numPr>
                <w:ilvl w:val="0"/>
                <w:numId w:val="36"/>
              </w:numPr>
              <w:spacing w:after="0"/>
              <w:ind w:left="357" w:right="254" w:hanging="182"/>
              <w:jc w:val="both"/>
              <w:rPr>
                <w:rFonts w:ascii="Times New Roman" w:hAnsi="Times New Roman"/>
                <w:sz w:val="24"/>
                <w:szCs w:val="24"/>
              </w:rPr>
            </w:pPr>
            <w:r w:rsidRPr="000907B2">
              <w:rPr>
                <w:rFonts w:ascii="Times New Roman" w:hAnsi="Times New Roman"/>
                <w:sz w:val="24"/>
                <w:szCs w:val="24"/>
              </w:rPr>
              <w:t xml:space="preserve">palielināsies </w:t>
            </w:r>
            <w:r w:rsidR="003F49D7" w:rsidRPr="000907B2">
              <w:rPr>
                <w:rFonts w:ascii="Times New Roman" w:hAnsi="Times New Roman"/>
                <w:sz w:val="24"/>
                <w:szCs w:val="24"/>
              </w:rPr>
              <w:t xml:space="preserve">Fonda </w:t>
            </w:r>
            <w:r w:rsidR="00487B6F" w:rsidRPr="000907B2">
              <w:rPr>
                <w:rFonts w:ascii="Times New Roman" w:hAnsi="Times New Roman"/>
                <w:sz w:val="24"/>
                <w:szCs w:val="24"/>
              </w:rPr>
              <w:t>sniegtā atbalsta daudzveidība uz vienu pilngadīgo personu (</w:t>
            </w:r>
            <w:r w:rsidR="00F075CC" w:rsidRPr="000907B2">
              <w:rPr>
                <w:rFonts w:ascii="Times New Roman" w:hAnsi="Times New Roman"/>
                <w:sz w:val="24"/>
                <w:szCs w:val="24"/>
              </w:rPr>
              <w:t>līdz šim</w:t>
            </w:r>
            <w:r w:rsidR="00487B6F" w:rsidRPr="000907B2">
              <w:rPr>
                <w:rFonts w:ascii="Times New Roman" w:hAnsi="Times New Roman"/>
                <w:sz w:val="24"/>
                <w:szCs w:val="24"/>
              </w:rPr>
              <w:t xml:space="preserve"> tikai pārtikas atbalsts, </w:t>
            </w:r>
            <w:r w:rsidR="00623392" w:rsidRPr="000907B2">
              <w:rPr>
                <w:rFonts w:ascii="Times New Roman" w:hAnsi="Times New Roman"/>
                <w:sz w:val="24"/>
                <w:szCs w:val="24"/>
              </w:rPr>
              <w:t>plānota</w:t>
            </w:r>
            <w:r w:rsidR="00487B6F" w:rsidRPr="000907B2">
              <w:rPr>
                <w:rFonts w:ascii="Times New Roman" w:hAnsi="Times New Roman"/>
                <w:sz w:val="24"/>
                <w:szCs w:val="24"/>
              </w:rPr>
              <w:t xml:space="preserve"> arī pamata materiālā palīdzība);</w:t>
            </w:r>
          </w:p>
          <w:p w14:paraId="6F0E5148" w14:textId="72EAD47A" w:rsidR="00487B6F" w:rsidRPr="000907B2" w:rsidRDefault="004F0953" w:rsidP="005949CB">
            <w:pPr>
              <w:pStyle w:val="ListParagraph"/>
              <w:numPr>
                <w:ilvl w:val="0"/>
                <w:numId w:val="35"/>
              </w:numPr>
              <w:spacing w:after="0"/>
              <w:ind w:left="357" w:right="254" w:hanging="182"/>
              <w:jc w:val="both"/>
              <w:rPr>
                <w:rFonts w:ascii="Times New Roman" w:hAnsi="Times New Roman"/>
                <w:sz w:val="24"/>
                <w:szCs w:val="24"/>
              </w:rPr>
            </w:pPr>
            <w:r w:rsidRPr="000907B2">
              <w:rPr>
                <w:rFonts w:ascii="Times New Roman" w:hAnsi="Times New Roman"/>
                <w:sz w:val="24"/>
                <w:szCs w:val="24"/>
              </w:rPr>
              <w:t xml:space="preserve">palielināsies </w:t>
            </w:r>
            <w:r w:rsidR="00263CEB" w:rsidRPr="000907B2">
              <w:rPr>
                <w:rFonts w:ascii="Times New Roman" w:hAnsi="Times New Roman"/>
                <w:sz w:val="24"/>
                <w:szCs w:val="24"/>
              </w:rPr>
              <w:t xml:space="preserve">atbalsta apmērs vienai personai </w:t>
            </w:r>
            <w:r w:rsidR="00487B6F" w:rsidRPr="000907B2">
              <w:rPr>
                <w:rFonts w:ascii="Times New Roman" w:hAnsi="Times New Roman"/>
                <w:sz w:val="24"/>
                <w:szCs w:val="24"/>
              </w:rPr>
              <w:t>vidēji par 22 EUR jeb par 33% gadā (</w:t>
            </w:r>
            <w:r w:rsidR="00F075CC" w:rsidRPr="000907B2">
              <w:rPr>
                <w:rFonts w:ascii="Times New Roman" w:hAnsi="Times New Roman"/>
                <w:sz w:val="24"/>
                <w:szCs w:val="24"/>
              </w:rPr>
              <w:t>līdz šim</w:t>
            </w:r>
            <w:r w:rsidR="00487B6F" w:rsidRPr="000907B2">
              <w:rPr>
                <w:rFonts w:ascii="Times New Roman" w:hAnsi="Times New Roman"/>
                <w:sz w:val="24"/>
                <w:szCs w:val="24"/>
              </w:rPr>
              <w:t xml:space="preserve"> 66 EUR, pēc izmaiņām – 88 EUR);</w:t>
            </w:r>
          </w:p>
          <w:p w14:paraId="13511A70" w14:textId="2109DFA6" w:rsidR="00487B6F" w:rsidRPr="000907B2" w:rsidRDefault="004F0953" w:rsidP="005949CB">
            <w:pPr>
              <w:pStyle w:val="ListParagraph"/>
              <w:numPr>
                <w:ilvl w:val="0"/>
                <w:numId w:val="36"/>
              </w:numPr>
              <w:spacing w:after="0"/>
              <w:ind w:left="357" w:right="254" w:hanging="182"/>
              <w:jc w:val="both"/>
              <w:rPr>
                <w:rFonts w:ascii="Times New Roman" w:hAnsi="Times New Roman"/>
                <w:sz w:val="24"/>
                <w:szCs w:val="24"/>
              </w:rPr>
            </w:pPr>
            <w:r w:rsidRPr="000907B2">
              <w:rPr>
                <w:rFonts w:ascii="Times New Roman" w:hAnsi="Times New Roman"/>
                <w:sz w:val="24"/>
                <w:szCs w:val="24"/>
              </w:rPr>
              <w:t xml:space="preserve">vairākkārtēji palielināsies </w:t>
            </w:r>
            <w:r w:rsidR="00487B6F" w:rsidRPr="000907B2">
              <w:rPr>
                <w:rFonts w:ascii="Times New Roman" w:hAnsi="Times New Roman"/>
                <w:sz w:val="24"/>
                <w:szCs w:val="24"/>
              </w:rPr>
              <w:t>pamata materiālās palīdzības saņēmēju skaits (</w:t>
            </w:r>
            <w:r w:rsidR="00F075CC" w:rsidRPr="000907B2">
              <w:rPr>
                <w:rFonts w:ascii="Times New Roman" w:hAnsi="Times New Roman"/>
                <w:sz w:val="24"/>
                <w:szCs w:val="24"/>
              </w:rPr>
              <w:t>līdz šim</w:t>
            </w:r>
            <w:r w:rsidR="00487B6F" w:rsidRPr="000907B2">
              <w:rPr>
                <w:rFonts w:ascii="Times New Roman" w:hAnsi="Times New Roman"/>
                <w:sz w:val="24"/>
                <w:szCs w:val="24"/>
              </w:rPr>
              <w:t xml:space="preserve"> palīdzību saņem tikai nepilngadīgas personas līdz 18 gadiem, pēc izmaiņām – arī pilngadīgas personas);</w:t>
            </w:r>
          </w:p>
          <w:p w14:paraId="4699F0D8" w14:textId="1155B0E2" w:rsidR="009B13BA" w:rsidRPr="000907B2" w:rsidRDefault="00487B6F" w:rsidP="005949CB">
            <w:pPr>
              <w:pStyle w:val="ListParagraph"/>
              <w:numPr>
                <w:ilvl w:val="0"/>
                <w:numId w:val="36"/>
              </w:numPr>
              <w:spacing w:after="0"/>
              <w:ind w:left="357" w:right="254" w:hanging="182"/>
              <w:jc w:val="both"/>
              <w:rPr>
                <w:rFonts w:ascii="Times New Roman" w:hAnsi="Times New Roman"/>
                <w:sz w:val="24"/>
                <w:szCs w:val="24"/>
              </w:rPr>
            </w:pPr>
            <w:r w:rsidRPr="000907B2">
              <w:rPr>
                <w:rFonts w:ascii="Times New Roman" w:hAnsi="Times New Roman"/>
                <w:sz w:val="24"/>
                <w:szCs w:val="24"/>
              </w:rPr>
              <w:t xml:space="preserve">indikatīvi </w:t>
            </w:r>
            <w:r w:rsidR="00906126">
              <w:rPr>
                <w:rFonts w:ascii="Times New Roman" w:hAnsi="Times New Roman"/>
                <w:sz w:val="24"/>
                <w:szCs w:val="24"/>
              </w:rPr>
              <w:t>prognozēts, ka:</w:t>
            </w:r>
          </w:p>
          <w:p w14:paraId="29700817" w14:textId="454D82EE" w:rsidR="00487B6F" w:rsidRPr="000907B2" w:rsidRDefault="009B13BA" w:rsidP="007F5AA0">
            <w:pPr>
              <w:pStyle w:val="ListParagraph"/>
              <w:spacing w:after="0"/>
              <w:ind w:left="357" w:right="254"/>
              <w:jc w:val="both"/>
              <w:rPr>
                <w:rFonts w:ascii="Times New Roman" w:hAnsi="Times New Roman"/>
                <w:sz w:val="24"/>
                <w:szCs w:val="24"/>
              </w:rPr>
            </w:pPr>
            <w:r w:rsidRPr="000907B2">
              <w:rPr>
                <w:rFonts w:ascii="Times New Roman" w:hAnsi="Times New Roman"/>
                <w:sz w:val="24"/>
                <w:szCs w:val="24"/>
              </w:rPr>
              <w:t>-</w:t>
            </w:r>
            <w:r w:rsidR="00906126">
              <w:rPr>
                <w:rFonts w:ascii="Times New Roman" w:hAnsi="Times New Roman"/>
                <w:sz w:val="24"/>
                <w:szCs w:val="24"/>
              </w:rPr>
              <w:t xml:space="preserve"> </w:t>
            </w:r>
            <w:proofErr w:type="gramStart"/>
            <w:r w:rsidR="007C3224" w:rsidRPr="000907B2">
              <w:rPr>
                <w:rFonts w:ascii="Times New Roman" w:hAnsi="Times New Roman"/>
                <w:sz w:val="24"/>
                <w:szCs w:val="24"/>
              </w:rPr>
              <w:t>2019. gadā salīdzinot ar 2017. gadu</w:t>
            </w:r>
            <w:proofErr w:type="gramEnd"/>
            <w:r w:rsidR="007C3224" w:rsidRPr="000907B2">
              <w:rPr>
                <w:rFonts w:ascii="Times New Roman" w:hAnsi="Times New Roman"/>
                <w:sz w:val="24"/>
                <w:szCs w:val="24"/>
              </w:rPr>
              <w:t xml:space="preserve"> </w:t>
            </w:r>
            <w:r w:rsidR="00487B6F" w:rsidRPr="000907B2">
              <w:rPr>
                <w:rFonts w:ascii="Times New Roman" w:hAnsi="Times New Roman"/>
                <w:sz w:val="24"/>
                <w:szCs w:val="24"/>
              </w:rPr>
              <w:t>kopējais atbalstāmo personu loks</w:t>
            </w:r>
            <w:r w:rsidR="007C3224" w:rsidRPr="000907B2">
              <w:rPr>
                <w:rFonts w:ascii="Times New Roman" w:hAnsi="Times New Roman"/>
                <w:sz w:val="24"/>
                <w:szCs w:val="24"/>
              </w:rPr>
              <w:t xml:space="preserve"> pieaug</w:t>
            </w:r>
            <w:r w:rsidRPr="000907B2">
              <w:rPr>
                <w:rFonts w:ascii="Times New Roman" w:hAnsi="Times New Roman"/>
                <w:sz w:val="24"/>
                <w:szCs w:val="24"/>
              </w:rPr>
              <w:t>s</w:t>
            </w:r>
            <w:r w:rsidR="00487B6F" w:rsidRPr="000907B2">
              <w:rPr>
                <w:rFonts w:ascii="Times New Roman" w:hAnsi="Times New Roman"/>
                <w:sz w:val="24"/>
                <w:szCs w:val="24"/>
              </w:rPr>
              <w:t xml:space="preserve"> par </w:t>
            </w:r>
            <w:r w:rsidR="007C3224" w:rsidRPr="000907B2">
              <w:rPr>
                <w:rFonts w:ascii="Times New Roman" w:hAnsi="Times New Roman"/>
                <w:b/>
                <w:sz w:val="24"/>
                <w:szCs w:val="24"/>
              </w:rPr>
              <w:t>35,9%</w:t>
            </w:r>
            <w:r w:rsidR="00487B6F" w:rsidRPr="000907B2">
              <w:rPr>
                <w:rFonts w:ascii="Times New Roman" w:hAnsi="Times New Roman"/>
                <w:sz w:val="24"/>
                <w:szCs w:val="24"/>
              </w:rPr>
              <w:t>;</w:t>
            </w:r>
          </w:p>
          <w:p w14:paraId="6B7B217C" w14:textId="15CD654B" w:rsidR="009B13BA" w:rsidRPr="000907B2" w:rsidRDefault="009B13BA" w:rsidP="007F5AA0">
            <w:pPr>
              <w:pStyle w:val="ListParagraph"/>
              <w:spacing w:after="0"/>
              <w:ind w:left="357" w:right="254"/>
              <w:jc w:val="both"/>
              <w:rPr>
                <w:rFonts w:ascii="Times New Roman" w:hAnsi="Times New Roman"/>
                <w:sz w:val="24"/>
                <w:szCs w:val="24"/>
              </w:rPr>
            </w:pPr>
            <w:r w:rsidRPr="000907B2">
              <w:rPr>
                <w:rFonts w:ascii="Times New Roman" w:hAnsi="Times New Roman"/>
                <w:sz w:val="24"/>
                <w:szCs w:val="24"/>
              </w:rPr>
              <w:t>-</w:t>
            </w:r>
            <w:r w:rsidR="00906126">
              <w:rPr>
                <w:rFonts w:ascii="Times New Roman" w:hAnsi="Times New Roman"/>
                <w:sz w:val="24"/>
                <w:szCs w:val="24"/>
              </w:rPr>
              <w:t xml:space="preserve"> </w:t>
            </w:r>
            <w:r w:rsidR="008152F0" w:rsidRPr="000907B2">
              <w:rPr>
                <w:rFonts w:ascii="Times New Roman" w:hAnsi="Times New Roman"/>
                <w:sz w:val="24"/>
                <w:szCs w:val="24"/>
              </w:rPr>
              <w:t xml:space="preserve">arī </w:t>
            </w:r>
            <w:r w:rsidRPr="000907B2">
              <w:rPr>
                <w:rFonts w:ascii="Times New Roman" w:hAnsi="Times New Roman"/>
                <w:sz w:val="24"/>
                <w:szCs w:val="24"/>
              </w:rPr>
              <w:t>2020.</w:t>
            </w:r>
            <w:r w:rsidR="008B0CB5" w:rsidRPr="000907B2">
              <w:rPr>
                <w:rFonts w:ascii="Times New Roman" w:hAnsi="Times New Roman"/>
                <w:sz w:val="24"/>
                <w:szCs w:val="24"/>
              </w:rPr>
              <w:t>un 2021.</w:t>
            </w:r>
            <w:r w:rsidRPr="000907B2">
              <w:rPr>
                <w:rFonts w:ascii="Times New Roman" w:eastAsia="Times New Roman" w:hAnsi="Times New Roman"/>
                <w:sz w:val="24"/>
                <w:szCs w:val="24"/>
                <w:lang w:eastAsia="lv-LV"/>
              </w:rPr>
              <w:t xml:space="preserve"> </w:t>
            </w:r>
            <w:r w:rsidRPr="000907B2">
              <w:rPr>
                <w:rFonts w:ascii="Times New Roman" w:hAnsi="Times New Roman"/>
                <w:sz w:val="24"/>
                <w:szCs w:val="24"/>
              </w:rPr>
              <w:t>gadā</w:t>
            </w:r>
            <w:r w:rsidR="004F0953" w:rsidRPr="000907B2">
              <w:rPr>
                <w:rFonts w:ascii="Times New Roman" w:hAnsi="Times New Roman"/>
                <w:sz w:val="24"/>
                <w:szCs w:val="24"/>
              </w:rPr>
              <w:t>,</w:t>
            </w:r>
            <w:r w:rsidRPr="000907B2">
              <w:rPr>
                <w:rFonts w:ascii="Times New Roman" w:hAnsi="Times New Roman"/>
                <w:sz w:val="24"/>
                <w:szCs w:val="24"/>
              </w:rPr>
              <w:t xml:space="preserve"> salīdzinot ar 2017. gadu</w:t>
            </w:r>
            <w:r w:rsidR="004F0953" w:rsidRPr="000907B2">
              <w:rPr>
                <w:rFonts w:ascii="Times New Roman" w:hAnsi="Times New Roman"/>
                <w:sz w:val="24"/>
                <w:szCs w:val="24"/>
              </w:rPr>
              <w:t>,</w:t>
            </w:r>
            <w:r w:rsidRPr="000907B2">
              <w:rPr>
                <w:rFonts w:ascii="Times New Roman" w:hAnsi="Times New Roman"/>
                <w:sz w:val="24"/>
                <w:szCs w:val="24"/>
              </w:rPr>
              <w:t xml:space="preserve"> </w:t>
            </w:r>
            <w:r w:rsidR="008B0CB5" w:rsidRPr="000907B2">
              <w:rPr>
                <w:rFonts w:ascii="Times New Roman" w:hAnsi="Times New Roman"/>
                <w:sz w:val="24"/>
                <w:szCs w:val="24"/>
              </w:rPr>
              <w:t xml:space="preserve">vērojams </w:t>
            </w:r>
            <w:r w:rsidRPr="000907B2">
              <w:rPr>
                <w:rFonts w:ascii="Times New Roman" w:hAnsi="Times New Roman"/>
                <w:sz w:val="24"/>
                <w:szCs w:val="24"/>
              </w:rPr>
              <w:t>kopējais atbalstāmo personu lok</w:t>
            </w:r>
            <w:r w:rsidR="008B0CB5" w:rsidRPr="000907B2">
              <w:rPr>
                <w:rFonts w:ascii="Times New Roman" w:hAnsi="Times New Roman"/>
                <w:sz w:val="24"/>
                <w:szCs w:val="24"/>
              </w:rPr>
              <w:t>a</w:t>
            </w:r>
            <w:r w:rsidRPr="000907B2">
              <w:rPr>
                <w:rFonts w:ascii="Times New Roman" w:hAnsi="Times New Roman"/>
                <w:sz w:val="24"/>
                <w:szCs w:val="24"/>
              </w:rPr>
              <w:t xml:space="preserve"> pieaug</w:t>
            </w:r>
            <w:r w:rsidR="008B0CB5" w:rsidRPr="000907B2">
              <w:rPr>
                <w:rFonts w:ascii="Times New Roman" w:hAnsi="Times New Roman"/>
                <w:sz w:val="24"/>
                <w:szCs w:val="24"/>
              </w:rPr>
              <w:t xml:space="preserve">ums, tomēr likumdošanas izmaiņu rezultātā tas </w:t>
            </w:r>
            <w:r w:rsidR="008152F0" w:rsidRPr="000907B2">
              <w:rPr>
                <w:rFonts w:ascii="Times New Roman" w:hAnsi="Times New Roman"/>
                <w:sz w:val="24"/>
                <w:szCs w:val="24"/>
              </w:rPr>
              <w:t>var samazināties</w:t>
            </w:r>
            <w:r w:rsidRPr="000907B2">
              <w:rPr>
                <w:rFonts w:ascii="Times New Roman" w:hAnsi="Times New Roman"/>
                <w:sz w:val="24"/>
                <w:szCs w:val="24"/>
              </w:rPr>
              <w:t>;</w:t>
            </w:r>
          </w:p>
          <w:p w14:paraId="49F3262F" w14:textId="08C6C6EB" w:rsidR="00487B6F" w:rsidRPr="000907B2" w:rsidRDefault="004F0953" w:rsidP="005949CB">
            <w:pPr>
              <w:pStyle w:val="ListParagraph"/>
              <w:numPr>
                <w:ilvl w:val="0"/>
                <w:numId w:val="36"/>
              </w:numPr>
              <w:spacing w:after="0"/>
              <w:ind w:left="357" w:right="254" w:hanging="182"/>
              <w:jc w:val="both"/>
              <w:rPr>
                <w:rFonts w:ascii="Times New Roman" w:hAnsi="Times New Roman"/>
                <w:sz w:val="24"/>
                <w:szCs w:val="24"/>
              </w:rPr>
            </w:pPr>
            <w:r w:rsidRPr="000907B2">
              <w:rPr>
                <w:rFonts w:ascii="Times New Roman" w:hAnsi="Times New Roman"/>
                <w:sz w:val="24"/>
                <w:szCs w:val="24"/>
              </w:rPr>
              <w:lastRenderedPageBreak/>
              <w:t xml:space="preserve">tiks </w:t>
            </w:r>
            <w:r w:rsidR="00487B6F" w:rsidRPr="000907B2">
              <w:rPr>
                <w:rFonts w:ascii="Times New Roman" w:hAnsi="Times New Roman"/>
                <w:sz w:val="24"/>
                <w:szCs w:val="24"/>
              </w:rPr>
              <w:t>sekmēta</w:t>
            </w:r>
            <w:r w:rsidR="00D61739" w:rsidRPr="000907B2">
              <w:rPr>
                <w:rFonts w:ascii="Times New Roman" w:hAnsi="Times New Roman"/>
                <w:sz w:val="24"/>
                <w:szCs w:val="24"/>
              </w:rPr>
              <w:t xml:space="preserve"> Fonda atbalstam paredzētā finansējuma izmantošanas lietderība un efektivitāte</w:t>
            </w:r>
            <w:r w:rsidR="00487B6F" w:rsidRPr="000907B2">
              <w:rPr>
                <w:rFonts w:ascii="Times New Roman" w:hAnsi="Times New Roman"/>
                <w:sz w:val="24"/>
                <w:szCs w:val="24"/>
              </w:rPr>
              <w:t>.</w:t>
            </w:r>
          </w:p>
          <w:p w14:paraId="51301894" w14:textId="3B1AA4D5" w:rsidR="00487B6F" w:rsidRPr="000907B2" w:rsidRDefault="00D6053F" w:rsidP="007F5AA0">
            <w:pPr>
              <w:spacing w:before="120" w:line="276" w:lineRule="auto"/>
              <w:ind w:right="254"/>
              <w:jc w:val="both"/>
            </w:pPr>
            <w:r w:rsidRPr="000907B2">
              <w:t xml:space="preserve">Īstenojot </w:t>
            </w:r>
            <w:r w:rsidR="00263CEB" w:rsidRPr="000907B2">
              <w:t xml:space="preserve">darbības programmas </w:t>
            </w:r>
            <w:r w:rsidRPr="000907B2">
              <w:t>mērķi</w:t>
            </w:r>
            <w:r w:rsidR="00D61739" w:rsidRPr="000907B2">
              <w:t>,</w:t>
            </w:r>
            <w:r w:rsidRPr="000907B2">
              <w:t xml:space="preserve"> </w:t>
            </w:r>
            <w:r w:rsidR="00263CEB" w:rsidRPr="000907B2">
              <w:t xml:space="preserve">Noteikumu projektā </w:t>
            </w:r>
            <w:r w:rsidR="00F0742D" w:rsidRPr="000907B2">
              <w:t>iekļauti</w:t>
            </w:r>
            <w:r w:rsidR="00487B6F" w:rsidRPr="000907B2">
              <w:t xml:space="preserve"> </w:t>
            </w:r>
            <w:r w:rsidR="00263CEB" w:rsidRPr="000907B2">
              <w:t>šādi papildinājumi :</w:t>
            </w:r>
          </w:p>
          <w:p w14:paraId="3D2BBAA9" w14:textId="49A4CF88" w:rsidR="00487B6F" w:rsidRPr="000907B2" w:rsidRDefault="00487B6F" w:rsidP="005949CB">
            <w:pPr>
              <w:pStyle w:val="ListParagraph"/>
              <w:numPr>
                <w:ilvl w:val="0"/>
                <w:numId w:val="34"/>
              </w:numPr>
              <w:spacing w:after="120"/>
              <w:ind w:left="406" w:right="254" w:hanging="231"/>
              <w:jc w:val="both"/>
              <w:rPr>
                <w:rFonts w:ascii="Times New Roman" w:hAnsi="Times New Roman"/>
                <w:i/>
                <w:sz w:val="24"/>
                <w:szCs w:val="24"/>
              </w:rPr>
            </w:pPr>
            <w:r w:rsidRPr="000907B2">
              <w:rPr>
                <w:rFonts w:ascii="Times New Roman" w:hAnsi="Times New Roman"/>
                <w:i/>
                <w:sz w:val="24"/>
                <w:szCs w:val="24"/>
              </w:rPr>
              <w:t>Fonda mērķa grupas personu loku paplašināšana, paredzot, ka</w:t>
            </w:r>
            <w:r w:rsidR="004F1D5A" w:rsidRPr="000907B2">
              <w:rPr>
                <w:rFonts w:ascii="Times New Roman" w:hAnsi="Times New Roman"/>
                <w:i/>
                <w:sz w:val="24"/>
                <w:szCs w:val="24"/>
              </w:rPr>
              <w:t xml:space="preserve"> maznodrošināto</w:t>
            </w:r>
            <w:r w:rsidRPr="000907B2">
              <w:rPr>
                <w:rFonts w:ascii="Times New Roman" w:hAnsi="Times New Roman"/>
                <w:i/>
                <w:sz w:val="24"/>
                <w:szCs w:val="24"/>
              </w:rPr>
              <w:t xml:space="preserve"> </w:t>
            </w:r>
            <w:r w:rsidR="004F1D5A" w:rsidRPr="000907B2">
              <w:rPr>
                <w:rFonts w:ascii="Times New Roman" w:hAnsi="Times New Roman"/>
                <w:i/>
                <w:sz w:val="24"/>
                <w:szCs w:val="24"/>
              </w:rPr>
              <w:t xml:space="preserve">personu, kurām ir tiesības uz Fonda atbalsta saņemšanu, ienākumu līmenis turpmāk būs </w:t>
            </w:r>
            <w:r w:rsidR="004F1D5A" w:rsidRPr="000907B2">
              <w:rPr>
                <w:rFonts w:ascii="Times New Roman" w:hAnsi="Times New Roman"/>
                <w:b/>
                <w:i/>
                <w:sz w:val="24"/>
                <w:szCs w:val="24"/>
              </w:rPr>
              <w:t>242 EUR</w:t>
            </w:r>
            <w:r w:rsidR="004F1D5A" w:rsidRPr="000907B2">
              <w:rPr>
                <w:rFonts w:ascii="Times New Roman" w:hAnsi="Times New Roman"/>
                <w:i/>
                <w:sz w:val="24"/>
                <w:szCs w:val="24"/>
              </w:rPr>
              <w:t xml:space="preserve"> (līdz šim 188 EUR) un paredzot, ka </w:t>
            </w:r>
            <w:r w:rsidRPr="000907B2">
              <w:rPr>
                <w:rFonts w:ascii="Times New Roman" w:hAnsi="Times New Roman"/>
                <w:i/>
                <w:sz w:val="24"/>
                <w:szCs w:val="24"/>
              </w:rPr>
              <w:t>higiēnas un saimniecības preču komplektus turpmāk varēs saņemt ne tikai bērni vecumā līdz 18 gadiem, bet arī pilngadīgas personas.</w:t>
            </w:r>
          </w:p>
          <w:p w14:paraId="51A4B784" w14:textId="32452F6F" w:rsidR="00487B6F" w:rsidRPr="000907B2" w:rsidRDefault="005949CB" w:rsidP="005949CB">
            <w:pPr>
              <w:pStyle w:val="ListParagraph"/>
              <w:spacing w:after="120"/>
              <w:ind w:left="396" w:right="254" w:hanging="231"/>
              <w:jc w:val="both"/>
              <w:rPr>
                <w:rFonts w:ascii="Times New Roman" w:hAnsi="Times New Roman"/>
                <w:sz w:val="24"/>
                <w:szCs w:val="24"/>
              </w:rPr>
            </w:pPr>
            <w:r>
              <w:rPr>
                <w:rFonts w:ascii="Times New Roman" w:hAnsi="Times New Roman"/>
                <w:sz w:val="24"/>
                <w:szCs w:val="24"/>
              </w:rPr>
              <w:t xml:space="preserve">    </w:t>
            </w:r>
            <w:r w:rsidR="00487B6F" w:rsidRPr="000907B2">
              <w:rPr>
                <w:rFonts w:ascii="Times New Roman" w:hAnsi="Times New Roman"/>
                <w:sz w:val="24"/>
                <w:szCs w:val="24"/>
              </w:rPr>
              <w:t>Minēt</w:t>
            </w:r>
            <w:r w:rsidR="00A61913" w:rsidRPr="000907B2">
              <w:rPr>
                <w:rFonts w:ascii="Times New Roman" w:hAnsi="Times New Roman"/>
                <w:sz w:val="24"/>
                <w:szCs w:val="24"/>
              </w:rPr>
              <w:t>o</w:t>
            </w:r>
            <w:r w:rsidR="00487B6F" w:rsidRPr="000907B2">
              <w:rPr>
                <w:rFonts w:ascii="Times New Roman" w:hAnsi="Times New Roman"/>
                <w:sz w:val="24"/>
                <w:szCs w:val="24"/>
              </w:rPr>
              <w:t xml:space="preserve"> precizējum</w:t>
            </w:r>
            <w:r w:rsidR="00A61913" w:rsidRPr="000907B2">
              <w:rPr>
                <w:rFonts w:ascii="Times New Roman" w:hAnsi="Times New Roman"/>
                <w:sz w:val="24"/>
                <w:szCs w:val="24"/>
              </w:rPr>
              <w:t>u paredz</w:t>
            </w:r>
            <w:r w:rsidR="00487B6F" w:rsidRPr="000907B2">
              <w:rPr>
                <w:rFonts w:ascii="Times New Roman" w:hAnsi="Times New Roman"/>
                <w:sz w:val="24"/>
                <w:szCs w:val="24"/>
              </w:rPr>
              <w:t xml:space="preserve"> </w:t>
            </w:r>
            <w:r w:rsidR="00A61913" w:rsidRPr="000907B2">
              <w:rPr>
                <w:rFonts w:ascii="Times New Roman" w:hAnsi="Times New Roman"/>
                <w:sz w:val="24"/>
                <w:szCs w:val="24"/>
              </w:rPr>
              <w:t xml:space="preserve">Noteikumu projekta </w:t>
            </w:r>
            <w:r w:rsidR="004F1D5A" w:rsidRPr="000907B2">
              <w:rPr>
                <w:rFonts w:ascii="Times New Roman" w:hAnsi="Times New Roman"/>
                <w:sz w:val="24"/>
                <w:szCs w:val="24"/>
              </w:rPr>
              <w:t>1.</w:t>
            </w:r>
            <w:r w:rsidR="008A4FA0">
              <w:rPr>
                <w:rFonts w:ascii="Times New Roman" w:hAnsi="Times New Roman"/>
                <w:sz w:val="24"/>
                <w:szCs w:val="24"/>
              </w:rPr>
              <w:t>2</w:t>
            </w:r>
            <w:r w:rsidR="00A61913" w:rsidRPr="000907B2">
              <w:rPr>
                <w:rFonts w:ascii="Times New Roman" w:hAnsi="Times New Roman"/>
                <w:sz w:val="24"/>
                <w:szCs w:val="24"/>
              </w:rPr>
              <w:t>.</w:t>
            </w:r>
            <w:r w:rsidR="004F1D5A" w:rsidRPr="000907B2">
              <w:rPr>
                <w:rFonts w:ascii="Times New Roman" w:hAnsi="Times New Roman"/>
                <w:sz w:val="24"/>
                <w:szCs w:val="24"/>
              </w:rPr>
              <w:t>, 1.</w:t>
            </w:r>
            <w:r w:rsidR="008A4FA0">
              <w:rPr>
                <w:rFonts w:ascii="Times New Roman" w:hAnsi="Times New Roman"/>
                <w:sz w:val="24"/>
                <w:szCs w:val="24"/>
              </w:rPr>
              <w:t>3</w:t>
            </w:r>
            <w:r w:rsidR="004F1D5A" w:rsidRPr="000907B2">
              <w:rPr>
                <w:rFonts w:ascii="Times New Roman" w:hAnsi="Times New Roman"/>
                <w:sz w:val="24"/>
                <w:szCs w:val="24"/>
              </w:rPr>
              <w:t>.</w:t>
            </w:r>
            <w:r w:rsidR="00A61913" w:rsidRPr="000907B2">
              <w:rPr>
                <w:rFonts w:ascii="Times New Roman" w:hAnsi="Times New Roman"/>
                <w:sz w:val="24"/>
                <w:szCs w:val="24"/>
              </w:rPr>
              <w:t xml:space="preserve"> un </w:t>
            </w:r>
            <w:r w:rsidR="004F1D5A" w:rsidRPr="000907B2">
              <w:rPr>
                <w:rFonts w:ascii="Times New Roman" w:hAnsi="Times New Roman"/>
                <w:sz w:val="24"/>
                <w:szCs w:val="24"/>
              </w:rPr>
              <w:t>1.</w:t>
            </w:r>
            <w:r w:rsidR="008A4FA0">
              <w:rPr>
                <w:rFonts w:ascii="Times New Roman" w:hAnsi="Times New Roman"/>
                <w:sz w:val="24"/>
                <w:szCs w:val="24"/>
              </w:rPr>
              <w:t>4</w:t>
            </w:r>
            <w:r w:rsidR="004F1D5A" w:rsidRPr="000907B2">
              <w:rPr>
                <w:rFonts w:ascii="Times New Roman" w:hAnsi="Times New Roman"/>
                <w:sz w:val="24"/>
                <w:szCs w:val="24"/>
              </w:rPr>
              <w:t xml:space="preserve">. </w:t>
            </w:r>
            <w:r w:rsidR="00263CEB" w:rsidRPr="000907B2">
              <w:rPr>
                <w:rFonts w:ascii="Times New Roman" w:hAnsi="Times New Roman"/>
                <w:sz w:val="24"/>
                <w:szCs w:val="24"/>
              </w:rPr>
              <w:t>apakšpunkts</w:t>
            </w:r>
            <w:r w:rsidR="004F1D5A" w:rsidRPr="000907B2">
              <w:rPr>
                <w:rFonts w:ascii="Times New Roman" w:hAnsi="Times New Roman"/>
                <w:sz w:val="24"/>
                <w:szCs w:val="24"/>
              </w:rPr>
              <w:t>.</w:t>
            </w:r>
          </w:p>
          <w:p w14:paraId="21340DA8" w14:textId="254AF1EA" w:rsidR="009D024D" w:rsidRPr="00787771" w:rsidRDefault="009D024D" w:rsidP="005949CB">
            <w:pPr>
              <w:pStyle w:val="ListParagraph"/>
              <w:numPr>
                <w:ilvl w:val="0"/>
                <w:numId w:val="34"/>
              </w:numPr>
              <w:spacing w:before="240" w:after="120"/>
              <w:ind w:left="396" w:right="254" w:hanging="231"/>
              <w:jc w:val="both"/>
              <w:rPr>
                <w:rFonts w:ascii="Times New Roman" w:hAnsi="Times New Roman"/>
                <w:i/>
                <w:sz w:val="24"/>
                <w:szCs w:val="24"/>
              </w:rPr>
            </w:pPr>
            <w:r w:rsidRPr="00787771">
              <w:rPr>
                <w:rFonts w:ascii="Times New Roman" w:hAnsi="Times New Roman"/>
                <w:i/>
                <w:sz w:val="24"/>
                <w:szCs w:val="24"/>
              </w:rPr>
              <w:t>I</w:t>
            </w:r>
            <w:r w:rsidR="00E42388" w:rsidRPr="00787771">
              <w:rPr>
                <w:rFonts w:ascii="Times New Roman" w:hAnsi="Times New Roman"/>
                <w:i/>
                <w:sz w:val="24"/>
                <w:szCs w:val="24"/>
              </w:rPr>
              <w:t>esp</w:t>
            </w:r>
            <w:r w:rsidRPr="00787771">
              <w:rPr>
                <w:rFonts w:ascii="Times New Roman" w:hAnsi="Times New Roman"/>
                <w:i/>
                <w:sz w:val="24"/>
                <w:szCs w:val="24"/>
              </w:rPr>
              <w:t>ēja</w:t>
            </w:r>
            <w:r w:rsidR="00E42388" w:rsidRPr="00787771">
              <w:rPr>
                <w:rFonts w:ascii="Times New Roman" w:hAnsi="Times New Roman"/>
                <w:i/>
                <w:sz w:val="24"/>
                <w:szCs w:val="24"/>
              </w:rPr>
              <w:t xml:space="preserve"> </w:t>
            </w:r>
            <w:r w:rsidR="003F5050" w:rsidRPr="00787771">
              <w:rPr>
                <w:rFonts w:ascii="Times New Roman" w:hAnsi="Times New Roman"/>
                <w:i/>
                <w:sz w:val="24"/>
                <w:szCs w:val="24"/>
              </w:rPr>
              <w:t>ģimenēm ar bērniem līdz 12 mēnešiem</w:t>
            </w:r>
            <w:r w:rsidRPr="00787771">
              <w:rPr>
                <w:rFonts w:ascii="Times New Roman" w:hAnsi="Times New Roman"/>
                <w:i/>
                <w:sz w:val="24"/>
                <w:szCs w:val="24"/>
              </w:rPr>
              <w:t>,</w:t>
            </w:r>
            <w:r w:rsidR="003F5050" w:rsidRPr="00787771">
              <w:rPr>
                <w:rFonts w:ascii="Times New Roman" w:hAnsi="Times New Roman"/>
                <w:i/>
                <w:sz w:val="24"/>
                <w:szCs w:val="24"/>
              </w:rPr>
              <w:t xml:space="preserve"> </w:t>
            </w:r>
            <w:r w:rsidRPr="00787771">
              <w:rPr>
                <w:rFonts w:ascii="Times New Roman" w:hAnsi="Times New Roman"/>
                <w:i/>
                <w:sz w:val="24"/>
                <w:szCs w:val="24"/>
              </w:rPr>
              <w:t>atbilstoši individuālajām zīdaiņa vecumposma vajadzībām</w:t>
            </w:r>
            <w:r w:rsidR="00787771" w:rsidRPr="00787771">
              <w:rPr>
                <w:rFonts w:ascii="Times New Roman" w:hAnsi="Times New Roman"/>
                <w:i/>
                <w:sz w:val="24"/>
                <w:szCs w:val="24"/>
              </w:rPr>
              <w:t xml:space="preserve"> attiecībā uz bērna svaru autiņbiksīšu izmantošanas gadījumā</w:t>
            </w:r>
            <w:r w:rsidRPr="00787771">
              <w:rPr>
                <w:rFonts w:ascii="Times New Roman" w:hAnsi="Times New Roman"/>
                <w:i/>
                <w:sz w:val="24"/>
                <w:szCs w:val="24"/>
              </w:rPr>
              <w:t xml:space="preserve">, </w:t>
            </w:r>
            <w:r w:rsidR="00CB5109" w:rsidRPr="00787771">
              <w:rPr>
                <w:rFonts w:ascii="Times New Roman" w:hAnsi="Times New Roman"/>
                <w:i/>
                <w:sz w:val="24"/>
                <w:szCs w:val="24"/>
              </w:rPr>
              <w:t>izvēlēties šo noteikumu 9.4.2. vai 9.4.3. apakšpunktā minēto higiēnas preču komplektu</w:t>
            </w:r>
            <w:r w:rsidR="00787771" w:rsidRPr="00787771">
              <w:rPr>
                <w:rFonts w:ascii="Times New Roman" w:hAnsi="Times New Roman"/>
                <w:i/>
                <w:sz w:val="24"/>
                <w:szCs w:val="24"/>
              </w:rPr>
              <w:t xml:space="preserve">, ņemot vērā, ka 9.4.2. apakšpunktā minētajos komplektos ir bērnu autiņbiksītes, kas paredzētas </w:t>
            </w:r>
            <w:proofErr w:type="gramStart"/>
            <w:r w:rsidR="00787771" w:rsidRPr="00787771">
              <w:rPr>
                <w:rFonts w:ascii="Times New Roman" w:hAnsi="Times New Roman"/>
                <w:i/>
                <w:sz w:val="24"/>
                <w:szCs w:val="24"/>
              </w:rPr>
              <w:t>no 5 – 9</w:t>
            </w:r>
            <w:proofErr w:type="gramEnd"/>
            <w:r w:rsidR="00787771" w:rsidRPr="00787771">
              <w:rPr>
                <w:rFonts w:ascii="Times New Roman" w:hAnsi="Times New Roman"/>
                <w:i/>
                <w:sz w:val="24"/>
                <w:szCs w:val="24"/>
              </w:rPr>
              <w:t xml:space="preserve"> kg, bet 9.4.3. apakšpunktā minētajos komplektos – no 7 – 18 kg.</w:t>
            </w:r>
          </w:p>
          <w:p w14:paraId="7D343FF3" w14:textId="6DA9E44E" w:rsidR="00CB5109" w:rsidRPr="00787771" w:rsidRDefault="005949CB" w:rsidP="005949CB">
            <w:pPr>
              <w:pStyle w:val="ListParagraph"/>
              <w:spacing w:before="240" w:after="120"/>
              <w:ind w:left="396" w:right="254" w:hanging="231"/>
              <w:jc w:val="both"/>
              <w:rPr>
                <w:rFonts w:ascii="Times New Roman" w:hAnsi="Times New Roman"/>
                <w:i/>
                <w:sz w:val="24"/>
                <w:szCs w:val="24"/>
              </w:rPr>
            </w:pPr>
            <w:r>
              <w:rPr>
                <w:rFonts w:ascii="Times New Roman" w:hAnsi="Times New Roman"/>
                <w:sz w:val="24"/>
                <w:szCs w:val="24"/>
              </w:rPr>
              <w:t xml:space="preserve">   </w:t>
            </w:r>
            <w:r w:rsidR="00CB5109" w:rsidRPr="00787771">
              <w:rPr>
                <w:rFonts w:ascii="Times New Roman" w:hAnsi="Times New Roman"/>
                <w:sz w:val="24"/>
                <w:szCs w:val="24"/>
              </w:rPr>
              <w:t>Minēto paredz Noteikumu projekta 1.</w:t>
            </w:r>
            <w:r w:rsidR="008A4FA0">
              <w:rPr>
                <w:rFonts w:ascii="Times New Roman" w:hAnsi="Times New Roman"/>
                <w:sz w:val="24"/>
                <w:szCs w:val="24"/>
              </w:rPr>
              <w:t>5</w:t>
            </w:r>
            <w:r w:rsidR="00CB5109" w:rsidRPr="00787771">
              <w:rPr>
                <w:rFonts w:ascii="Times New Roman" w:hAnsi="Times New Roman"/>
                <w:sz w:val="24"/>
                <w:szCs w:val="24"/>
              </w:rPr>
              <w:t>. apakšpunkts.</w:t>
            </w:r>
          </w:p>
          <w:p w14:paraId="3DFED9BE" w14:textId="083E968D" w:rsidR="004F1D5A" w:rsidRPr="000907B2" w:rsidRDefault="004F1D5A" w:rsidP="005949CB">
            <w:pPr>
              <w:pStyle w:val="ListParagraph"/>
              <w:numPr>
                <w:ilvl w:val="0"/>
                <w:numId w:val="34"/>
              </w:numPr>
              <w:spacing w:before="240" w:after="120"/>
              <w:ind w:left="396" w:right="254" w:hanging="231"/>
              <w:jc w:val="both"/>
              <w:rPr>
                <w:rFonts w:ascii="Times New Roman" w:hAnsi="Times New Roman"/>
                <w:i/>
                <w:sz w:val="24"/>
                <w:szCs w:val="24"/>
              </w:rPr>
            </w:pPr>
            <w:r w:rsidRPr="000907B2">
              <w:rPr>
                <w:rFonts w:ascii="Times New Roman" w:hAnsi="Times New Roman"/>
                <w:i/>
                <w:sz w:val="24"/>
                <w:szCs w:val="24"/>
              </w:rPr>
              <w:t xml:space="preserve">Fonda papildpasākumu veidu </w:t>
            </w:r>
            <w:r w:rsidR="00263CEB" w:rsidRPr="000907B2">
              <w:rPr>
                <w:rFonts w:ascii="Times New Roman" w:hAnsi="Times New Roman"/>
                <w:i/>
                <w:sz w:val="24"/>
                <w:szCs w:val="24"/>
              </w:rPr>
              <w:t>precizēšana</w:t>
            </w:r>
            <w:r w:rsidRPr="000907B2">
              <w:rPr>
                <w:rFonts w:ascii="Times New Roman" w:hAnsi="Times New Roman"/>
                <w:i/>
                <w:sz w:val="24"/>
                <w:szCs w:val="24"/>
              </w:rPr>
              <w:t xml:space="preserve">, </w:t>
            </w:r>
            <w:r w:rsidR="00263CEB" w:rsidRPr="000907B2">
              <w:rPr>
                <w:rFonts w:ascii="Times New Roman" w:hAnsi="Times New Roman"/>
                <w:i/>
                <w:sz w:val="24"/>
                <w:szCs w:val="24"/>
              </w:rPr>
              <w:t xml:space="preserve">iezīmējot </w:t>
            </w:r>
            <w:r w:rsidR="00D61739" w:rsidRPr="000907B2">
              <w:rPr>
                <w:rFonts w:ascii="Times New Roman" w:hAnsi="Times New Roman"/>
                <w:i/>
                <w:sz w:val="24"/>
                <w:szCs w:val="24"/>
              </w:rPr>
              <w:t xml:space="preserve">dalību socializēšanas pasākumos </w:t>
            </w:r>
            <w:r w:rsidR="00263CEB" w:rsidRPr="000907B2">
              <w:rPr>
                <w:rFonts w:ascii="Times New Roman" w:hAnsi="Times New Roman"/>
                <w:i/>
                <w:sz w:val="24"/>
                <w:szCs w:val="24"/>
              </w:rPr>
              <w:t xml:space="preserve">kā </w:t>
            </w:r>
            <w:r w:rsidR="00D61739" w:rsidRPr="000907B2">
              <w:rPr>
                <w:rFonts w:ascii="Times New Roman" w:hAnsi="Times New Roman"/>
                <w:i/>
                <w:sz w:val="24"/>
                <w:szCs w:val="24"/>
              </w:rPr>
              <w:t xml:space="preserve">atsevišķu </w:t>
            </w:r>
            <w:r w:rsidR="00263CEB" w:rsidRPr="000907B2">
              <w:rPr>
                <w:rFonts w:ascii="Times New Roman" w:hAnsi="Times New Roman"/>
                <w:i/>
                <w:sz w:val="24"/>
                <w:szCs w:val="24"/>
              </w:rPr>
              <w:t>sociālās atstumtības mazinošu papildpasākumu grupu līdz</w:t>
            </w:r>
            <w:r w:rsidRPr="000907B2">
              <w:rPr>
                <w:rFonts w:ascii="Times New Roman" w:hAnsi="Times New Roman"/>
                <w:i/>
                <w:sz w:val="24"/>
                <w:szCs w:val="24"/>
              </w:rPr>
              <w:t>tekus līdzšinējiem pasākumiem</w:t>
            </w:r>
            <w:r w:rsidR="00D61739" w:rsidRPr="000907B2">
              <w:rPr>
                <w:rFonts w:ascii="Times New Roman" w:hAnsi="Times New Roman"/>
                <w:i/>
                <w:sz w:val="24"/>
                <w:szCs w:val="24"/>
              </w:rPr>
              <w:t>.</w:t>
            </w:r>
          </w:p>
          <w:p w14:paraId="2BBBF441" w14:textId="3E08F54D" w:rsidR="004F1D5A" w:rsidRPr="000907B2" w:rsidRDefault="005949CB" w:rsidP="005949CB">
            <w:pPr>
              <w:pStyle w:val="ListParagraph"/>
              <w:spacing w:before="240" w:after="240"/>
              <w:ind w:left="397" w:right="254" w:hanging="231"/>
              <w:jc w:val="both"/>
              <w:rPr>
                <w:rFonts w:ascii="Times New Roman" w:hAnsi="Times New Roman"/>
                <w:sz w:val="24"/>
                <w:szCs w:val="24"/>
              </w:rPr>
            </w:pPr>
            <w:r>
              <w:rPr>
                <w:rFonts w:ascii="Times New Roman" w:hAnsi="Times New Roman"/>
                <w:sz w:val="24"/>
                <w:szCs w:val="24"/>
              </w:rPr>
              <w:t xml:space="preserve">   </w:t>
            </w:r>
            <w:r w:rsidR="004F1D5A" w:rsidRPr="000907B2">
              <w:rPr>
                <w:rFonts w:ascii="Times New Roman" w:hAnsi="Times New Roman"/>
                <w:sz w:val="24"/>
                <w:szCs w:val="24"/>
              </w:rPr>
              <w:t>Minēto paredz Noteikumu projekta 1.</w:t>
            </w:r>
            <w:r w:rsidR="008A4FA0">
              <w:rPr>
                <w:rFonts w:ascii="Times New Roman" w:hAnsi="Times New Roman"/>
                <w:sz w:val="24"/>
                <w:szCs w:val="24"/>
              </w:rPr>
              <w:t>6</w:t>
            </w:r>
            <w:r w:rsidR="004F1D5A" w:rsidRPr="000907B2">
              <w:rPr>
                <w:rFonts w:ascii="Times New Roman" w:hAnsi="Times New Roman"/>
                <w:sz w:val="24"/>
                <w:szCs w:val="24"/>
              </w:rPr>
              <w:t>.apakšpunkts.</w:t>
            </w:r>
          </w:p>
          <w:p w14:paraId="0B0DA314" w14:textId="77777777" w:rsidR="00787771" w:rsidRPr="000907B2" w:rsidRDefault="00787771" w:rsidP="005949CB">
            <w:pPr>
              <w:pStyle w:val="ListParagraph"/>
              <w:numPr>
                <w:ilvl w:val="0"/>
                <w:numId w:val="34"/>
              </w:numPr>
              <w:spacing w:after="120"/>
              <w:ind w:left="406" w:right="254" w:hanging="231"/>
              <w:jc w:val="both"/>
              <w:rPr>
                <w:rFonts w:ascii="Times New Roman" w:hAnsi="Times New Roman"/>
                <w:i/>
                <w:sz w:val="24"/>
                <w:szCs w:val="24"/>
              </w:rPr>
            </w:pPr>
            <w:r w:rsidRPr="000907B2">
              <w:rPr>
                <w:rFonts w:ascii="Times New Roman" w:hAnsi="Times New Roman"/>
                <w:i/>
                <w:sz w:val="24"/>
                <w:szCs w:val="24"/>
              </w:rPr>
              <w:t>Tiesību piešķiršana sadarbības iestādei pagarināt partnerorganizāciju līgumus vai vienošanās uz laiku, kas nav ilgāks par vienu gadu, gadījumā, kad līdz darbības programmas īstenošanas noslēgumam ir daži mēneši un jaunas partnerorganizāciju atlases sludināšana nav lietderīga.</w:t>
            </w:r>
          </w:p>
          <w:p w14:paraId="78C2B55B" w14:textId="2D8C7DC8" w:rsidR="002D1A84" w:rsidRPr="002D1A84" w:rsidRDefault="005949CB" w:rsidP="005949CB">
            <w:pPr>
              <w:pStyle w:val="ListParagraph"/>
              <w:ind w:left="406" w:right="254" w:hanging="231"/>
              <w:jc w:val="both"/>
              <w:rPr>
                <w:rFonts w:ascii="Times New Roman" w:hAnsi="Times New Roman"/>
                <w:i/>
                <w:sz w:val="24"/>
                <w:szCs w:val="24"/>
              </w:rPr>
            </w:pPr>
            <w:r>
              <w:rPr>
                <w:rFonts w:ascii="Times New Roman" w:hAnsi="Times New Roman"/>
                <w:sz w:val="24"/>
                <w:szCs w:val="24"/>
              </w:rPr>
              <w:t xml:space="preserve">    </w:t>
            </w:r>
            <w:r w:rsidR="00787771" w:rsidRPr="000907B2">
              <w:rPr>
                <w:rFonts w:ascii="Times New Roman" w:hAnsi="Times New Roman"/>
                <w:sz w:val="24"/>
                <w:szCs w:val="24"/>
              </w:rPr>
              <w:t xml:space="preserve">Minēto paredz Noteikumu projekta </w:t>
            </w:r>
            <w:r w:rsidR="00787771">
              <w:rPr>
                <w:rFonts w:ascii="Times New Roman" w:hAnsi="Times New Roman"/>
                <w:sz w:val="24"/>
                <w:szCs w:val="24"/>
              </w:rPr>
              <w:t>1.</w:t>
            </w:r>
            <w:r w:rsidR="008A4FA0">
              <w:rPr>
                <w:rFonts w:ascii="Times New Roman" w:hAnsi="Times New Roman"/>
                <w:sz w:val="24"/>
                <w:szCs w:val="24"/>
              </w:rPr>
              <w:t>7</w:t>
            </w:r>
            <w:r w:rsidR="00787771">
              <w:rPr>
                <w:rFonts w:ascii="Times New Roman" w:hAnsi="Times New Roman"/>
                <w:sz w:val="24"/>
                <w:szCs w:val="24"/>
              </w:rPr>
              <w:t>.</w:t>
            </w:r>
            <w:r w:rsidR="00787771" w:rsidRPr="000907B2">
              <w:rPr>
                <w:rFonts w:ascii="Times New Roman" w:hAnsi="Times New Roman"/>
                <w:sz w:val="24"/>
                <w:szCs w:val="24"/>
              </w:rPr>
              <w:t xml:space="preserve"> </w:t>
            </w:r>
            <w:r w:rsidR="00787771">
              <w:rPr>
                <w:rFonts w:ascii="Times New Roman" w:hAnsi="Times New Roman"/>
                <w:sz w:val="24"/>
                <w:szCs w:val="24"/>
              </w:rPr>
              <w:t>apakš</w:t>
            </w:r>
            <w:r w:rsidR="00787771" w:rsidRPr="000907B2">
              <w:rPr>
                <w:rFonts w:ascii="Times New Roman" w:hAnsi="Times New Roman"/>
                <w:sz w:val="24"/>
                <w:szCs w:val="24"/>
              </w:rPr>
              <w:t>punkts.</w:t>
            </w:r>
          </w:p>
          <w:p w14:paraId="0CCD6440" w14:textId="13CC929B" w:rsidR="00487B6F" w:rsidRPr="00787771" w:rsidRDefault="004A7568" w:rsidP="005949CB">
            <w:pPr>
              <w:pStyle w:val="ListParagraph"/>
              <w:numPr>
                <w:ilvl w:val="0"/>
                <w:numId w:val="34"/>
              </w:numPr>
              <w:ind w:left="406" w:right="254" w:hanging="231"/>
              <w:jc w:val="both"/>
              <w:rPr>
                <w:rFonts w:ascii="Times New Roman" w:hAnsi="Times New Roman"/>
                <w:i/>
                <w:sz w:val="24"/>
                <w:szCs w:val="24"/>
              </w:rPr>
            </w:pPr>
            <w:r w:rsidRPr="00787771">
              <w:rPr>
                <w:rFonts w:ascii="Times New Roman" w:hAnsi="Times New Roman"/>
                <w:i/>
                <w:sz w:val="24"/>
                <w:szCs w:val="24"/>
              </w:rPr>
              <w:t>R</w:t>
            </w:r>
            <w:r w:rsidR="00487B6F" w:rsidRPr="00787771">
              <w:rPr>
                <w:rFonts w:ascii="Times New Roman" w:hAnsi="Times New Roman"/>
                <w:i/>
                <w:sz w:val="24"/>
                <w:szCs w:val="24"/>
              </w:rPr>
              <w:t>edakc</w:t>
            </w:r>
            <w:r w:rsidR="008A4FA0">
              <w:rPr>
                <w:rFonts w:ascii="Times New Roman" w:hAnsi="Times New Roman"/>
                <w:i/>
                <w:sz w:val="24"/>
                <w:szCs w:val="24"/>
              </w:rPr>
              <w:t xml:space="preserve">ionāli precizējumi attiecībā uz šo noteikumu 4.1. apakšpunktā minēto vispārīgo kritēriju attiecināšanu uz personām, kas pretendē uz visu veidu Fonda atbalsta saņēmējiem, </w:t>
            </w:r>
            <w:r w:rsidRPr="00787771">
              <w:rPr>
                <w:rFonts w:ascii="Times New Roman" w:hAnsi="Times New Roman"/>
                <w:i/>
                <w:sz w:val="24"/>
                <w:szCs w:val="24"/>
              </w:rPr>
              <w:t xml:space="preserve">partnerorganizāciju pieredzes vērtēšanu atlases vērtēšanas kritēriju ietvaros, nodalot vērtēšanu gadījumā, </w:t>
            </w:r>
            <w:proofErr w:type="gramStart"/>
            <w:r w:rsidRPr="00787771">
              <w:rPr>
                <w:rFonts w:ascii="Times New Roman" w:hAnsi="Times New Roman"/>
                <w:i/>
                <w:sz w:val="24"/>
                <w:szCs w:val="24"/>
              </w:rPr>
              <w:t>ja partnerorganizācija iesniegumā paredzējusi nodrošināt tikai komplektu izdali un papildpasākumus vai tikai maltītes nodrošināšanu un papildpasākumus</w:t>
            </w:r>
            <w:proofErr w:type="gramEnd"/>
            <w:r w:rsidRPr="00787771">
              <w:rPr>
                <w:rFonts w:ascii="Times New Roman" w:hAnsi="Times New Roman"/>
                <w:i/>
                <w:sz w:val="24"/>
                <w:szCs w:val="24"/>
              </w:rPr>
              <w:t xml:space="preserve"> vai abus kopā</w:t>
            </w:r>
            <w:r w:rsidR="00814C54" w:rsidRPr="00787771">
              <w:rPr>
                <w:rFonts w:ascii="Times New Roman" w:hAnsi="Times New Roman"/>
                <w:i/>
                <w:sz w:val="24"/>
                <w:szCs w:val="24"/>
              </w:rPr>
              <w:t xml:space="preserve">, kā arī </w:t>
            </w:r>
            <w:r w:rsidR="007A6FEA" w:rsidRPr="00787771">
              <w:rPr>
                <w:rFonts w:ascii="Times New Roman" w:hAnsi="Times New Roman"/>
                <w:i/>
                <w:sz w:val="24"/>
                <w:szCs w:val="24"/>
              </w:rPr>
              <w:t xml:space="preserve">PO teritoriālā pārklājuma kritērija vērtēšanā </w:t>
            </w:r>
            <w:r w:rsidR="00814C54" w:rsidRPr="00787771">
              <w:rPr>
                <w:rFonts w:ascii="Times New Roman" w:hAnsi="Times New Roman"/>
                <w:i/>
                <w:sz w:val="24"/>
                <w:szCs w:val="24"/>
              </w:rPr>
              <w:t xml:space="preserve">paredzot, ka pilna atbalsta nodrošināšanai katrā izdales teritorijā tiek </w:t>
            </w:r>
            <w:r w:rsidR="007A6FEA" w:rsidRPr="00787771">
              <w:rPr>
                <w:rFonts w:ascii="Times New Roman" w:hAnsi="Times New Roman"/>
                <w:i/>
                <w:sz w:val="24"/>
                <w:szCs w:val="24"/>
              </w:rPr>
              <w:t xml:space="preserve">ņemta vērā </w:t>
            </w:r>
            <w:r w:rsidR="00814C54" w:rsidRPr="00787771">
              <w:rPr>
                <w:rFonts w:ascii="Times New Roman" w:hAnsi="Times New Roman"/>
                <w:b/>
                <w:i/>
                <w:sz w:val="24"/>
                <w:szCs w:val="24"/>
              </w:rPr>
              <w:t>vidēji</w:t>
            </w:r>
            <w:r w:rsidR="00814C54" w:rsidRPr="00787771">
              <w:rPr>
                <w:rFonts w:ascii="Times New Roman" w:hAnsi="Times New Roman"/>
                <w:i/>
                <w:sz w:val="24"/>
                <w:szCs w:val="24"/>
              </w:rPr>
              <w:t xml:space="preserve"> viena izdales</w:t>
            </w:r>
            <w:r w:rsidR="009D024D" w:rsidRPr="00787771">
              <w:rPr>
                <w:rFonts w:ascii="Times New Roman" w:hAnsi="Times New Roman"/>
                <w:i/>
                <w:sz w:val="24"/>
                <w:szCs w:val="24"/>
              </w:rPr>
              <w:t xml:space="preserve"> vieta uz </w:t>
            </w:r>
            <w:r w:rsidR="007A6FEA" w:rsidRPr="00787771">
              <w:rPr>
                <w:rFonts w:ascii="Times New Roman" w:hAnsi="Times New Roman"/>
                <w:i/>
                <w:sz w:val="24"/>
                <w:szCs w:val="24"/>
              </w:rPr>
              <w:t xml:space="preserve">attiecīgo 3.4.2.1. – 3.4.2.3. apakšpunktos noteikto </w:t>
            </w:r>
            <w:r w:rsidR="009D024D" w:rsidRPr="00787771">
              <w:rPr>
                <w:rFonts w:ascii="Times New Roman" w:hAnsi="Times New Roman"/>
                <w:i/>
                <w:sz w:val="24"/>
                <w:szCs w:val="24"/>
              </w:rPr>
              <w:t>prognozēt</w:t>
            </w:r>
            <w:r w:rsidR="007A6FEA" w:rsidRPr="00787771">
              <w:rPr>
                <w:rFonts w:ascii="Times New Roman" w:hAnsi="Times New Roman"/>
                <w:i/>
                <w:sz w:val="24"/>
                <w:szCs w:val="24"/>
              </w:rPr>
              <w:t>o</w:t>
            </w:r>
            <w:r w:rsidR="009D024D" w:rsidRPr="00787771">
              <w:rPr>
                <w:rFonts w:ascii="Times New Roman" w:hAnsi="Times New Roman"/>
                <w:i/>
                <w:sz w:val="24"/>
                <w:szCs w:val="24"/>
              </w:rPr>
              <w:t xml:space="preserve"> atbalstām</w:t>
            </w:r>
            <w:r w:rsidR="007A6FEA" w:rsidRPr="00787771">
              <w:rPr>
                <w:rFonts w:ascii="Times New Roman" w:hAnsi="Times New Roman"/>
                <w:i/>
                <w:sz w:val="24"/>
                <w:szCs w:val="24"/>
              </w:rPr>
              <w:t>o</w:t>
            </w:r>
            <w:r w:rsidR="009D024D" w:rsidRPr="00787771">
              <w:rPr>
                <w:rFonts w:ascii="Times New Roman" w:hAnsi="Times New Roman"/>
                <w:i/>
                <w:sz w:val="24"/>
                <w:szCs w:val="24"/>
              </w:rPr>
              <w:t xml:space="preserve"> person</w:t>
            </w:r>
            <w:r w:rsidR="007A6FEA" w:rsidRPr="00787771">
              <w:rPr>
                <w:rFonts w:ascii="Times New Roman" w:hAnsi="Times New Roman"/>
                <w:i/>
                <w:sz w:val="24"/>
                <w:szCs w:val="24"/>
              </w:rPr>
              <w:t>u skaitu</w:t>
            </w:r>
            <w:r w:rsidRPr="00787771">
              <w:rPr>
                <w:rFonts w:ascii="Times New Roman" w:hAnsi="Times New Roman"/>
                <w:i/>
                <w:sz w:val="24"/>
                <w:szCs w:val="24"/>
              </w:rPr>
              <w:t>.</w:t>
            </w:r>
          </w:p>
          <w:p w14:paraId="251D2533" w14:textId="169C6771" w:rsidR="00487B6F" w:rsidRPr="000907B2" w:rsidRDefault="004A7568" w:rsidP="008A4FA0">
            <w:pPr>
              <w:pStyle w:val="ListParagraph"/>
              <w:spacing w:before="240" w:after="120"/>
              <w:ind w:left="396" w:right="254"/>
              <w:jc w:val="both"/>
              <w:rPr>
                <w:rFonts w:ascii="Times New Roman" w:hAnsi="Times New Roman"/>
                <w:sz w:val="24"/>
                <w:szCs w:val="24"/>
              </w:rPr>
            </w:pPr>
            <w:r w:rsidRPr="000907B2">
              <w:rPr>
                <w:rFonts w:ascii="Times New Roman" w:hAnsi="Times New Roman"/>
                <w:sz w:val="24"/>
                <w:szCs w:val="24"/>
              </w:rPr>
              <w:t xml:space="preserve">Minēto paredz Noteikumu </w:t>
            </w:r>
            <w:r w:rsidRPr="002D1A84">
              <w:rPr>
                <w:rFonts w:ascii="Times New Roman" w:hAnsi="Times New Roman"/>
                <w:sz w:val="24"/>
                <w:szCs w:val="24"/>
              </w:rPr>
              <w:t xml:space="preserve">projekta </w:t>
            </w:r>
            <w:r w:rsidR="008A4FA0">
              <w:rPr>
                <w:rFonts w:ascii="Times New Roman" w:hAnsi="Times New Roman"/>
                <w:sz w:val="24"/>
                <w:szCs w:val="24"/>
              </w:rPr>
              <w:t xml:space="preserve">1.1., </w:t>
            </w:r>
            <w:r w:rsidRPr="002D1A84">
              <w:rPr>
                <w:rFonts w:ascii="Times New Roman" w:hAnsi="Times New Roman"/>
                <w:sz w:val="24"/>
                <w:szCs w:val="24"/>
              </w:rPr>
              <w:t>1.</w:t>
            </w:r>
            <w:r w:rsidR="008A4FA0">
              <w:rPr>
                <w:rFonts w:ascii="Times New Roman" w:hAnsi="Times New Roman"/>
                <w:sz w:val="24"/>
                <w:szCs w:val="24"/>
              </w:rPr>
              <w:t>8</w:t>
            </w:r>
            <w:r w:rsidRPr="002D1A84">
              <w:rPr>
                <w:rFonts w:ascii="Times New Roman" w:hAnsi="Times New Roman"/>
                <w:sz w:val="24"/>
                <w:szCs w:val="24"/>
              </w:rPr>
              <w:t>.</w:t>
            </w:r>
            <w:r w:rsidR="00814C54" w:rsidRPr="002D1A84">
              <w:rPr>
                <w:rFonts w:ascii="Times New Roman" w:hAnsi="Times New Roman"/>
                <w:sz w:val="24"/>
                <w:szCs w:val="24"/>
              </w:rPr>
              <w:t>, 1.</w:t>
            </w:r>
            <w:r w:rsidR="008A4FA0">
              <w:rPr>
                <w:rFonts w:ascii="Times New Roman" w:hAnsi="Times New Roman"/>
                <w:sz w:val="24"/>
                <w:szCs w:val="24"/>
              </w:rPr>
              <w:t>9</w:t>
            </w:r>
            <w:r w:rsidR="00814C54" w:rsidRPr="002D1A84">
              <w:rPr>
                <w:rFonts w:ascii="Times New Roman" w:hAnsi="Times New Roman"/>
                <w:sz w:val="24"/>
                <w:szCs w:val="24"/>
              </w:rPr>
              <w:t>.</w:t>
            </w:r>
            <w:r w:rsidRPr="002D1A84">
              <w:rPr>
                <w:rFonts w:ascii="Times New Roman" w:hAnsi="Times New Roman"/>
                <w:sz w:val="24"/>
                <w:szCs w:val="24"/>
              </w:rPr>
              <w:t xml:space="preserve"> un 1.</w:t>
            </w:r>
            <w:r w:rsidR="008A4FA0">
              <w:rPr>
                <w:rFonts w:ascii="Times New Roman" w:hAnsi="Times New Roman"/>
                <w:sz w:val="24"/>
                <w:szCs w:val="24"/>
              </w:rPr>
              <w:t>10</w:t>
            </w:r>
            <w:r w:rsidRPr="002D1A84">
              <w:rPr>
                <w:rFonts w:ascii="Times New Roman" w:hAnsi="Times New Roman"/>
                <w:sz w:val="24"/>
                <w:szCs w:val="24"/>
              </w:rPr>
              <w:t xml:space="preserve">. </w:t>
            </w:r>
            <w:r w:rsidR="00D61739" w:rsidRPr="002D1A84">
              <w:rPr>
                <w:rFonts w:ascii="Times New Roman" w:hAnsi="Times New Roman"/>
                <w:sz w:val="24"/>
                <w:szCs w:val="24"/>
              </w:rPr>
              <w:t>apakšpunkts</w:t>
            </w:r>
            <w:r w:rsidRPr="000907B2">
              <w:rPr>
                <w:rFonts w:ascii="Times New Roman" w:hAnsi="Times New Roman"/>
                <w:sz w:val="24"/>
                <w:szCs w:val="24"/>
              </w:rPr>
              <w:t>.</w:t>
            </w:r>
          </w:p>
        </w:tc>
      </w:tr>
      <w:tr w:rsidR="00487B6F" w:rsidRPr="000907B2" w14:paraId="3D1AB37F" w14:textId="77777777" w:rsidTr="006A609A">
        <w:tblPrEx>
          <w:shd w:val="clear" w:color="auto" w:fill="auto"/>
          <w:tblCellMar>
            <w:top w:w="30" w:type="dxa"/>
            <w:left w:w="30" w:type="dxa"/>
            <w:bottom w:w="30" w:type="dxa"/>
            <w:right w:w="30" w:type="dxa"/>
          </w:tblCellMar>
        </w:tblPrEx>
        <w:trPr>
          <w:trHeight w:val="1519"/>
        </w:trPr>
        <w:tc>
          <w:tcPr>
            <w:tcW w:w="554" w:type="dxa"/>
            <w:gridSpan w:val="2"/>
            <w:hideMark/>
          </w:tcPr>
          <w:p w14:paraId="3A7D33FC" w14:textId="2E0284AB" w:rsidR="00487B6F" w:rsidRPr="000907B2" w:rsidRDefault="00487B6F" w:rsidP="00FF06AF">
            <w:pPr>
              <w:spacing w:line="276" w:lineRule="auto"/>
              <w:jc w:val="center"/>
            </w:pPr>
            <w:r w:rsidRPr="000907B2">
              <w:lastRenderedPageBreak/>
              <w:t>3.</w:t>
            </w:r>
          </w:p>
        </w:tc>
        <w:tc>
          <w:tcPr>
            <w:tcW w:w="1794" w:type="dxa"/>
            <w:gridSpan w:val="2"/>
            <w:hideMark/>
          </w:tcPr>
          <w:p w14:paraId="70401001" w14:textId="77777777" w:rsidR="00487B6F" w:rsidRPr="000907B2" w:rsidRDefault="00487B6F" w:rsidP="00FF06AF">
            <w:pPr>
              <w:spacing w:line="276" w:lineRule="auto"/>
            </w:pPr>
            <w:r w:rsidRPr="000907B2">
              <w:t xml:space="preserve">Projekta izstrādē iesaistītās institūcijas un publiskas </w:t>
            </w:r>
            <w:r w:rsidRPr="000907B2">
              <w:lastRenderedPageBreak/>
              <w:t>personas kapitālsabiedrības</w:t>
            </w:r>
          </w:p>
        </w:tc>
        <w:tc>
          <w:tcPr>
            <w:tcW w:w="7717" w:type="dxa"/>
            <w:gridSpan w:val="3"/>
            <w:hideMark/>
          </w:tcPr>
          <w:p w14:paraId="64B2DED0" w14:textId="7834D796" w:rsidR="00487B6F" w:rsidRPr="000907B2" w:rsidRDefault="00F21DDE" w:rsidP="00FF06AF">
            <w:pPr>
              <w:spacing w:line="276" w:lineRule="auto"/>
              <w:jc w:val="both"/>
            </w:pPr>
            <w:r>
              <w:rPr>
                <w:bCs/>
              </w:rPr>
              <w:lastRenderedPageBreak/>
              <w:t>Sabiedrības integrācijas fonds</w:t>
            </w:r>
          </w:p>
        </w:tc>
      </w:tr>
      <w:tr w:rsidR="00487B6F" w:rsidRPr="000907B2" w14:paraId="524B8AA3" w14:textId="77777777" w:rsidTr="006A609A">
        <w:tblPrEx>
          <w:shd w:val="clear" w:color="auto" w:fill="auto"/>
          <w:tblCellMar>
            <w:top w:w="30" w:type="dxa"/>
            <w:left w:w="30" w:type="dxa"/>
            <w:bottom w:w="30" w:type="dxa"/>
            <w:right w:w="30" w:type="dxa"/>
          </w:tblCellMar>
        </w:tblPrEx>
        <w:tc>
          <w:tcPr>
            <w:tcW w:w="554" w:type="dxa"/>
            <w:gridSpan w:val="2"/>
            <w:hideMark/>
          </w:tcPr>
          <w:p w14:paraId="4464D21F" w14:textId="77777777" w:rsidR="00487B6F" w:rsidRPr="000907B2" w:rsidRDefault="00487B6F" w:rsidP="00FF06AF">
            <w:pPr>
              <w:spacing w:line="276" w:lineRule="auto"/>
              <w:jc w:val="center"/>
            </w:pPr>
            <w:r w:rsidRPr="000907B2">
              <w:t>4.</w:t>
            </w:r>
          </w:p>
        </w:tc>
        <w:tc>
          <w:tcPr>
            <w:tcW w:w="1794" w:type="dxa"/>
            <w:gridSpan w:val="2"/>
            <w:hideMark/>
          </w:tcPr>
          <w:p w14:paraId="6ADDD7EF" w14:textId="77777777" w:rsidR="00487B6F" w:rsidRPr="000907B2" w:rsidRDefault="00487B6F" w:rsidP="00FF06AF">
            <w:pPr>
              <w:spacing w:line="276" w:lineRule="auto"/>
            </w:pPr>
            <w:r w:rsidRPr="000907B2">
              <w:t>Cita informācija</w:t>
            </w:r>
          </w:p>
        </w:tc>
        <w:tc>
          <w:tcPr>
            <w:tcW w:w="7717" w:type="dxa"/>
            <w:gridSpan w:val="3"/>
            <w:hideMark/>
          </w:tcPr>
          <w:p w14:paraId="5BB1E282" w14:textId="77777777" w:rsidR="00487B6F" w:rsidRPr="000907B2" w:rsidRDefault="00487B6F" w:rsidP="00FF06AF">
            <w:pPr>
              <w:spacing w:line="276" w:lineRule="auto"/>
            </w:pPr>
            <w:r w:rsidRPr="000907B2">
              <w:t>Nav.</w:t>
            </w:r>
          </w:p>
        </w:tc>
      </w:tr>
      <w:tr w:rsidR="00487B6F" w:rsidRPr="000907B2" w14:paraId="5BF585FC" w14:textId="77777777" w:rsidTr="006A609A">
        <w:tblPrEx>
          <w:shd w:val="clear" w:color="auto" w:fill="auto"/>
          <w:tblCellMar>
            <w:top w:w="30" w:type="dxa"/>
            <w:left w:w="30" w:type="dxa"/>
            <w:bottom w:w="30" w:type="dxa"/>
            <w:right w:w="30" w:type="dxa"/>
          </w:tblCellMar>
        </w:tblPrEx>
        <w:trPr>
          <w:gridBefore w:val="1"/>
          <w:wBefore w:w="35" w:type="dxa"/>
          <w:cantSplit/>
          <w:trHeight w:val="527"/>
        </w:trPr>
        <w:tc>
          <w:tcPr>
            <w:tcW w:w="10030" w:type="dxa"/>
            <w:gridSpan w:val="6"/>
            <w:vAlign w:val="center"/>
            <w:hideMark/>
          </w:tcPr>
          <w:p w14:paraId="37128142" w14:textId="423BF99B" w:rsidR="00487B6F" w:rsidRPr="00947FCE" w:rsidRDefault="00487B6F" w:rsidP="00947FCE">
            <w:pPr>
              <w:spacing w:line="276" w:lineRule="auto"/>
              <w:ind w:left="-65"/>
              <w:jc w:val="center"/>
              <w:rPr>
                <w:b/>
                <w:bCs/>
              </w:rPr>
            </w:pPr>
            <w:r w:rsidRPr="00947FCE">
              <w:rPr>
                <w:b/>
                <w:bCs/>
              </w:rPr>
              <w:t>II. Tiesību akta projekta ietekme uz sabiedrību, tautsaimniecības attīstību un administratīvo slogu</w:t>
            </w:r>
          </w:p>
        </w:tc>
      </w:tr>
      <w:tr w:rsidR="00487B6F" w:rsidRPr="000907B2" w14:paraId="4016B8B8" w14:textId="77777777" w:rsidTr="006A609A">
        <w:tblPrEx>
          <w:shd w:val="clear" w:color="auto" w:fill="auto"/>
          <w:tblCellMar>
            <w:top w:w="30" w:type="dxa"/>
            <w:left w:w="30" w:type="dxa"/>
            <w:bottom w:w="30" w:type="dxa"/>
            <w:right w:w="30" w:type="dxa"/>
          </w:tblCellMar>
        </w:tblPrEx>
        <w:trPr>
          <w:gridBefore w:val="1"/>
          <w:wBefore w:w="35" w:type="dxa"/>
          <w:cantSplit/>
        </w:trPr>
        <w:tc>
          <w:tcPr>
            <w:tcW w:w="894" w:type="dxa"/>
            <w:gridSpan w:val="2"/>
            <w:hideMark/>
          </w:tcPr>
          <w:p w14:paraId="7521F98C" w14:textId="77777777" w:rsidR="00487B6F" w:rsidRPr="000907B2" w:rsidRDefault="00487B6F" w:rsidP="00FF06AF">
            <w:pPr>
              <w:spacing w:line="276" w:lineRule="auto"/>
              <w:jc w:val="center"/>
            </w:pPr>
            <w:r w:rsidRPr="000907B2">
              <w:t>1.</w:t>
            </w:r>
          </w:p>
        </w:tc>
        <w:tc>
          <w:tcPr>
            <w:tcW w:w="2474" w:type="dxa"/>
            <w:gridSpan w:val="3"/>
            <w:hideMark/>
          </w:tcPr>
          <w:p w14:paraId="336F6A5E" w14:textId="77777777" w:rsidR="00487B6F" w:rsidRPr="000907B2" w:rsidRDefault="00487B6F" w:rsidP="00FF06AF">
            <w:pPr>
              <w:spacing w:line="276" w:lineRule="auto"/>
            </w:pPr>
            <w:r w:rsidRPr="000907B2">
              <w:t>Sabiedrības mērķgrupas, kuras tiesiskais regulējums ietekmē vai varētu ietekmēt</w:t>
            </w:r>
          </w:p>
        </w:tc>
        <w:tc>
          <w:tcPr>
            <w:tcW w:w="6662" w:type="dxa"/>
            <w:hideMark/>
          </w:tcPr>
          <w:p w14:paraId="273C4980" w14:textId="77777777" w:rsidR="00D16060" w:rsidRPr="000907B2" w:rsidRDefault="00D16060" w:rsidP="00947FCE">
            <w:pPr>
              <w:pStyle w:val="ListParagraph"/>
              <w:spacing w:after="0"/>
              <w:ind w:left="318" w:hanging="318"/>
              <w:jc w:val="both"/>
              <w:rPr>
                <w:rFonts w:ascii="Times New Roman" w:hAnsi="Times New Roman"/>
                <w:sz w:val="24"/>
                <w:szCs w:val="24"/>
              </w:rPr>
            </w:pPr>
            <w:r w:rsidRPr="000907B2">
              <w:rPr>
                <w:rFonts w:ascii="Times New Roman" w:hAnsi="Times New Roman"/>
                <w:sz w:val="24"/>
                <w:szCs w:val="24"/>
              </w:rPr>
              <w:t>Tiešās mērķgrupas:</w:t>
            </w:r>
          </w:p>
          <w:p w14:paraId="4EDC6BFF" w14:textId="77777777" w:rsidR="00D16060" w:rsidRPr="000907B2" w:rsidRDefault="00D16060" w:rsidP="00947FCE">
            <w:pPr>
              <w:pStyle w:val="ListParagraph"/>
              <w:numPr>
                <w:ilvl w:val="0"/>
                <w:numId w:val="5"/>
              </w:numPr>
              <w:spacing w:after="0"/>
              <w:ind w:left="386" w:hanging="217"/>
              <w:jc w:val="both"/>
              <w:rPr>
                <w:rFonts w:ascii="Times New Roman" w:hAnsi="Times New Roman"/>
                <w:sz w:val="24"/>
                <w:szCs w:val="24"/>
              </w:rPr>
            </w:pPr>
            <w:r w:rsidRPr="000907B2">
              <w:rPr>
                <w:rFonts w:ascii="Times New Roman" w:hAnsi="Times New Roman"/>
                <w:sz w:val="24"/>
                <w:szCs w:val="24"/>
              </w:rPr>
              <w:t>ģimenes (personas), kuras</w:t>
            </w:r>
          </w:p>
          <w:p w14:paraId="7927EDD3" w14:textId="77777777" w:rsidR="00D16060" w:rsidRPr="000907B2" w:rsidRDefault="00D16060" w:rsidP="00947FCE">
            <w:pPr>
              <w:pStyle w:val="ListParagraph"/>
              <w:numPr>
                <w:ilvl w:val="0"/>
                <w:numId w:val="53"/>
              </w:numPr>
              <w:spacing w:after="0"/>
              <w:ind w:left="254" w:hanging="142"/>
              <w:jc w:val="both"/>
              <w:rPr>
                <w:rFonts w:ascii="Times New Roman" w:hAnsi="Times New Roman"/>
                <w:sz w:val="24"/>
                <w:szCs w:val="24"/>
              </w:rPr>
            </w:pPr>
            <w:r w:rsidRPr="000907B2">
              <w:rPr>
                <w:rFonts w:ascii="Times New Roman" w:hAnsi="Times New Roman"/>
                <w:sz w:val="24"/>
                <w:szCs w:val="24"/>
              </w:rPr>
              <w:t>atzītas par trūcīgām;</w:t>
            </w:r>
          </w:p>
          <w:p w14:paraId="0BDBAFD7" w14:textId="77777777" w:rsidR="00D16060" w:rsidRPr="000907B2" w:rsidRDefault="00D16060" w:rsidP="00947FCE">
            <w:pPr>
              <w:pStyle w:val="ListParagraph"/>
              <w:numPr>
                <w:ilvl w:val="0"/>
                <w:numId w:val="53"/>
              </w:numPr>
              <w:spacing w:after="0"/>
              <w:ind w:left="254" w:hanging="142"/>
              <w:jc w:val="both"/>
              <w:rPr>
                <w:rFonts w:ascii="Times New Roman" w:hAnsi="Times New Roman"/>
                <w:sz w:val="24"/>
                <w:szCs w:val="24"/>
              </w:rPr>
            </w:pPr>
            <w:r w:rsidRPr="000907B2">
              <w:rPr>
                <w:rFonts w:ascii="Times New Roman" w:hAnsi="Times New Roman"/>
                <w:sz w:val="24"/>
                <w:szCs w:val="24"/>
              </w:rPr>
              <w:t>atzītas par maznodrošinātām un atbilstošām Fonda atbalsta saņemšanai;</w:t>
            </w:r>
          </w:p>
          <w:p w14:paraId="05F58C12" w14:textId="77777777" w:rsidR="00D16060" w:rsidRPr="000907B2" w:rsidRDefault="00D16060" w:rsidP="00947FCE">
            <w:pPr>
              <w:pStyle w:val="ListParagraph"/>
              <w:numPr>
                <w:ilvl w:val="0"/>
                <w:numId w:val="53"/>
              </w:numPr>
              <w:spacing w:after="0"/>
              <w:ind w:left="254" w:hanging="142"/>
              <w:jc w:val="both"/>
              <w:rPr>
                <w:rFonts w:ascii="Times New Roman" w:hAnsi="Times New Roman"/>
                <w:sz w:val="24"/>
                <w:szCs w:val="24"/>
              </w:rPr>
            </w:pPr>
            <w:r w:rsidRPr="000907B2">
              <w:rPr>
                <w:rFonts w:ascii="Times New Roman" w:hAnsi="Times New Roman"/>
                <w:sz w:val="24"/>
                <w:szCs w:val="24"/>
              </w:rPr>
              <w:t>nonākušas krīzes situācijā;</w:t>
            </w:r>
          </w:p>
          <w:p w14:paraId="380B5486" w14:textId="77777777" w:rsidR="00D16060" w:rsidRPr="000907B2" w:rsidRDefault="00D16060" w:rsidP="00947FCE">
            <w:pPr>
              <w:pStyle w:val="ListParagraph"/>
              <w:numPr>
                <w:ilvl w:val="0"/>
                <w:numId w:val="5"/>
              </w:numPr>
              <w:spacing w:after="0"/>
              <w:ind w:left="386" w:hanging="217"/>
              <w:jc w:val="both"/>
              <w:rPr>
                <w:rFonts w:ascii="Times New Roman" w:hAnsi="Times New Roman"/>
                <w:sz w:val="24"/>
                <w:szCs w:val="24"/>
              </w:rPr>
            </w:pPr>
            <w:r w:rsidRPr="000907B2">
              <w:rPr>
                <w:rFonts w:ascii="Times New Roman" w:hAnsi="Times New Roman"/>
                <w:sz w:val="24"/>
                <w:szCs w:val="24"/>
              </w:rPr>
              <w:t>pašvaldību sociālie dienesti, kuri izsniedz izziņu par trūcīgas ģimenes</w:t>
            </w:r>
            <w:r w:rsidRPr="000907B2">
              <w:rPr>
                <w:rFonts w:ascii="Times New Roman" w:eastAsia="Times New Roman" w:hAnsi="Times New Roman"/>
                <w:sz w:val="24"/>
                <w:szCs w:val="24"/>
                <w:lang w:eastAsia="lv-LV"/>
              </w:rPr>
              <w:t xml:space="preserve"> (</w:t>
            </w:r>
            <w:r w:rsidRPr="000907B2">
              <w:rPr>
                <w:rFonts w:ascii="Times New Roman" w:hAnsi="Times New Roman"/>
                <w:sz w:val="24"/>
                <w:szCs w:val="24"/>
              </w:rPr>
              <w:t xml:space="preserve">personas) statusu, maznodrošinātas ģimenes (personas) statusu un atbilstību Fonda atbalsta saņemšanai vai krīzes situāciju; </w:t>
            </w:r>
          </w:p>
          <w:p w14:paraId="25B6652F" w14:textId="77777777" w:rsidR="00D16060" w:rsidRPr="000907B2" w:rsidRDefault="00D16060" w:rsidP="00947FCE">
            <w:pPr>
              <w:pStyle w:val="ListParagraph"/>
              <w:numPr>
                <w:ilvl w:val="0"/>
                <w:numId w:val="5"/>
              </w:numPr>
              <w:tabs>
                <w:tab w:val="left" w:pos="592"/>
              </w:tabs>
              <w:spacing w:after="0"/>
              <w:ind w:left="385" w:hanging="215"/>
              <w:jc w:val="both"/>
              <w:rPr>
                <w:rFonts w:ascii="Times New Roman" w:hAnsi="Times New Roman"/>
                <w:sz w:val="24"/>
                <w:szCs w:val="24"/>
              </w:rPr>
            </w:pPr>
            <w:r w:rsidRPr="000907B2">
              <w:rPr>
                <w:rFonts w:ascii="Times New Roman" w:hAnsi="Times New Roman"/>
                <w:sz w:val="24"/>
                <w:szCs w:val="24"/>
              </w:rPr>
              <w:t>nevalstiskas un reliģiskas organizācijas, pašvaldības vai pašvaldību iestādes, kuras ir partnerorganizācijas.</w:t>
            </w:r>
          </w:p>
          <w:p w14:paraId="734F30F9" w14:textId="1FFBCD8D" w:rsidR="00F157B8" w:rsidRPr="000907B2" w:rsidRDefault="00D16060" w:rsidP="00947FCE">
            <w:pPr>
              <w:spacing w:line="276" w:lineRule="auto"/>
              <w:jc w:val="both"/>
            </w:pPr>
            <w:r w:rsidRPr="000907B2">
              <w:t>Netiešā mērķgrupa – pārtikas vai pamata materiālās palīdzības preču piegādātāji, kuri izvēlēti atbilstoši publisko iepirkumu normatīvam regulējumam.</w:t>
            </w:r>
          </w:p>
        </w:tc>
      </w:tr>
      <w:tr w:rsidR="00947FCE" w:rsidRPr="000907B2" w14:paraId="5CB530C3" w14:textId="77777777" w:rsidTr="006A609A">
        <w:tblPrEx>
          <w:shd w:val="clear" w:color="auto" w:fill="auto"/>
          <w:tblCellMar>
            <w:top w:w="30" w:type="dxa"/>
            <w:left w:w="30" w:type="dxa"/>
            <w:bottom w:w="30" w:type="dxa"/>
            <w:right w:w="30" w:type="dxa"/>
          </w:tblCellMar>
        </w:tblPrEx>
        <w:trPr>
          <w:gridBefore w:val="1"/>
          <w:wBefore w:w="35" w:type="dxa"/>
          <w:cantSplit/>
        </w:trPr>
        <w:tc>
          <w:tcPr>
            <w:tcW w:w="894" w:type="dxa"/>
            <w:gridSpan w:val="2"/>
          </w:tcPr>
          <w:p w14:paraId="1420F6B3" w14:textId="662DC53B" w:rsidR="00947FCE" w:rsidRPr="000907B2" w:rsidRDefault="00947FCE" w:rsidP="00947FCE">
            <w:pPr>
              <w:spacing w:line="276" w:lineRule="auto"/>
              <w:jc w:val="center"/>
            </w:pPr>
            <w:r w:rsidRPr="000907B2">
              <w:t xml:space="preserve">2. </w:t>
            </w:r>
          </w:p>
        </w:tc>
        <w:tc>
          <w:tcPr>
            <w:tcW w:w="2474" w:type="dxa"/>
            <w:gridSpan w:val="3"/>
          </w:tcPr>
          <w:p w14:paraId="4FA4F955" w14:textId="04F44E91" w:rsidR="00947FCE" w:rsidRPr="000907B2" w:rsidRDefault="00947FCE" w:rsidP="00947FCE">
            <w:pPr>
              <w:spacing w:line="276" w:lineRule="auto"/>
            </w:pPr>
            <w:r w:rsidRPr="000907B2">
              <w:t>Tiesiskā regulējuma ietekme uz tautsaimniecību un administratīvo slogu</w:t>
            </w:r>
          </w:p>
        </w:tc>
        <w:tc>
          <w:tcPr>
            <w:tcW w:w="6662" w:type="dxa"/>
          </w:tcPr>
          <w:p w14:paraId="06FE1696" w14:textId="32EB135B" w:rsidR="00947FCE" w:rsidRPr="000907B2" w:rsidRDefault="00947FCE" w:rsidP="00947FCE">
            <w:pPr>
              <w:pStyle w:val="ListParagraph"/>
              <w:spacing w:after="0"/>
              <w:ind w:left="318" w:hanging="318"/>
              <w:jc w:val="both"/>
              <w:rPr>
                <w:rFonts w:ascii="Times New Roman" w:hAnsi="Times New Roman"/>
                <w:sz w:val="24"/>
                <w:szCs w:val="24"/>
              </w:rPr>
            </w:pPr>
            <w:r w:rsidRPr="00947FCE">
              <w:rPr>
                <w:rFonts w:ascii="Times New Roman" w:hAnsi="Times New Roman"/>
                <w:sz w:val="24"/>
                <w:szCs w:val="24"/>
              </w:rPr>
              <w:t>1.</w:t>
            </w:r>
            <w:r w:rsidRPr="00947FCE">
              <w:rPr>
                <w:rFonts w:ascii="Times New Roman" w:hAnsi="Times New Roman"/>
                <w:sz w:val="24"/>
                <w:szCs w:val="24"/>
              </w:rPr>
              <w:tab/>
              <w:t>Tiesiskais regulējums neparedz tiešu ietekmi uz tautsaimniecību, bet tas saistīts ar ieguldījumiem nabadzības mazināšanas un sociālās iekļaušanas jomā. Kaut arī pārtikas un pamata materiālās palīdzības preču izdalīšana vistrūcīgākajiem iedzīvotājiem nevar redzami mainīt kopējo dziļas materiālās nenodrošinātības rādītāju, tomēr atvieglo vistrūcīgāko iedzīvotāju un mājsaimniecību budžeta slogu, vienlaikus sniedzot ieguldījumu uztura nodrošināšanai. Joprojām augstais dziļas materiālās nenodrošinātības rādītājs (Saskaņā ar CSP datiem - 11,3% no visiem iedzīvotājiem 2017. gadā) pamato nepieciešamību turpināt pārtikas nodrošināšanas aktivitātes vistrūcīgākajiem iedzīvotājiem, tās papildinot ar pamata materiālās palīdzības preču izdalīšanu ne tikai ģimenēm ar bērniem, bet visu vecumu personām, izmantojot šim mērķim Fonda finansējumu.</w:t>
            </w:r>
          </w:p>
        </w:tc>
      </w:tr>
      <w:tr w:rsidR="00947FCE" w:rsidRPr="000907B2" w14:paraId="478A15B6" w14:textId="77777777" w:rsidTr="006A609A">
        <w:tblPrEx>
          <w:shd w:val="clear" w:color="auto" w:fill="auto"/>
          <w:tblCellMar>
            <w:top w:w="30" w:type="dxa"/>
            <w:left w:w="30" w:type="dxa"/>
            <w:bottom w:w="30" w:type="dxa"/>
            <w:right w:w="30" w:type="dxa"/>
          </w:tblCellMar>
        </w:tblPrEx>
        <w:trPr>
          <w:gridBefore w:val="1"/>
          <w:wBefore w:w="35" w:type="dxa"/>
          <w:cantSplit/>
        </w:trPr>
        <w:tc>
          <w:tcPr>
            <w:tcW w:w="894" w:type="dxa"/>
            <w:gridSpan w:val="2"/>
          </w:tcPr>
          <w:p w14:paraId="1617395A" w14:textId="77777777" w:rsidR="00947FCE" w:rsidRDefault="00947FCE" w:rsidP="00947FCE">
            <w:pPr>
              <w:spacing w:line="276" w:lineRule="auto"/>
              <w:jc w:val="center"/>
            </w:pPr>
          </w:p>
          <w:p w14:paraId="1F9EABB3" w14:textId="20CA9086" w:rsidR="00947FCE" w:rsidRPr="000907B2" w:rsidRDefault="00947FCE" w:rsidP="00947FCE">
            <w:pPr>
              <w:spacing w:line="276" w:lineRule="auto"/>
              <w:jc w:val="center"/>
            </w:pPr>
          </w:p>
        </w:tc>
        <w:tc>
          <w:tcPr>
            <w:tcW w:w="2474" w:type="dxa"/>
            <w:gridSpan w:val="3"/>
          </w:tcPr>
          <w:p w14:paraId="252DB384" w14:textId="2CDA00FD" w:rsidR="00947FCE" w:rsidRPr="000907B2" w:rsidRDefault="00947FCE" w:rsidP="00947FCE">
            <w:pPr>
              <w:spacing w:line="276" w:lineRule="auto"/>
            </w:pPr>
            <w:r w:rsidRPr="000907B2">
              <w:t>Tiesiskā regulējuma ietekme uz tautsaimniecību un administratīvo slogu</w:t>
            </w:r>
          </w:p>
        </w:tc>
        <w:tc>
          <w:tcPr>
            <w:tcW w:w="6662" w:type="dxa"/>
          </w:tcPr>
          <w:p w14:paraId="654C9F59" w14:textId="04A50505" w:rsidR="00947FCE" w:rsidRPr="000907B2" w:rsidRDefault="00947FCE" w:rsidP="00947FCE">
            <w:pPr>
              <w:pStyle w:val="ListParagraph"/>
              <w:spacing w:after="0"/>
              <w:ind w:left="318" w:hanging="318"/>
              <w:jc w:val="both"/>
              <w:rPr>
                <w:rFonts w:ascii="Times New Roman" w:hAnsi="Times New Roman"/>
                <w:sz w:val="24"/>
                <w:szCs w:val="24"/>
              </w:rPr>
            </w:pPr>
            <w:r w:rsidRPr="000907B2">
              <w:rPr>
                <w:rFonts w:ascii="Times New Roman" w:hAnsi="Times New Roman"/>
                <w:sz w:val="24"/>
                <w:szCs w:val="24"/>
              </w:rPr>
              <w:t>2. Saistībā ar normatīvā regulējumā noteikto, ka sociālās palīdzības nodrošināšana ir pašvaldību autonomā funkcija</w:t>
            </w:r>
            <w:r w:rsidRPr="000907B2">
              <w:rPr>
                <w:rFonts w:ascii="Times New Roman" w:hAnsi="Times New Roman"/>
                <w:sz w:val="24"/>
                <w:szCs w:val="24"/>
                <w:vertAlign w:val="superscript"/>
              </w:rPr>
              <w:footnoteReference w:id="8"/>
            </w:r>
            <w:r w:rsidRPr="000907B2">
              <w:rPr>
                <w:rFonts w:ascii="Times New Roman" w:hAnsi="Times New Roman"/>
                <w:sz w:val="24"/>
                <w:szCs w:val="24"/>
              </w:rPr>
              <w:t>, ģimenes (personas) atbilstību Fonda atbalsta saņemšanai apliecina pašvaldības sociālā dienesta (turpmāk – sociālais dienests) izziņa. Sociālie dienesti vērtē ģimenes (personas) ienākumus un materiālā stāvokļa līmeni saskaņā ar normatīvajiem aktiem sociālo pakalpojumu un sociālās palīdzības jomā un izsniedz izziņu par ģimenes (personas) atbilstību trūcīgas vai maznodrošinātas ģimenes (personas) statusam</w:t>
            </w:r>
            <w:r w:rsidRPr="000907B2">
              <w:rPr>
                <w:rStyle w:val="FootnoteReference"/>
                <w:sz w:val="24"/>
                <w:szCs w:val="24"/>
              </w:rPr>
              <w:footnoteReference w:id="9"/>
            </w:r>
            <w:r w:rsidRPr="000907B2">
              <w:rPr>
                <w:rFonts w:ascii="Times New Roman" w:hAnsi="Times New Roman"/>
                <w:sz w:val="24"/>
                <w:szCs w:val="24"/>
              </w:rPr>
              <w:t xml:space="preserve">, kas pamato atbalsta nepieciešamību. </w:t>
            </w:r>
          </w:p>
        </w:tc>
      </w:tr>
      <w:tr w:rsidR="00947FCE" w:rsidRPr="000907B2" w14:paraId="359C5E05" w14:textId="77777777" w:rsidTr="006A609A">
        <w:tblPrEx>
          <w:shd w:val="clear" w:color="auto" w:fill="auto"/>
          <w:tblCellMar>
            <w:top w:w="30" w:type="dxa"/>
            <w:left w:w="30" w:type="dxa"/>
            <w:bottom w:w="30" w:type="dxa"/>
            <w:right w:w="30" w:type="dxa"/>
          </w:tblCellMar>
        </w:tblPrEx>
        <w:trPr>
          <w:gridBefore w:val="1"/>
          <w:wBefore w:w="35" w:type="dxa"/>
          <w:cantSplit/>
        </w:trPr>
        <w:tc>
          <w:tcPr>
            <w:tcW w:w="894" w:type="dxa"/>
            <w:gridSpan w:val="2"/>
          </w:tcPr>
          <w:p w14:paraId="22A07997" w14:textId="77777777" w:rsidR="00947FCE" w:rsidRDefault="00947FCE" w:rsidP="00947FCE">
            <w:pPr>
              <w:spacing w:line="276" w:lineRule="auto"/>
              <w:jc w:val="center"/>
            </w:pPr>
          </w:p>
        </w:tc>
        <w:tc>
          <w:tcPr>
            <w:tcW w:w="2474" w:type="dxa"/>
            <w:gridSpan w:val="3"/>
          </w:tcPr>
          <w:p w14:paraId="01656895" w14:textId="77777777" w:rsidR="00947FCE" w:rsidRPr="000907B2" w:rsidRDefault="00947FCE" w:rsidP="00947FCE">
            <w:pPr>
              <w:spacing w:line="276" w:lineRule="auto"/>
            </w:pPr>
          </w:p>
        </w:tc>
        <w:tc>
          <w:tcPr>
            <w:tcW w:w="6662" w:type="dxa"/>
          </w:tcPr>
          <w:p w14:paraId="1629F5F7" w14:textId="678EFD7B" w:rsidR="00947FCE" w:rsidRPr="00947FCE" w:rsidRDefault="00947FCE" w:rsidP="00947FCE">
            <w:pPr>
              <w:pStyle w:val="ListParagraph"/>
              <w:ind w:left="318" w:hanging="318"/>
              <w:jc w:val="both"/>
              <w:rPr>
                <w:rFonts w:ascii="Times New Roman" w:hAnsi="Times New Roman"/>
                <w:sz w:val="24"/>
                <w:szCs w:val="24"/>
              </w:rPr>
            </w:pPr>
            <w:r>
              <w:rPr>
                <w:rFonts w:ascii="Times New Roman" w:hAnsi="Times New Roman"/>
                <w:sz w:val="24"/>
                <w:szCs w:val="24"/>
              </w:rPr>
              <w:t>3</w:t>
            </w:r>
            <w:r w:rsidRPr="00947FCE">
              <w:rPr>
                <w:rFonts w:ascii="Times New Roman" w:hAnsi="Times New Roman"/>
                <w:sz w:val="24"/>
                <w:szCs w:val="24"/>
              </w:rPr>
              <w:t>. Grozījumi paredz paplašināt Fonda atbalsta saņēmēju loku, balstoties uz esošām sociālā dienesta izziņām par ienākumiem un materiālā stāvokļa līmeni. Rīcība nerada papildus administratīvo slogu sociālajiem dienestiem, jo 2018. gadā visas pašvaldības ir noteikušas savos saistošajos noteikumos atbalstu ģimenēm (personām) pēc ienākumu un materiālā stāvokļa izvērtēšanas, kā arī veic šo izvērtēšanu un izsniedz izziņas.</w:t>
            </w:r>
          </w:p>
          <w:p w14:paraId="62CDC47E" w14:textId="77777777" w:rsidR="00947FCE" w:rsidRPr="00947FCE" w:rsidRDefault="00947FCE" w:rsidP="00947FCE">
            <w:pPr>
              <w:pStyle w:val="ListParagraph"/>
              <w:ind w:left="318" w:hanging="64"/>
              <w:jc w:val="both"/>
              <w:rPr>
                <w:rFonts w:ascii="Times New Roman" w:hAnsi="Times New Roman"/>
                <w:sz w:val="24"/>
                <w:szCs w:val="24"/>
              </w:rPr>
            </w:pPr>
            <w:r w:rsidRPr="00947FCE">
              <w:rPr>
                <w:rFonts w:ascii="Times New Roman" w:hAnsi="Times New Roman"/>
                <w:sz w:val="24"/>
                <w:szCs w:val="24"/>
              </w:rPr>
              <w:t>Noteikumu projekts neuzliek jaunus pienākumus pašvaldību sociālo dienestu sociālā darba speciālistiem, jo klientu materiālās situācijas izvērtēšana sociālās palīdzības un sociālo pakalpojumu piešķiršanai ir sociālā dienesta uzdevums.</w:t>
            </w:r>
          </w:p>
          <w:p w14:paraId="0AF805B8" w14:textId="77777777" w:rsidR="00947FCE" w:rsidRPr="00947FCE" w:rsidRDefault="00947FCE" w:rsidP="00947FCE">
            <w:pPr>
              <w:pStyle w:val="ListParagraph"/>
              <w:ind w:left="318" w:hanging="64"/>
              <w:jc w:val="both"/>
              <w:rPr>
                <w:rFonts w:ascii="Times New Roman" w:hAnsi="Times New Roman"/>
                <w:sz w:val="24"/>
                <w:szCs w:val="24"/>
              </w:rPr>
            </w:pPr>
            <w:r w:rsidRPr="00947FCE">
              <w:rPr>
                <w:rFonts w:ascii="Times New Roman" w:hAnsi="Times New Roman"/>
                <w:sz w:val="24"/>
                <w:szCs w:val="24"/>
              </w:rPr>
              <w:t>Noteikumu projekts neparedz jaunus pienākumus informācijas vākšanā, biežumā, apstrādē, uzglabāšanā, nepalielina to apjomu.</w:t>
            </w:r>
          </w:p>
          <w:p w14:paraId="6800258E" w14:textId="77777777" w:rsidR="00947FCE" w:rsidRPr="00947FCE" w:rsidRDefault="00947FCE" w:rsidP="00947FCE">
            <w:pPr>
              <w:pStyle w:val="ListParagraph"/>
              <w:ind w:left="318" w:hanging="64"/>
              <w:jc w:val="both"/>
              <w:rPr>
                <w:rFonts w:ascii="Times New Roman" w:hAnsi="Times New Roman"/>
                <w:sz w:val="24"/>
                <w:szCs w:val="24"/>
              </w:rPr>
            </w:pPr>
            <w:r w:rsidRPr="00947FCE">
              <w:rPr>
                <w:rFonts w:ascii="Times New Roman" w:hAnsi="Times New Roman"/>
                <w:sz w:val="24"/>
                <w:szCs w:val="24"/>
              </w:rPr>
              <w:t>Sociālais dienests jau patlaban izsniedz izziņu krīzes situācijas risināšanai gadījumos, kad ģimenei vai atsevišķi dzīvojoša personai nepieciešama tūlītēja palīdzība, kā arī sniedz partnerorganizācijām aktuālu informāciju par iespējamo atbalsta saņēmēju skaitu attiecīgajā pilsētā vai novadā un informē tos par Fonda atbalsta iespējām.</w:t>
            </w:r>
          </w:p>
          <w:p w14:paraId="524EC2A3" w14:textId="77777777" w:rsidR="00947FCE" w:rsidRDefault="00947FCE" w:rsidP="00947FCE">
            <w:pPr>
              <w:pStyle w:val="ListParagraph"/>
              <w:spacing w:after="0"/>
              <w:ind w:left="318" w:hanging="64"/>
              <w:jc w:val="both"/>
              <w:rPr>
                <w:rFonts w:ascii="Times New Roman" w:hAnsi="Times New Roman"/>
                <w:sz w:val="24"/>
                <w:szCs w:val="24"/>
              </w:rPr>
            </w:pPr>
            <w:r w:rsidRPr="00947FCE">
              <w:rPr>
                <w:rFonts w:ascii="Times New Roman" w:hAnsi="Times New Roman"/>
                <w:sz w:val="24"/>
                <w:szCs w:val="24"/>
              </w:rPr>
              <w:t>Kopš 2018. gada 1. aprīļa sociālās palīdzības administrēšanas lietojumprogrammā SOPA ir ieviesti papildinājumi un uz 20 pašvaldību SOPA serveriem, kas apkalpo visas 119 pašvaldības, ir iestrādāta iespēja dienestiem, pirms maznodrošinātas personas izziņas izdrukas, veikt atzīmi par personas, kuras ienākumu līmeņa slieksnis ir 188 EUR, atbilstību Fonda atbalsta saņemšanai.</w:t>
            </w:r>
          </w:p>
          <w:p w14:paraId="2A69BDA0" w14:textId="1A4F72C0" w:rsidR="00947FCE" w:rsidRPr="00947FCE" w:rsidRDefault="00947FCE" w:rsidP="00947FCE">
            <w:pPr>
              <w:pStyle w:val="ListParagraph"/>
              <w:spacing w:after="0"/>
              <w:ind w:left="318" w:hanging="64"/>
              <w:jc w:val="both"/>
              <w:rPr>
                <w:rFonts w:ascii="Times New Roman" w:hAnsi="Times New Roman"/>
                <w:sz w:val="24"/>
                <w:szCs w:val="24"/>
              </w:rPr>
            </w:pPr>
            <w:r w:rsidRPr="00947FCE">
              <w:rPr>
                <w:rFonts w:ascii="Times New Roman" w:hAnsi="Times New Roman"/>
              </w:rPr>
              <w:t xml:space="preserve">Pēc Noteikumu projekta stāšanās spēkā attiecīgais ienākumu līmenis SOPA tiks palielināts no 188 EUR </w:t>
            </w:r>
            <w:r w:rsidRPr="00947FCE">
              <w:rPr>
                <w:rFonts w:ascii="Times New Roman" w:hAnsi="Times New Roman"/>
                <w:b/>
              </w:rPr>
              <w:t>uz 242 EUR.</w:t>
            </w:r>
            <w:r w:rsidRPr="00947FCE">
              <w:rPr>
                <w:rFonts w:ascii="Times New Roman" w:hAnsi="Times New Roman"/>
              </w:rPr>
              <w:t xml:space="preserve"> Tādējādi nekādas papildus izmaiņas un darbības sociālajiem dienestiem nav veicamas.</w:t>
            </w:r>
          </w:p>
        </w:tc>
      </w:tr>
      <w:tr w:rsidR="00947FCE" w:rsidRPr="000907B2" w14:paraId="20BEBAC3" w14:textId="77777777" w:rsidTr="006A609A">
        <w:tblPrEx>
          <w:shd w:val="clear" w:color="auto" w:fill="auto"/>
          <w:tblCellMar>
            <w:top w:w="30" w:type="dxa"/>
            <w:left w:w="30" w:type="dxa"/>
            <w:bottom w:w="30" w:type="dxa"/>
            <w:right w:w="30" w:type="dxa"/>
          </w:tblCellMar>
        </w:tblPrEx>
        <w:trPr>
          <w:gridBefore w:val="1"/>
          <w:wBefore w:w="35" w:type="dxa"/>
          <w:cantSplit/>
          <w:trHeight w:val="952"/>
        </w:trPr>
        <w:tc>
          <w:tcPr>
            <w:tcW w:w="894" w:type="dxa"/>
            <w:gridSpan w:val="2"/>
            <w:hideMark/>
          </w:tcPr>
          <w:p w14:paraId="42B932DA" w14:textId="1C7F151A" w:rsidR="00947FCE" w:rsidRPr="000907B2" w:rsidRDefault="00947FCE" w:rsidP="00947FCE">
            <w:pPr>
              <w:spacing w:line="276" w:lineRule="auto"/>
              <w:jc w:val="center"/>
            </w:pPr>
          </w:p>
        </w:tc>
        <w:tc>
          <w:tcPr>
            <w:tcW w:w="2474" w:type="dxa"/>
            <w:gridSpan w:val="3"/>
            <w:hideMark/>
          </w:tcPr>
          <w:p w14:paraId="55E09E06" w14:textId="3C510A05" w:rsidR="00947FCE" w:rsidRPr="000907B2" w:rsidRDefault="00947FCE" w:rsidP="00947FCE">
            <w:pPr>
              <w:spacing w:line="276" w:lineRule="auto"/>
            </w:pPr>
          </w:p>
        </w:tc>
        <w:tc>
          <w:tcPr>
            <w:tcW w:w="6662" w:type="dxa"/>
            <w:hideMark/>
          </w:tcPr>
          <w:p w14:paraId="251B3B4D" w14:textId="3A9162B7" w:rsidR="00947FCE" w:rsidRPr="000907B2" w:rsidRDefault="00947FCE" w:rsidP="00947FCE">
            <w:pPr>
              <w:spacing w:line="276" w:lineRule="auto"/>
              <w:ind w:left="244" w:right="215" w:hanging="244"/>
              <w:jc w:val="both"/>
            </w:pPr>
            <w:r w:rsidRPr="000907B2">
              <w:rPr>
                <w:bCs/>
                <w:iCs/>
              </w:rPr>
              <w:t>4.</w:t>
            </w:r>
            <w:r w:rsidRPr="000907B2">
              <w:rPr>
                <w:iCs/>
              </w:rPr>
              <w:t xml:space="preserve"> </w:t>
            </w:r>
            <w:r w:rsidRPr="000907B2">
              <w:t>Pārējie grozījumi noteikumos ir skaidrojoši vai redakcionāli precizējoši, nav paredzētas papildus rīcības vai informācijas pieprasīšana, vai tās apstrāde.</w:t>
            </w:r>
          </w:p>
        </w:tc>
      </w:tr>
      <w:tr w:rsidR="00947FCE" w:rsidRPr="000907B2" w14:paraId="15420D11" w14:textId="77777777" w:rsidTr="006A609A">
        <w:tblPrEx>
          <w:shd w:val="clear" w:color="auto" w:fill="auto"/>
          <w:tblCellMar>
            <w:top w:w="30" w:type="dxa"/>
            <w:left w:w="30" w:type="dxa"/>
            <w:bottom w:w="30" w:type="dxa"/>
            <w:right w:w="30" w:type="dxa"/>
          </w:tblCellMar>
        </w:tblPrEx>
        <w:trPr>
          <w:gridBefore w:val="1"/>
          <w:wBefore w:w="35" w:type="dxa"/>
          <w:cantSplit/>
        </w:trPr>
        <w:tc>
          <w:tcPr>
            <w:tcW w:w="894" w:type="dxa"/>
            <w:gridSpan w:val="2"/>
            <w:hideMark/>
          </w:tcPr>
          <w:p w14:paraId="500F90BF" w14:textId="77777777" w:rsidR="00947FCE" w:rsidRPr="000907B2" w:rsidRDefault="00947FCE" w:rsidP="00947FCE">
            <w:pPr>
              <w:spacing w:line="276" w:lineRule="auto"/>
              <w:jc w:val="center"/>
            </w:pPr>
            <w:r w:rsidRPr="000907B2">
              <w:lastRenderedPageBreak/>
              <w:t>3.</w:t>
            </w:r>
          </w:p>
        </w:tc>
        <w:tc>
          <w:tcPr>
            <w:tcW w:w="2474" w:type="dxa"/>
            <w:gridSpan w:val="3"/>
            <w:hideMark/>
          </w:tcPr>
          <w:p w14:paraId="0030DB4A" w14:textId="77777777" w:rsidR="00947FCE" w:rsidRPr="000907B2" w:rsidRDefault="00947FCE" w:rsidP="00947FCE">
            <w:pPr>
              <w:spacing w:line="276" w:lineRule="auto"/>
            </w:pPr>
            <w:r w:rsidRPr="000907B2">
              <w:t>Administratīvo izmaksu monetārs novērtējums</w:t>
            </w:r>
          </w:p>
        </w:tc>
        <w:tc>
          <w:tcPr>
            <w:tcW w:w="6662" w:type="dxa"/>
            <w:hideMark/>
          </w:tcPr>
          <w:p w14:paraId="6D594892" w14:textId="77777777" w:rsidR="00947FCE" w:rsidRPr="000907B2" w:rsidRDefault="00947FCE" w:rsidP="00947FCE">
            <w:pPr>
              <w:spacing w:line="276" w:lineRule="auto"/>
            </w:pPr>
            <w:r w:rsidRPr="000907B2">
              <w:t>Projekts šo jomu neskar.</w:t>
            </w:r>
          </w:p>
        </w:tc>
      </w:tr>
      <w:tr w:rsidR="00947FCE" w:rsidRPr="000907B2" w14:paraId="5D3CE445" w14:textId="77777777" w:rsidTr="006A609A">
        <w:tblPrEx>
          <w:shd w:val="clear" w:color="auto" w:fill="auto"/>
          <w:tblCellMar>
            <w:top w:w="30" w:type="dxa"/>
            <w:left w:w="30" w:type="dxa"/>
            <w:bottom w:w="30" w:type="dxa"/>
            <w:right w:w="30" w:type="dxa"/>
          </w:tblCellMar>
        </w:tblPrEx>
        <w:trPr>
          <w:gridBefore w:val="1"/>
          <w:wBefore w:w="35" w:type="dxa"/>
          <w:cantSplit/>
        </w:trPr>
        <w:tc>
          <w:tcPr>
            <w:tcW w:w="894" w:type="dxa"/>
            <w:gridSpan w:val="2"/>
          </w:tcPr>
          <w:p w14:paraId="1CE2744F" w14:textId="33FAF20C" w:rsidR="00947FCE" w:rsidRPr="000907B2" w:rsidRDefault="00947FCE" w:rsidP="00947FCE">
            <w:pPr>
              <w:spacing w:line="276" w:lineRule="auto"/>
              <w:jc w:val="center"/>
            </w:pPr>
            <w:r w:rsidRPr="000A1F8C">
              <w:t>4.</w:t>
            </w:r>
          </w:p>
        </w:tc>
        <w:tc>
          <w:tcPr>
            <w:tcW w:w="2474" w:type="dxa"/>
            <w:gridSpan w:val="3"/>
          </w:tcPr>
          <w:p w14:paraId="3694B5AB" w14:textId="3D247440" w:rsidR="00947FCE" w:rsidRPr="000907B2" w:rsidRDefault="00947FCE" w:rsidP="00947FCE">
            <w:pPr>
              <w:spacing w:line="276" w:lineRule="auto"/>
            </w:pPr>
            <w:r w:rsidRPr="000A1F8C">
              <w:t>Atbilstības izmaksu monetārs novērtējums</w:t>
            </w:r>
          </w:p>
        </w:tc>
        <w:tc>
          <w:tcPr>
            <w:tcW w:w="6662" w:type="dxa"/>
          </w:tcPr>
          <w:p w14:paraId="020A3917" w14:textId="3A8C9670" w:rsidR="00947FCE" w:rsidRPr="000907B2" w:rsidRDefault="00947FCE" w:rsidP="00947FCE">
            <w:pPr>
              <w:spacing w:line="276" w:lineRule="auto"/>
            </w:pPr>
            <w:r w:rsidRPr="000A1F8C">
              <w:t>Projekts šo jomu neskar.</w:t>
            </w:r>
          </w:p>
        </w:tc>
      </w:tr>
      <w:tr w:rsidR="00947FCE" w:rsidRPr="000907B2" w14:paraId="5179A72D" w14:textId="77777777" w:rsidTr="006A609A">
        <w:tblPrEx>
          <w:shd w:val="clear" w:color="auto" w:fill="auto"/>
          <w:tblCellMar>
            <w:top w:w="30" w:type="dxa"/>
            <w:left w:w="30" w:type="dxa"/>
            <w:bottom w:w="30" w:type="dxa"/>
            <w:right w:w="30" w:type="dxa"/>
          </w:tblCellMar>
        </w:tblPrEx>
        <w:trPr>
          <w:gridBefore w:val="1"/>
          <w:wBefore w:w="35" w:type="dxa"/>
          <w:cantSplit/>
        </w:trPr>
        <w:tc>
          <w:tcPr>
            <w:tcW w:w="894" w:type="dxa"/>
            <w:gridSpan w:val="2"/>
            <w:hideMark/>
          </w:tcPr>
          <w:p w14:paraId="756CE67A" w14:textId="086408F8" w:rsidR="00947FCE" w:rsidRPr="000907B2" w:rsidRDefault="00947FCE" w:rsidP="00947FCE">
            <w:pPr>
              <w:spacing w:line="276" w:lineRule="auto"/>
              <w:jc w:val="center"/>
            </w:pPr>
            <w:r>
              <w:t>5</w:t>
            </w:r>
            <w:r w:rsidRPr="000907B2">
              <w:t>.</w:t>
            </w:r>
          </w:p>
        </w:tc>
        <w:tc>
          <w:tcPr>
            <w:tcW w:w="2474" w:type="dxa"/>
            <w:gridSpan w:val="3"/>
            <w:hideMark/>
          </w:tcPr>
          <w:p w14:paraId="6DD2C549" w14:textId="77777777" w:rsidR="00947FCE" w:rsidRPr="000907B2" w:rsidRDefault="00947FCE" w:rsidP="00947FCE">
            <w:pPr>
              <w:spacing w:line="276" w:lineRule="auto"/>
            </w:pPr>
            <w:r w:rsidRPr="000907B2">
              <w:t>Cita informācija</w:t>
            </w:r>
          </w:p>
        </w:tc>
        <w:tc>
          <w:tcPr>
            <w:tcW w:w="6662" w:type="dxa"/>
            <w:hideMark/>
          </w:tcPr>
          <w:p w14:paraId="49E7822C" w14:textId="1ADC6186" w:rsidR="00947FCE" w:rsidRPr="000907B2" w:rsidRDefault="00947FCE" w:rsidP="00947FCE">
            <w:pPr>
              <w:spacing w:before="120" w:after="120" w:line="276" w:lineRule="auto"/>
              <w:ind w:right="215"/>
              <w:jc w:val="both"/>
              <w:rPr>
                <w:iCs/>
              </w:rPr>
            </w:pPr>
            <w:r w:rsidRPr="000907B2">
              <w:rPr>
                <w:iCs/>
              </w:rPr>
              <w:t>Ministru kabineta 2014. gada 25. novembra noteikumu Nr. 727 “Darbības programmas “Pārtikas un pamata materiālās palīdzības sniegšanai vistrūcīgākajām personām 2014.-2020. gada plānošanas periodā” īstenošanas noteikumi” anotācijā ir iekļauta informācija par administratīvo izmaksu monetāro novērtējumu un ietekmi uz valsts budžetu</w:t>
            </w:r>
            <w:r>
              <w:rPr>
                <w:iCs/>
              </w:rPr>
              <w:t>.</w:t>
            </w:r>
            <w:r w:rsidRPr="000907B2">
              <w:rPr>
                <w:iCs/>
              </w:rPr>
              <w:t xml:space="preserve"> </w:t>
            </w:r>
            <w:r>
              <w:rPr>
                <w:iCs/>
              </w:rPr>
              <w:t>Izrietoši -</w:t>
            </w:r>
            <w:r w:rsidRPr="000907B2">
              <w:rPr>
                <w:iCs/>
              </w:rPr>
              <w:t xml:space="preserve"> noteikumu projektam, kas nemaina funkcijas, atbildības, vai procedūras jau pieņemtam tiesiskam regulējumam, atsevišķs valsts budžeta izmaksu monetārs novērtējums nav nepieciešams.</w:t>
            </w:r>
          </w:p>
        </w:tc>
      </w:tr>
    </w:tbl>
    <w:p w14:paraId="00A7D98F" w14:textId="4251E292" w:rsidR="00235A69" w:rsidRDefault="00235A69"/>
    <w:tbl>
      <w:tblPr>
        <w:tblW w:w="5472" w:type="pct"/>
        <w:tblCellSpacing w:w="1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88"/>
        <w:gridCol w:w="1775"/>
        <w:gridCol w:w="354"/>
        <w:gridCol w:w="717"/>
        <w:gridCol w:w="1044"/>
        <w:gridCol w:w="1070"/>
        <w:gridCol w:w="1044"/>
        <w:gridCol w:w="1070"/>
        <w:gridCol w:w="1044"/>
        <w:gridCol w:w="1410"/>
      </w:tblGrid>
      <w:tr w:rsidR="0021616E" w:rsidRPr="0021616E" w14:paraId="77CC5541" w14:textId="77777777" w:rsidTr="00947FCE">
        <w:trPr>
          <w:tblCellSpacing w:w="15" w:type="dxa"/>
        </w:trPr>
        <w:tc>
          <w:tcPr>
            <w:tcW w:w="4970" w:type="pct"/>
            <w:gridSpan w:val="10"/>
            <w:vAlign w:val="center"/>
            <w:hideMark/>
          </w:tcPr>
          <w:p w14:paraId="2E75C9D2" w14:textId="77777777" w:rsidR="0021616E" w:rsidRPr="0021616E" w:rsidRDefault="0021616E" w:rsidP="0021616E">
            <w:pPr>
              <w:rPr>
                <w:b/>
                <w:bCs/>
                <w:iCs/>
              </w:rPr>
            </w:pPr>
            <w:r w:rsidRPr="0021616E">
              <w:rPr>
                <w:b/>
                <w:bCs/>
                <w:iCs/>
              </w:rPr>
              <w:t>III. Tiesību akta projekta ietekme uz valsts budžetu un pašvaldību budžetiem</w:t>
            </w:r>
          </w:p>
        </w:tc>
      </w:tr>
      <w:tr w:rsidR="0021616E" w:rsidRPr="0021616E" w14:paraId="6BCF453E" w14:textId="77777777" w:rsidTr="00947FCE">
        <w:trPr>
          <w:tblCellSpacing w:w="15" w:type="dxa"/>
        </w:trPr>
        <w:tc>
          <w:tcPr>
            <w:tcW w:w="1093" w:type="pct"/>
            <w:gridSpan w:val="2"/>
            <w:vMerge w:val="restart"/>
            <w:vAlign w:val="center"/>
            <w:hideMark/>
          </w:tcPr>
          <w:p w14:paraId="74EF8D64" w14:textId="77777777" w:rsidR="0021616E" w:rsidRPr="0021616E" w:rsidRDefault="0021616E" w:rsidP="0021616E">
            <w:pPr>
              <w:rPr>
                <w:iCs/>
                <w:lang w:val="en-US"/>
              </w:rPr>
            </w:pPr>
            <w:proofErr w:type="spellStart"/>
            <w:r w:rsidRPr="0021616E">
              <w:rPr>
                <w:iCs/>
                <w:lang w:val="en-US"/>
              </w:rPr>
              <w:t>Rādītāji</w:t>
            </w:r>
            <w:proofErr w:type="spellEnd"/>
          </w:p>
        </w:tc>
        <w:tc>
          <w:tcPr>
            <w:tcW w:w="1051" w:type="pct"/>
            <w:gridSpan w:val="3"/>
            <w:vMerge w:val="restart"/>
            <w:vAlign w:val="center"/>
            <w:hideMark/>
          </w:tcPr>
          <w:p w14:paraId="251037C8" w14:textId="2E716CF2" w:rsidR="0021616E" w:rsidRPr="00A86F57" w:rsidRDefault="00A86F57" w:rsidP="00A86F57">
            <w:pPr>
              <w:jc w:val="center"/>
              <w:rPr>
                <w:b/>
                <w:iCs/>
                <w:lang w:val="en-US"/>
              </w:rPr>
            </w:pPr>
            <w:r w:rsidRPr="00A86F57">
              <w:rPr>
                <w:b/>
                <w:iCs/>
                <w:lang w:val="en-US"/>
              </w:rPr>
              <w:t>2018</w:t>
            </w:r>
          </w:p>
        </w:tc>
        <w:tc>
          <w:tcPr>
            <w:tcW w:w="2795" w:type="pct"/>
            <w:gridSpan w:val="5"/>
            <w:vAlign w:val="center"/>
            <w:hideMark/>
          </w:tcPr>
          <w:p w14:paraId="7A38B045" w14:textId="0DE684AB" w:rsidR="0021616E" w:rsidRPr="00A86F57" w:rsidRDefault="009C6B42" w:rsidP="00A86F57">
            <w:pPr>
              <w:jc w:val="center"/>
              <w:rPr>
                <w:iCs/>
                <w:lang w:val="en-US"/>
              </w:rPr>
            </w:pPr>
            <w:proofErr w:type="spellStart"/>
            <w:r>
              <w:rPr>
                <w:iCs/>
                <w:lang w:val="en-US"/>
              </w:rPr>
              <w:t>Turpmākie</w:t>
            </w:r>
            <w:proofErr w:type="spellEnd"/>
            <w:r>
              <w:rPr>
                <w:iCs/>
                <w:lang w:val="en-US"/>
              </w:rPr>
              <w:t xml:space="preserve"> </w:t>
            </w:r>
            <w:proofErr w:type="spellStart"/>
            <w:r>
              <w:rPr>
                <w:iCs/>
                <w:lang w:val="en-US"/>
              </w:rPr>
              <w:t>trīs</w:t>
            </w:r>
            <w:proofErr w:type="spellEnd"/>
            <w:r>
              <w:rPr>
                <w:iCs/>
                <w:lang w:val="en-US"/>
              </w:rPr>
              <w:t xml:space="preserve"> </w:t>
            </w:r>
            <w:proofErr w:type="spellStart"/>
            <w:r>
              <w:rPr>
                <w:iCs/>
                <w:lang w:val="en-US"/>
              </w:rPr>
              <w:t>gadi</w:t>
            </w:r>
            <w:proofErr w:type="spellEnd"/>
            <w:r w:rsidR="0021616E" w:rsidRPr="00A86F57">
              <w:rPr>
                <w:iCs/>
                <w:lang w:val="en-US"/>
              </w:rPr>
              <w:t xml:space="preserve"> (</w:t>
            </w:r>
            <w:r w:rsidR="0021616E" w:rsidRPr="00A86F57">
              <w:rPr>
                <w:i/>
                <w:iCs/>
                <w:lang w:val="en-US"/>
              </w:rPr>
              <w:t>euro</w:t>
            </w:r>
            <w:r w:rsidR="0021616E" w:rsidRPr="00A86F57">
              <w:rPr>
                <w:iCs/>
                <w:lang w:val="en-US"/>
              </w:rPr>
              <w:t>)</w:t>
            </w:r>
          </w:p>
        </w:tc>
      </w:tr>
      <w:tr w:rsidR="0021616E" w:rsidRPr="0021616E" w14:paraId="2B42B830" w14:textId="77777777" w:rsidTr="00947FCE">
        <w:trPr>
          <w:tblCellSpacing w:w="15" w:type="dxa"/>
        </w:trPr>
        <w:tc>
          <w:tcPr>
            <w:tcW w:w="1093" w:type="pct"/>
            <w:gridSpan w:val="2"/>
            <w:vMerge/>
            <w:vAlign w:val="center"/>
            <w:hideMark/>
          </w:tcPr>
          <w:p w14:paraId="09A0573C" w14:textId="77777777" w:rsidR="0021616E" w:rsidRPr="0021616E" w:rsidRDefault="0021616E" w:rsidP="0021616E">
            <w:pPr>
              <w:rPr>
                <w:iCs/>
                <w:lang w:val="en-US"/>
              </w:rPr>
            </w:pPr>
          </w:p>
        </w:tc>
        <w:tc>
          <w:tcPr>
            <w:tcW w:w="1051" w:type="pct"/>
            <w:gridSpan w:val="3"/>
            <w:vMerge/>
            <w:vAlign w:val="center"/>
            <w:hideMark/>
          </w:tcPr>
          <w:p w14:paraId="673F4813" w14:textId="77777777" w:rsidR="0021616E" w:rsidRPr="00A86F57" w:rsidRDefault="0021616E" w:rsidP="00A86F57">
            <w:pPr>
              <w:jc w:val="center"/>
              <w:rPr>
                <w:b/>
                <w:iCs/>
                <w:lang w:val="en-US"/>
              </w:rPr>
            </w:pPr>
          </w:p>
        </w:tc>
        <w:tc>
          <w:tcPr>
            <w:tcW w:w="1051" w:type="pct"/>
            <w:gridSpan w:val="2"/>
            <w:vAlign w:val="center"/>
            <w:hideMark/>
          </w:tcPr>
          <w:p w14:paraId="01BCF259" w14:textId="4009FB77" w:rsidR="0021616E" w:rsidRPr="00A86F57" w:rsidRDefault="00A86F57" w:rsidP="00A86F57">
            <w:pPr>
              <w:jc w:val="center"/>
              <w:rPr>
                <w:b/>
                <w:iCs/>
                <w:lang w:val="en-US"/>
              </w:rPr>
            </w:pPr>
            <w:r w:rsidRPr="00A86F57">
              <w:rPr>
                <w:b/>
                <w:iCs/>
                <w:lang w:val="en-US"/>
              </w:rPr>
              <w:t>2019</w:t>
            </w:r>
          </w:p>
        </w:tc>
        <w:tc>
          <w:tcPr>
            <w:tcW w:w="1051" w:type="pct"/>
            <w:gridSpan w:val="2"/>
            <w:vAlign w:val="center"/>
            <w:hideMark/>
          </w:tcPr>
          <w:p w14:paraId="48A9F3F5" w14:textId="045F0348" w:rsidR="0021616E" w:rsidRPr="00A86F57" w:rsidRDefault="00A86F57" w:rsidP="00A86F57">
            <w:pPr>
              <w:jc w:val="center"/>
              <w:rPr>
                <w:b/>
                <w:iCs/>
                <w:lang w:val="en-US"/>
              </w:rPr>
            </w:pPr>
            <w:r w:rsidRPr="00A86F57">
              <w:rPr>
                <w:b/>
                <w:iCs/>
                <w:lang w:val="en-US"/>
              </w:rPr>
              <w:t>2020</w:t>
            </w:r>
          </w:p>
        </w:tc>
        <w:tc>
          <w:tcPr>
            <w:tcW w:w="663" w:type="pct"/>
            <w:vAlign w:val="center"/>
            <w:hideMark/>
          </w:tcPr>
          <w:p w14:paraId="3B00DD9E" w14:textId="5D94DA1F" w:rsidR="0021616E" w:rsidRPr="00A86F57" w:rsidRDefault="00A86F57" w:rsidP="00A86F57">
            <w:pPr>
              <w:jc w:val="center"/>
              <w:rPr>
                <w:b/>
                <w:iCs/>
                <w:lang w:val="en-US"/>
              </w:rPr>
            </w:pPr>
            <w:r w:rsidRPr="00A86F57">
              <w:rPr>
                <w:b/>
                <w:iCs/>
                <w:lang w:val="en-US"/>
              </w:rPr>
              <w:t>2021</w:t>
            </w:r>
          </w:p>
        </w:tc>
      </w:tr>
      <w:tr w:rsidR="00B10007" w:rsidRPr="0021616E" w14:paraId="3825D5DB" w14:textId="77777777" w:rsidTr="00947FCE">
        <w:trPr>
          <w:tblCellSpacing w:w="15" w:type="dxa"/>
        </w:trPr>
        <w:tc>
          <w:tcPr>
            <w:tcW w:w="1093" w:type="pct"/>
            <w:gridSpan w:val="2"/>
            <w:vMerge/>
            <w:vAlign w:val="center"/>
            <w:hideMark/>
          </w:tcPr>
          <w:p w14:paraId="39A0CF59" w14:textId="77777777" w:rsidR="0021616E" w:rsidRPr="0021616E" w:rsidRDefault="0021616E" w:rsidP="0021616E">
            <w:pPr>
              <w:rPr>
                <w:iCs/>
                <w:lang w:val="en-US"/>
              </w:rPr>
            </w:pPr>
          </w:p>
        </w:tc>
        <w:tc>
          <w:tcPr>
            <w:tcW w:w="525" w:type="pct"/>
            <w:gridSpan w:val="2"/>
            <w:vAlign w:val="center"/>
            <w:hideMark/>
          </w:tcPr>
          <w:p w14:paraId="693F4EDD" w14:textId="77777777" w:rsidR="0021616E" w:rsidRPr="0021616E" w:rsidRDefault="0021616E" w:rsidP="00D80CE6">
            <w:pPr>
              <w:jc w:val="center"/>
              <w:rPr>
                <w:iCs/>
                <w:lang w:val="en-US"/>
              </w:rPr>
            </w:pPr>
            <w:proofErr w:type="spellStart"/>
            <w:r w:rsidRPr="0021616E">
              <w:rPr>
                <w:iCs/>
                <w:lang w:val="en-US"/>
              </w:rPr>
              <w:t>saskaņā</w:t>
            </w:r>
            <w:proofErr w:type="spellEnd"/>
            <w:r w:rsidRPr="0021616E">
              <w:rPr>
                <w:iCs/>
                <w:lang w:val="en-US"/>
              </w:rPr>
              <w:t xml:space="preserve"> </w:t>
            </w:r>
            <w:proofErr w:type="spellStart"/>
            <w:r w:rsidRPr="0021616E">
              <w:rPr>
                <w:iCs/>
                <w:lang w:val="en-US"/>
              </w:rPr>
              <w:t>ar</w:t>
            </w:r>
            <w:proofErr w:type="spellEnd"/>
            <w:r w:rsidRPr="0021616E">
              <w:rPr>
                <w:iCs/>
                <w:lang w:val="en-US"/>
              </w:rPr>
              <w:t xml:space="preserve"> </w:t>
            </w:r>
            <w:proofErr w:type="spellStart"/>
            <w:r w:rsidRPr="0021616E">
              <w:rPr>
                <w:iCs/>
                <w:lang w:val="en-US"/>
              </w:rPr>
              <w:t>valsts</w:t>
            </w:r>
            <w:proofErr w:type="spellEnd"/>
            <w:r w:rsidRPr="0021616E">
              <w:rPr>
                <w:iCs/>
                <w:lang w:val="en-US"/>
              </w:rPr>
              <w:t xml:space="preserve"> </w:t>
            </w:r>
            <w:proofErr w:type="spellStart"/>
            <w:r w:rsidRPr="0021616E">
              <w:rPr>
                <w:iCs/>
                <w:lang w:val="en-US"/>
              </w:rPr>
              <w:t>budžetu</w:t>
            </w:r>
            <w:proofErr w:type="spellEnd"/>
            <w:r w:rsidRPr="0021616E">
              <w:rPr>
                <w:iCs/>
                <w:lang w:val="en-US"/>
              </w:rPr>
              <w:t xml:space="preserve"> </w:t>
            </w:r>
            <w:proofErr w:type="spellStart"/>
            <w:r w:rsidRPr="0021616E">
              <w:rPr>
                <w:iCs/>
                <w:lang w:val="en-US"/>
              </w:rPr>
              <w:t>kārtējam</w:t>
            </w:r>
            <w:proofErr w:type="spellEnd"/>
            <w:r w:rsidRPr="0021616E">
              <w:rPr>
                <w:iCs/>
                <w:lang w:val="en-US"/>
              </w:rPr>
              <w:t xml:space="preserve"> </w:t>
            </w:r>
            <w:proofErr w:type="spellStart"/>
            <w:r w:rsidRPr="0021616E">
              <w:rPr>
                <w:iCs/>
                <w:lang w:val="en-US"/>
              </w:rPr>
              <w:t>gadam</w:t>
            </w:r>
            <w:proofErr w:type="spellEnd"/>
          </w:p>
        </w:tc>
        <w:tc>
          <w:tcPr>
            <w:tcW w:w="511" w:type="pct"/>
            <w:vAlign w:val="center"/>
            <w:hideMark/>
          </w:tcPr>
          <w:p w14:paraId="3CC163B4" w14:textId="77777777" w:rsidR="0021616E" w:rsidRPr="0021616E" w:rsidRDefault="0021616E" w:rsidP="00D80CE6">
            <w:pPr>
              <w:jc w:val="center"/>
              <w:rPr>
                <w:iCs/>
                <w:lang w:val="en-US"/>
              </w:rPr>
            </w:pPr>
            <w:proofErr w:type="spellStart"/>
            <w:r w:rsidRPr="0021616E">
              <w:rPr>
                <w:iCs/>
                <w:lang w:val="en-US"/>
              </w:rPr>
              <w:t>izmaiņas</w:t>
            </w:r>
            <w:proofErr w:type="spellEnd"/>
            <w:r w:rsidRPr="0021616E">
              <w:rPr>
                <w:iCs/>
                <w:lang w:val="en-US"/>
              </w:rPr>
              <w:t xml:space="preserve"> </w:t>
            </w:r>
            <w:proofErr w:type="spellStart"/>
            <w:r w:rsidRPr="0021616E">
              <w:rPr>
                <w:iCs/>
                <w:lang w:val="en-US"/>
              </w:rPr>
              <w:t>kārtējā</w:t>
            </w:r>
            <w:proofErr w:type="spellEnd"/>
            <w:r w:rsidRPr="0021616E">
              <w:rPr>
                <w:iCs/>
                <w:lang w:val="en-US"/>
              </w:rPr>
              <w:t xml:space="preserve"> </w:t>
            </w:r>
            <w:proofErr w:type="spellStart"/>
            <w:r w:rsidRPr="0021616E">
              <w:rPr>
                <w:iCs/>
                <w:lang w:val="en-US"/>
              </w:rPr>
              <w:t>gadā</w:t>
            </w:r>
            <w:proofErr w:type="spellEnd"/>
            <w:r w:rsidRPr="0021616E">
              <w:rPr>
                <w:iCs/>
                <w:lang w:val="en-US"/>
              </w:rPr>
              <w:t xml:space="preserve">, </w:t>
            </w:r>
            <w:proofErr w:type="spellStart"/>
            <w:r w:rsidRPr="0021616E">
              <w:rPr>
                <w:iCs/>
                <w:lang w:val="en-US"/>
              </w:rPr>
              <w:t>salīdzinot</w:t>
            </w:r>
            <w:proofErr w:type="spellEnd"/>
            <w:r w:rsidRPr="0021616E">
              <w:rPr>
                <w:iCs/>
                <w:lang w:val="en-US"/>
              </w:rPr>
              <w:t xml:space="preserve"> </w:t>
            </w:r>
            <w:proofErr w:type="spellStart"/>
            <w:r w:rsidRPr="0021616E">
              <w:rPr>
                <w:iCs/>
                <w:lang w:val="en-US"/>
              </w:rPr>
              <w:t>ar</w:t>
            </w:r>
            <w:proofErr w:type="spellEnd"/>
            <w:r w:rsidRPr="0021616E">
              <w:rPr>
                <w:iCs/>
                <w:lang w:val="en-US"/>
              </w:rPr>
              <w:t xml:space="preserve"> </w:t>
            </w:r>
            <w:proofErr w:type="spellStart"/>
            <w:r w:rsidRPr="0021616E">
              <w:rPr>
                <w:iCs/>
                <w:lang w:val="en-US"/>
              </w:rPr>
              <w:t>valsts</w:t>
            </w:r>
            <w:proofErr w:type="spellEnd"/>
            <w:r w:rsidRPr="0021616E">
              <w:rPr>
                <w:iCs/>
                <w:lang w:val="en-US"/>
              </w:rPr>
              <w:t xml:space="preserve"> </w:t>
            </w:r>
            <w:proofErr w:type="spellStart"/>
            <w:r w:rsidRPr="0021616E">
              <w:rPr>
                <w:iCs/>
                <w:lang w:val="en-US"/>
              </w:rPr>
              <w:t>budžetu</w:t>
            </w:r>
            <w:proofErr w:type="spellEnd"/>
            <w:r w:rsidRPr="0021616E">
              <w:rPr>
                <w:iCs/>
                <w:lang w:val="en-US"/>
              </w:rPr>
              <w:t xml:space="preserve"> </w:t>
            </w:r>
            <w:proofErr w:type="spellStart"/>
            <w:r w:rsidRPr="0021616E">
              <w:rPr>
                <w:iCs/>
                <w:lang w:val="en-US"/>
              </w:rPr>
              <w:t>kārtējam</w:t>
            </w:r>
            <w:proofErr w:type="spellEnd"/>
            <w:r w:rsidRPr="0021616E">
              <w:rPr>
                <w:iCs/>
                <w:lang w:val="en-US"/>
              </w:rPr>
              <w:t xml:space="preserve"> </w:t>
            </w:r>
            <w:proofErr w:type="spellStart"/>
            <w:r w:rsidRPr="0021616E">
              <w:rPr>
                <w:iCs/>
                <w:lang w:val="en-US"/>
              </w:rPr>
              <w:t>gadam</w:t>
            </w:r>
            <w:proofErr w:type="spellEnd"/>
          </w:p>
        </w:tc>
        <w:tc>
          <w:tcPr>
            <w:tcW w:w="524" w:type="pct"/>
            <w:vAlign w:val="center"/>
            <w:hideMark/>
          </w:tcPr>
          <w:p w14:paraId="621ACE0D" w14:textId="77777777" w:rsidR="0021616E" w:rsidRPr="0021616E" w:rsidRDefault="0021616E" w:rsidP="00D80CE6">
            <w:pPr>
              <w:jc w:val="center"/>
              <w:rPr>
                <w:iCs/>
                <w:lang w:val="sv-SE"/>
              </w:rPr>
            </w:pPr>
            <w:r w:rsidRPr="0021616E">
              <w:rPr>
                <w:iCs/>
                <w:lang w:val="sv-SE"/>
              </w:rPr>
              <w:t>saskaņā ar vidēja termiņa budžeta ietvaru</w:t>
            </w:r>
          </w:p>
        </w:tc>
        <w:tc>
          <w:tcPr>
            <w:tcW w:w="511" w:type="pct"/>
            <w:vAlign w:val="center"/>
            <w:hideMark/>
          </w:tcPr>
          <w:p w14:paraId="395FA483" w14:textId="77777777" w:rsidR="0021616E" w:rsidRPr="0021616E" w:rsidRDefault="0021616E" w:rsidP="00D80CE6">
            <w:pPr>
              <w:jc w:val="center"/>
              <w:rPr>
                <w:iCs/>
                <w:lang w:val="sv-SE"/>
              </w:rPr>
            </w:pPr>
            <w:r w:rsidRPr="0021616E">
              <w:rPr>
                <w:iCs/>
                <w:lang w:val="sv-SE"/>
              </w:rPr>
              <w:t>izmaiņas, salīdzinot ar vidēja termiņa budžeta ietvaru n+1 gadam</w:t>
            </w:r>
          </w:p>
        </w:tc>
        <w:tc>
          <w:tcPr>
            <w:tcW w:w="524" w:type="pct"/>
            <w:vAlign w:val="center"/>
            <w:hideMark/>
          </w:tcPr>
          <w:p w14:paraId="2536FCA0" w14:textId="77777777" w:rsidR="0021616E" w:rsidRPr="0021616E" w:rsidRDefault="0021616E" w:rsidP="00D80CE6">
            <w:pPr>
              <w:jc w:val="center"/>
              <w:rPr>
                <w:iCs/>
                <w:lang w:val="sv-SE"/>
              </w:rPr>
            </w:pPr>
            <w:r w:rsidRPr="0021616E">
              <w:rPr>
                <w:iCs/>
                <w:lang w:val="sv-SE"/>
              </w:rPr>
              <w:t>saskaņā ar vidēja termiņa budžeta ietvaru</w:t>
            </w:r>
          </w:p>
        </w:tc>
        <w:tc>
          <w:tcPr>
            <w:tcW w:w="511" w:type="pct"/>
            <w:vAlign w:val="center"/>
            <w:hideMark/>
          </w:tcPr>
          <w:p w14:paraId="49864118" w14:textId="77777777" w:rsidR="0021616E" w:rsidRPr="0021616E" w:rsidRDefault="0021616E" w:rsidP="00D80CE6">
            <w:pPr>
              <w:jc w:val="center"/>
              <w:rPr>
                <w:iCs/>
                <w:lang w:val="sv-SE"/>
              </w:rPr>
            </w:pPr>
            <w:r w:rsidRPr="0021616E">
              <w:rPr>
                <w:iCs/>
                <w:lang w:val="sv-SE"/>
              </w:rPr>
              <w:t>izmaiņas, salīdzinot ar vidēja termiņa budžeta ietvaru n+2 gadam</w:t>
            </w:r>
          </w:p>
        </w:tc>
        <w:tc>
          <w:tcPr>
            <w:tcW w:w="663" w:type="pct"/>
            <w:vAlign w:val="center"/>
            <w:hideMark/>
          </w:tcPr>
          <w:p w14:paraId="3E7C0DAF" w14:textId="77777777" w:rsidR="0021616E" w:rsidRPr="0021616E" w:rsidRDefault="0021616E" w:rsidP="00D80CE6">
            <w:pPr>
              <w:jc w:val="center"/>
              <w:rPr>
                <w:iCs/>
                <w:lang w:val="sv-SE"/>
              </w:rPr>
            </w:pPr>
            <w:r w:rsidRPr="0021616E">
              <w:rPr>
                <w:iCs/>
                <w:lang w:val="sv-SE"/>
              </w:rPr>
              <w:t>izmaiņas, salīdzinot ar vidēja termiņa budžeta ietvaru n+2 gadam</w:t>
            </w:r>
          </w:p>
        </w:tc>
      </w:tr>
      <w:tr w:rsidR="00B10007" w:rsidRPr="0021616E" w14:paraId="622EB855" w14:textId="77777777" w:rsidTr="00947FCE">
        <w:trPr>
          <w:tblCellSpacing w:w="15" w:type="dxa"/>
        </w:trPr>
        <w:tc>
          <w:tcPr>
            <w:tcW w:w="1093" w:type="pct"/>
            <w:gridSpan w:val="2"/>
            <w:vAlign w:val="center"/>
            <w:hideMark/>
          </w:tcPr>
          <w:p w14:paraId="1E89FFE3" w14:textId="77777777" w:rsidR="0021616E" w:rsidRPr="0021616E" w:rsidRDefault="0021616E" w:rsidP="0021616E">
            <w:pPr>
              <w:jc w:val="center"/>
              <w:rPr>
                <w:iCs/>
                <w:lang w:val="en-US"/>
              </w:rPr>
            </w:pPr>
            <w:r w:rsidRPr="0021616E">
              <w:rPr>
                <w:iCs/>
                <w:lang w:val="en-US"/>
              </w:rPr>
              <w:t>1</w:t>
            </w:r>
          </w:p>
        </w:tc>
        <w:tc>
          <w:tcPr>
            <w:tcW w:w="525" w:type="pct"/>
            <w:gridSpan w:val="2"/>
            <w:vAlign w:val="center"/>
            <w:hideMark/>
          </w:tcPr>
          <w:p w14:paraId="2F2A6C53" w14:textId="77777777" w:rsidR="0021616E" w:rsidRPr="0021616E" w:rsidRDefault="0021616E" w:rsidP="0021616E">
            <w:pPr>
              <w:jc w:val="center"/>
              <w:rPr>
                <w:iCs/>
                <w:lang w:val="en-US"/>
              </w:rPr>
            </w:pPr>
            <w:r w:rsidRPr="0021616E">
              <w:rPr>
                <w:iCs/>
                <w:lang w:val="en-US"/>
              </w:rPr>
              <w:t>2</w:t>
            </w:r>
          </w:p>
        </w:tc>
        <w:tc>
          <w:tcPr>
            <w:tcW w:w="511" w:type="pct"/>
            <w:vAlign w:val="center"/>
            <w:hideMark/>
          </w:tcPr>
          <w:p w14:paraId="098A8339" w14:textId="77777777" w:rsidR="0021616E" w:rsidRPr="0021616E" w:rsidRDefault="0021616E" w:rsidP="0021616E">
            <w:pPr>
              <w:jc w:val="center"/>
              <w:rPr>
                <w:iCs/>
                <w:lang w:val="en-US"/>
              </w:rPr>
            </w:pPr>
            <w:r w:rsidRPr="0021616E">
              <w:rPr>
                <w:iCs/>
                <w:lang w:val="en-US"/>
              </w:rPr>
              <w:t>3</w:t>
            </w:r>
          </w:p>
        </w:tc>
        <w:tc>
          <w:tcPr>
            <w:tcW w:w="524" w:type="pct"/>
            <w:vAlign w:val="center"/>
            <w:hideMark/>
          </w:tcPr>
          <w:p w14:paraId="21D8D7BC" w14:textId="77777777" w:rsidR="0021616E" w:rsidRPr="0021616E" w:rsidRDefault="0021616E" w:rsidP="0021616E">
            <w:pPr>
              <w:jc w:val="center"/>
              <w:rPr>
                <w:iCs/>
                <w:lang w:val="en-US"/>
              </w:rPr>
            </w:pPr>
            <w:r w:rsidRPr="0021616E">
              <w:rPr>
                <w:iCs/>
                <w:lang w:val="en-US"/>
              </w:rPr>
              <w:t>4</w:t>
            </w:r>
          </w:p>
        </w:tc>
        <w:tc>
          <w:tcPr>
            <w:tcW w:w="511" w:type="pct"/>
            <w:vAlign w:val="center"/>
            <w:hideMark/>
          </w:tcPr>
          <w:p w14:paraId="16D8F95A" w14:textId="77777777" w:rsidR="0021616E" w:rsidRPr="0021616E" w:rsidRDefault="0021616E" w:rsidP="0021616E">
            <w:pPr>
              <w:jc w:val="center"/>
              <w:rPr>
                <w:iCs/>
                <w:lang w:val="en-US"/>
              </w:rPr>
            </w:pPr>
            <w:r w:rsidRPr="0021616E">
              <w:rPr>
                <w:iCs/>
                <w:lang w:val="en-US"/>
              </w:rPr>
              <w:t>5</w:t>
            </w:r>
          </w:p>
        </w:tc>
        <w:tc>
          <w:tcPr>
            <w:tcW w:w="524" w:type="pct"/>
            <w:vAlign w:val="center"/>
            <w:hideMark/>
          </w:tcPr>
          <w:p w14:paraId="1CE2B210" w14:textId="77777777" w:rsidR="0021616E" w:rsidRPr="0021616E" w:rsidRDefault="0021616E" w:rsidP="0021616E">
            <w:pPr>
              <w:jc w:val="center"/>
              <w:rPr>
                <w:iCs/>
                <w:lang w:val="en-US"/>
              </w:rPr>
            </w:pPr>
            <w:r w:rsidRPr="0021616E">
              <w:rPr>
                <w:iCs/>
                <w:lang w:val="en-US"/>
              </w:rPr>
              <w:t>6</w:t>
            </w:r>
          </w:p>
        </w:tc>
        <w:tc>
          <w:tcPr>
            <w:tcW w:w="511" w:type="pct"/>
            <w:vAlign w:val="center"/>
            <w:hideMark/>
          </w:tcPr>
          <w:p w14:paraId="3FD5C46A" w14:textId="77777777" w:rsidR="0021616E" w:rsidRPr="0021616E" w:rsidRDefault="0021616E" w:rsidP="0021616E">
            <w:pPr>
              <w:jc w:val="center"/>
              <w:rPr>
                <w:iCs/>
                <w:lang w:val="en-US"/>
              </w:rPr>
            </w:pPr>
            <w:r w:rsidRPr="0021616E">
              <w:rPr>
                <w:iCs/>
                <w:lang w:val="en-US"/>
              </w:rPr>
              <w:t>7</w:t>
            </w:r>
          </w:p>
        </w:tc>
        <w:tc>
          <w:tcPr>
            <w:tcW w:w="663" w:type="pct"/>
            <w:vAlign w:val="center"/>
            <w:hideMark/>
          </w:tcPr>
          <w:p w14:paraId="06DCDD9E" w14:textId="77777777" w:rsidR="0021616E" w:rsidRPr="0021616E" w:rsidRDefault="0021616E" w:rsidP="0021616E">
            <w:pPr>
              <w:jc w:val="center"/>
              <w:rPr>
                <w:iCs/>
                <w:lang w:val="en-US"/>
              </w:rPr>
            </w:pPr>
            <w:r w:rsidRPr="0021616E">
              <w:rPr>
                <w:iCs/>
                <w:lang w:val="en-US"/>
              </w:rPr>
              <w:t>8</w:t>
            </w:r>
          </w:p>
        </w:tc>
      </w:tr>
      <w:tr w:rsidR="00B10007" w:rsidRPr="0021616E" w14:paraId="4DA64296" w14:textId="77777777" w:rsidTr="00947FCE">
        <w:trPr>
          <w:tblCellSpacing w:w="15" w:type="dxa"/>
        </w:trPr>
        <w:tc>
          <w:tcPr>
            <w:tcW w:w="1093" w:type="pct"/>
            <w:gridSpan w:val="2"/>
            <w:hideMark/>
          </w:tcPr>
          <w:p w14:paraId="35628F17" w14:textId="77777777" w:rsidR="0021616E" w:rsidRPr="0021616E" w:rsidRDefault="0021616E" w:rsidP="0021616E">
            <w:pPr>
              <w:rPr>
                <w:iCs/>
                <w:lang w:val="en-US"/>
              </w:rPr>
            </w:pPr>
            <w:r w:rsidRPr="0021616E">
              <w:rPr>
                <w:iCs/>
                <w:lang w:val="en-US"/>
              </w:rPr>
              <w:t xml:space="preserve">1. </w:t>
            </w:r>
            <w:proofErr w:type="spellStart"/>
            <w:r w:rsidRPr="0021616E">
              <w:rPr>
                <w:iCs/>
                <w:lang w:val="en-US"/>
              </w:rPr>
              <w:t>Budžeta</w:t>
            </w:r>
            <w:proofErr w:type="spellEnd"/>
            <w:r w:rsidRPr="0021616E">
              <w:rPr>
                <w:iCs/>
                <w:lang w:val="en-US"/>
              </w:rPr>
              <w:t xml:space="preserve"> </w:t>
            </w:r>
            <w:proofErr w:type="spellStart"/>
            <w:r w:rsidRPr="0021616E">
              <w:rPr>
                <w:iCs/>
                <w:lang w:val="en-US"/>
              </w:rPr>
              <w:t>ieņēmumi</w:t>
            </w:r>
            <w:proofErr w:type="spellEnd"/>
          </w:p>
        </w:tc>
        <w:tc>
          <w:tcPr>
            <w:tcW w:w="525" w:type="pct"/>
            <w:gridSpan w:val="2"/>
            <w:vAlign w:val="center"/>
            <w:hideMark/>
          </w:tcPr>
          <w:p w14:paraId="211822A6" w14:textId="56F55BB6" w:rsidR="0021616E" w:rsidRPr="00934DCB" w:rsidRDefault="009C6B42" w:rsidP="00D80CE6">
            <w:pPr>
              <w:jc w:val="center"/>
              <w:rPr>
                <w:b/>
                <w:i/>
                <w:iCs/>
                <w:lang w:val="en-US"/>
              </w:rPr>
            </w:pPr>
            <w:r>
              <w:rPr>
                <w:b/>
                <w:i/>
                <w:iCs/>
                <w:lang w:val="en-US"/>
              </w:rPr>
              <w:t>5</w:t>
            </w:r>
            <w:r w:rsidR="00D80CE6">
              <w:rPr>
                <w:b/>
                <w:i/>
                <w:iCs/>
                <w:lang w:val="en-US"/>
              </w:rPr>
              <w:t> </w:t>
            </w:r>
            <w:r>
              <w:rPr>
                <w:b/>
                <w:i/>
                <w:iCs/>
                <w:lang w:val="en-US"/>
              </w:rPr>
              <w:t>479</w:t>
            </w:r>
            <w:r w:rsidR="00D80CE6">
              <w:rPr>
                <w:b/>
                <w:i/>
                <w:iCs/>
                <w:lang w:val="en-US"/>
              </w:rPr>
              <w:t> </w:t>
            </w:r>
            <w:r>
              <w:rPr>
                <w:b/>
                <w:i/>
                <w:iCs/>
                <w:lang w:val="en-US"/>
              </w:rPr>
              <w:t>785</w:t>
            </w:r>
          </w:p>
        </w:tc>
        <w:tc>
          <w:tcPr>
            <w:tcW w:w="511" w:type="pct"/>
            <w:vAlign w:val="center"/>
            <w:hideMark/>
          </w:tcPr>
          <w:p w14:paraId="35F6041C" w14:textId="1DCC3A7F" w:rsidR="0021616E" w:rsidRPr="00934DCB" w:rsidRDefault="004C07EB" w:rsidP="00D80CE6">
            <w:pPr>
              <w:jc w:val="center"/>
              <w:rPr>
                <w:b/>
                <w:i/>
                <w:iCs/>
                <w:lang w:val="en-US"/>
              </w:rPr>
            </w:pPr>
            <w:r w:rsidRPr="00934DCB">
              <w:rPr>
                <w:b/>
                <w:i/>
                <w:iCs/>
                <w:lang w:val="en-US"/>
              </w:rPr>
              <w:t>0</w:t>
            </w:r>
          </w:p>
        </w:tc>
        <w:tc>
          <w:tcPr>
            <w:tcW w:w="524" w:type="pct"/>
            <w:vAlign w:val="center"/>
            <w:hideMark/>
          </w:tcPr>
          <w:p w14:paraId="3A087CCA" w14:textId="66E351B4" w:rsidR="0021616E" w:rsidRPr="00934DCB" w:rsidRDefault="00F6739E" w:rsidP="00D80CE6">
            <w:pPr>
              <w:jc w:val="center"/>
              <w:rPr>
                <w:b/>
                <w:i/>
                <w:iCs/>
                <w:lang w:val="en-US"/>
              </w:rPr>
            </w:pPr>
            <w:r w:rsidRPr="00F6739E">
              <w:rPr>
                <w:b/>
                <w:i/>
                <w:iCs/>
              </w:rPr>
              <w:t>6</w:t>
            </w:r>
            <w:r w:rsidR="00D80CE6">
              <w:rPr>
                <w:b/>
                <w:i/>
                <w:iCs/>
              </w:rPr>
              <w:t> </w:t>
            </w:r>
            <w:r w:rsidRPr="00F6739E">
              <w:rPr>
                <w:b/>
                <w:i/>
                <w:iCs/>
              </w:rPr>
              <w:t>999</w:t>
            </w:r>
            <w:r w:rsidR="00D80CE6">
              <w:rPr>
                <w:b/>
                <w:i/>
                <w:iCs/>
              </w:rPr>
              <w:t> </w:t>
            </w:r>
            <w:r w:rsidRPr="00F6739E">
              <w:rPr>
                <w:b/>
                <w:i/>
                <w:iCs/>
              </w:rPr>
              <w:t>583</w:t>
            </w:r>
          </w:p>
        </w:tc>
        <w:tc>
          <w:tcPr>
            <w:tcW w:w="511" w:type="pct"/>
            <w:vAlign w:val="center"/>
            <w:hideMark/>
          </w:tcPr>
          <w:p w14:paraId="72A82A52" w14:textId="3EECEAC3" w:rsidR="0021616E" w:rsidRPr="00934DCB" w:rsidRDefault="0021616E" w:rsidP="00D80CE6">
            <w:pPr>
              <w:jc w:val="center"/>
              <w:rPr>
                <w:b/>
                <w:i/>
                <w:iCs/>
                <w:lang w:val="en-US"/>
              </w:rPr>
            </w:pPr>
          </w:p>
        </w:tc>
        <w:tc>
          <w:tcPr>
            <w:tcW w:w="524" w:type="pct"/>
            <w:vAlign w:val="center"/>
            <w:hideMark/>
          </w:tcPr>
          <w:p w14:paraId="386C7CEE" w14:textId="21F6FF67" w:rsidR="0021616E" w:rsidRPr="00934DCB" w:rsidRDefault="00B10007" w:rsidP="00D80CE6">
            <w:pPr>
              <w:jc w:val="center"/>
              <w:rPr>
                <w:b/>
                <w:i/>
                <w:iCs/>
                <w:lang w:val="en-US"/>
              </w:rPr>
            </w:pPr>
            <w:r>
              <w:rPr>
                <w:b/>
                <w:i/>
                <w:iCs/>
                <w:lang w:val="en-US"/>
              </w:rPr>
              <w:t>7</w:t>
            </w:r>
            <w:r w:rsidR="00D80CE6">
              <w:rPr>
                <w:b/>
                <w:i/>
                <w:iCs/>
                <w:lang w:val="en-US"/>
              </w:rPr>
              <w:t> </w:t>
            </w:r>
            <w:r>
              <w:rPr>
                <w:b/>
                <w:i/>
                <w:iCs/>
                <w:lang w:val="en-US"/>
              </w:rPr>
              <w:t>136</w:t>
            </w:r>
            <w:r w:rsidR="00D80CE6">
              <w:rPr>
                <w:b/>
                <w:i/>
                <w:iCs/>
                <w:lang w:val="en-US"/>
              </w:rPr>
              <w:t> </w:t>
            </w:r>
            <w:r>
              <w:rPr>
                <w:b/>
                <w:i/>
                <w:iCs/>
                <w:lang w:val="en-US"/>
              </w:rPr>
              <w:t>656</w:t>
            </w:r>
          </w:p>
        </w:tc>
        <w:tc>
          <w:tcPr>
            <w:tcW w:w="511" w:type="pct"/>
            <w:vAlign w:val="center"/>
            <w:hideMark/>
          </w:tcPr>
          <w:p w14:paraId="35019B17" w14:textId="77777777" w:rsidR="0021616E" w:rsidRPr="0021616E" w:rsidRDefault="0021616E" w:rsidP="0021616E">
            <w:pPr>
              <w:rPr>
                <w:iCs/>
                <w:lang w:val="en-US"/>
              </w:rPr>
            </w:pPr>
            <w:r w:rsidRPr="0021616E">
              <w:rPr>
                <w:iCs/>
                <w:lang w:val="en-US"/>
              </w:rPr>
              <w:t> </w:t>
            </w:r>
          </w:p>
        </w:tc>
        <w:tc>
          <w:tcPr>
            <w:tcW w:w="663" w:type="pct"/>
            <w:vAlign w:val="center"/>
          </w:tcPr>
          <w:p w14:paraId="19A79906" w14:textId="3C2C5284" w:rsidR="0021616E" w:rsidRPr="0021616E" w:rsidRDefault="0021616E" w:rsidP="0021616E">
            <w:pPr>
              <w:rPr>
                <w:iCs/>
                <w:lang w:val="en-US"/>
              </w:rPr>
            </w:pPr>
          </w:p>
        </w:tc>
      </w:tr>
      <w:tr w:rsidR="00401BFE" w:rsidRPr="0021616E" w14:paraId="75E7C20E" w14:textId="77777777" w:rsidTr="00947FCE">
        <w:trPr>
          <w:tblCellSpacing w:w="15" w:type="dxa"/>
        </w:trPr>
        <w:tc>
          <w:tcPr>
            <w:tcW w:w="1093" w:type="pct"/>
            <w:gridSpan w:val="2"/>
            <w:hideMark/>
          </w:tcPr>
          <w:p w14:paraId="7E55524D" w14:textId="77777777" w:rsidR="00401BFE" w:rsidRPr="0021616E" w:rsidRDefault="00401BFE" w:rsidP="00401BFE">
            <w:pPr>
              <w:rPr>
                <w:iCs/>
                <w:lang w:val="en-US"/>
              </w:rPr>
            </w:pPr>
            <w:r w:rsidRPr="0021616E">
              <w:rPr>
                <w:iCs/>
                <w:lang w:val="en-US"/>
              </w:rPr>
              <w:t xml:space="preserve">1.1. </w:t>
            </w:r>
            <w:proofErr w:type="spellStart"/>
            <w:r w:rsidRPr="0021616E">
              <w:rPr>
                <w:iCs/>
                <w:lang w:val="en-US"/>
              </w:rPr>
              <w:t>valsts</w:t>
            </w:r>
            <w:proofErr w:type="spellEnd"/>
            <w:r w:rsidRPr="0021616E">
              <w:rPr>
                <w:iCs/>
                <w:lang w:val="en-US"/>
              </w:rPr>
              <w:t xml:space="preserve"> </w:t>
            </w:r>
            <w:proofErr w:type="spellStart"/>
            <w:r w:rsidRPr="0021616E">
              <w:rPr>
                <w:iCs/>
                <w:lang w:val="en-US"/>
              </w:rPr>
              <w:t>pamatbudžets</w:t>
            </w:r>
            <w:proofErr w:type="spellEnd"/>
            <w:r w:rsidRPr="0021616E">
              <w:rPr>
                <w:iCs/>
                <w:lang w:val="en-US"/>
              </w:rPr>
              <w:t xml:space="preserve">, tai </w:t>
            </w:r>
            <w:proofErr w:type="spellStart"/>
            <w:r w:rsidRPr="0021616E">
              <w:rPr>
                <w:iCs/>
                <w:lang w:val="en-US"/>
              </w:rPr>
              <w:t>skaitā</w:t>
            </w:r>
            <w:proofErr w:type="spellEnd"/>
            <w:r w:rsidRPr="0021616E">
              <w:rPr>
                <w:iCs/>
                <w:lang w:val="en-US"/>
              </w:rPr>
              <w:t xml:space="preserve"> </w:t>
            </w:r>
            <w:proofErr w:type="spellStart"/>
            <w:r w:rsidRPr="0021616E">
              <w:rPr>
                <w:iCs/>
                <w:lang w:val="en-US"/>
              </w:rPr>
              <w:t>ieņēmumi</w:t>
            </w:r>
            <w:proofErr w:type="spellEnd"/>
            <w:r w:rsidRPr="0021616E">
              <w:rPr>
                <w:iCs/>
                <w:lang w:val="en-US"/>
              </w:rPr>
              <w:t xml:space="preserve"> no </w:t>
            </w:r>
            <w:proofErr w:type="spellStart"/>
            <w:r w:rsidRPr="0021616E">
              <w:rPr>
                <w:iCs/>
                <w:lang w:val="en-US"/>
              </w:rPr>
              <w:t>maksas</w:t>
            </w:r>
            <w:proofErr w:type="spellEnd"/>
            <w:r w:rsidRPr="0021616E">
              <w:rPr>
                <w:iCs/>
                <w:lang w:val="en-US"/>
              </w:rPr>
              <w:t xml:space="preserve"> </w:t>
            </w:r>
            <w:proofErr w:type="spellStart"/>
            <w:r w:rsidRPr="0021616E">
              <w:rPr>
                <w:iCs/>
                <w:lang w:val="en-US"/>
              </w:rPr>
              <w:t>pakalpojumiem</w:t>
            </w:r>
            <w:proofErr w:type="spellEnd"/>
            <w:r w:rsidRPr="0021616E">
              <w:rPr>
                <w:iCs/>
                <w:lang w:val="en-US"/>
              </w:rPr>
              <w:t xml:space="preserve"> un </w:t>
            </w:r>
            <w:proofErr w:type="spellStart"/>
            <w:r w:rsidRPr="0021616E">
              <w:rPr>
                <w:iCs/>
                <w:lang w:val="en-US"/>
              </w:rPr>
              <w:t>citi</w:t>
            </w:r>
            <w:proofErr w:type="spellEnd"/>
            <w:r w:rsidRPr="0021616E">
              <w:rPr>
                <w:iCs/>
                <w:lang w:val="en-US"/>
              </w:rPr>
              <w:t xml:space="preserve"> </w:t>
            </w:r>
            <w:proofErr w:type="spellStart"/>
            <w:r w:rsidRPr="0021616E">
              <w:rPr>
                <w:iCs/>
                <w:lang w:val="en-US"/>
              </w:rPr>
              <w:t>pašu</w:t>
            </w:r>
            <w:proofErr w:type="spellEnd"/>
            <w:r w:rsidRPr="0021616E">
              <w:rPr>
                <w:iCs/>
                <w:lang w:val="en-US"/>
              </w:rPr>
              <w:t xml:space="preserve"> </w:t>
            </w:r>
            <w:proofErr w:type="spellStart"/>
            <w:r w:rsidRPr="0021616E">
              <w:rPr>
                <w:iCs/>
                <w:lang w:val="en-US"/>
              </w:rPr>
              <w:t>ieņēmumi</w:t>
            </w:r>
            <w:proofErr w:type="spellEnd"/>
          </w:p>
        </w:tc>
        <w:tc>
          <w:tcPr>
            <w:tcW w:w="525" w:type="pct"/>
            <w:gridSpan w:val="2"/>
            <w:vAlign w:val="center"/>
            <w:hideMark/>
          </w:tcPr>
          <w:p w14:paraId="2A433DB3" w14:textId="11077162" w:rsidR="00401BFE" w:rsidRPr="0021616E" w:rsidRDefault="00401BFE" w:rsidP="00401BFE">
            <w:pPr>
              <w:jc w:val="center"/>
              <w:rPr>
                <w:iCs/>
                <w:lang w:val="en-US"/>
              </w:rPr>
            </w:pPr>
            <w:r>
              <w:rPr>
                <w:b/>
                <w:i/>
                <w:iCs/>
                <w:lang w:val="en-US"/>
              </w:rPr>
              <w:t>5 479 785</w:t>
            </w:r>
          </w:p>
        </w:tc>
        <w:tc>
          <w:tcPr>
            <w:tcW w:w="511" w:type="pct"/>
            <w:vAlign w:val="center"/>
            <w:hideMark/>
          </w:tcPr>
          <w:p w14:paraId="70A2BAE4" w14:textId="6595801C" w:rsidR="00401BFE" w:rsidRPr="0021616E" w:rsidRDefault="00401BFE" w:rsidP="00401BFE">
            <w:pPr>
              <w:jc w:val="center"/>
              <w:rPr>
                <w:iCs/>
                <w:lang w:val="en-US"/>
              </w:rPr>
            </w:pPr>
            <w:r w:rsidRPr="00934DCB">
              <w:rPr>
                <w:b/>
                <w:i/>
                <w:iCs/>
                <w:lang w:val="en-US"/>
              </w:rPr>
              <w:t>0</w:t>
            </w:r>
          </w:p>
        </w:tc>
        <w:tc>
          <w:tcPr>
            <w:tcW w:w="524" w:type="pct"/>
            <w:vAlign w:val="center"/>
            <w:hideMark/>
          </w:tcPr>
          <w:p w14:paraId="2DE8A5E1" w14:textId="3360A543" w:rsidR="00401BFE" w:rsidRPr="0021616E" w:rsidRDefault="00401BFE" w:rsidP="00401BFE">
            <w:pPr>
              <w:jc w:val="center"/>
              <w:rPr>
                <w:iCs/>
                <w:lang w:val="en-US"/>
              </w:rPr>
            </w:pPr>
            <w:r w:rsidRPr="00F6739E">
              <w:rPr>
                <w:b/>
                <w:i/>
                <w:iCs/>
              </w:rPr>
              <w:t>6</w:t>
            </w:r>
            <w:r>
              <w:rPr>
                <w:b/>
                <w:i/>
                <w:iCs/>
              </w:rPr>
              <w:t> </w:t>
            </w:r>
            <w:r w:rsidRPr="00F6739E">
              <w:rPr>
                <w:b/>
                <w:i/>
                <w:iCs/>
              </w:rPr>
              <w:t>999</w:t>
            </w:r>
            <w:r>
              <w:rPr>
                <w:b/>
                <w:i/>
                <w:iCs/>
              </w:rPr>
              <w:t> </w:t>
            </w:r>
            <w:r w:rsidRPr="00F6739E">
              <w:rPr>
                <w:b/>
                <w:i/>
                <w:iCs/>
              </w:rPr>
              <w:t>583</w:t>
            </w:r>
          </w:p>
        </w:tc>
        <w:tc>
          <w:tcPr>
            <w:tcW w:w="511" w:type="pct"/>
            <w:vAlign w:val="center"/>
            <w:hideMark/>
          </w:tcPr>
          <w:p w14:paraId="513075B0" w14:textId="26AF45F6" w:rsidR="00401BFE" w:rsidRPr="0021616E" w:rsidRDefault="00401BFE" w:rsidP="00401BFE">
            <w:pPr>
              <w:jc w:val="center"/>
              <w:rPr>
                <w:iCs/>
                <w:lang w:val="en-US"/>
              </w:rPr>
            </w:pPr>
          </w:p>
        </w:tc>
        <w:tc>
          <w:tcPr>
            <w:tcW w:w="524" w:type="pct"/>
            <w:vAlign w:val="center"/>
            <w:hideMark/>
          </w:tcPr>
          <w:p w14:paraId="4B1FCFAE" w14:textId="1DB0D52E" w:rsidR="00401BFE" w:rsidRPr="0021616E" w:rsidRDefault="00401BFE" w:rsidP="00401BFE">
            <w:pPr>
              <w:jc w:val="center"/>
              <w:rPr>
                <w:iCs/>
                <w:lang w:val="en-US"/>
              </w:rPr>
            </w:pPr>
            <w:r>
              <w:rPr>
                <w:b/>
                <w:i/>
                <w:iCs/>
                <w:lang w:val="en-US"/>
              </w:rPr>
              <w:t>7 136 656</w:t>
            </w:r>
          </w:p>
        </w:tc>
        <w:tc>
          <w:tcPr>
            <w:tcW w:w="511" w:type="pct"/>
            <w:vAlign w:val="center"/>
            <w:hideMark/>
          </w:tcPr>
          <w:p w14:paraId="1E6F31E3" w14:textId="77777777" w:rsidR="00401BFE" w:rsidRPr="0021616E" w:rsidRDefault="00401BFE" w:rsidP="00401BFE">
            <w:pPr>
              <w:rPr>
                <w:iCs/>
                <w:lang w:val="en-US"/>
              </w:rPr>
            </w:pPr>
            <w:r w:rsidRPr="0021616E">
              <w:rPr>
                <w:iCs/>
                <w:lang w:val="en-US"/>
              </w:rPr>
              <w:t> </w:t>
            </w:r>
          </w:p>
        </w:tc>
        <w:tc>
          <w:tcPr>
            <w:tcW w:w="663" w:type="pct"/>
            <w:vAlign w:val="center"/>
            <w:hideMark/>
          </w:tcPr>
          <w:p w14:paraId="2AD9859E" w14:textId="77777777" w:rsidR="00401BFE" w:rsidRPr="0021616E" w:rsidRDefault="00401BFE" w:rsidP="00401BFE">
            <w:pPr>
              <w:rPr>
                <w:iCs/>
                <w:lang w:val="en-US"/>
              </w:rPr>
            </w:pPr>
            <w:r w:rsidRPr="0021616E">
              <w:rPr>
                <w:iCs/>
                <w:lang w:val="en-US"/>
              </w:rPr>
              <w:t> </w:t>
            </w:r>
          </w:p>
        </w:tc>
      </w:tr>
      <w:tr w:rsidR="00401BFE" w:rsidRPr="0021616E" w14:paraId="16110F97" w14:textId="77777777" w:rsidTr="00947FCE">
        <w:trPr>
          <w:tblCellSpacing w:w="15" w:type="dxa"/>
        </w:trPr>
        <w:tc>
          <w:tcPr>
            <w:tcW w:w="1093" w:type="pct"/>
            <w:gridSpan w:val="2"/>
            <w:hideMark/>
          </w:tcPr>
          <w:p w14:paraId="570C941D" w14:textId="77777777" w:rsidR="00401BFE" w:rsidRPr="0021616E" w:rsidRDefault="00401BFE" w:rsidP="00401BFE">
            <w:pPr>
              <w:rPr>
                <w:iCs/>
                <w:lang w:val="en-US"/>
              </w:rPr>
            </w:pPr>
            <w:r w:rsidRPr="0021616E">
              <w:rPr>
                <w:iCs/>
                <w:lang w:val="en-US"/>
              </w:rPr>
              <w:t xml:space="preserve">1.2. </w:t>
            </w:r>
            <w:proofErr w:type="spellStart"/>
            <w:r w:rsidRPr="0021616E">
              <w:rPr>
                <w:iCs/>
                <w:lang w:val="en-US"/>
              </w:rPr>
              <w:t>valsts</w:t>
            </w:r>
            <w:proofErr w:type="spellEnd"/>
            <w:r w:rsidRPr="0021616E">
              <w:rPr>
                <w:iCs/>
                <w:lang w:val="en-US"/>
              </w:rPr>
              <w:t xml:space="preserve"> </w:t>
            </w:r>
            <w:proofErr w:type="spellStart"/>
            <w:r w:rsidRPr="0021616E">
              <w:rPr>
                <w:iCs/>
                <w:lang w:val="en-US"/>
              </w:rPr>
              <w:t>speciālais</w:t>
            </w:r>
            <w:proofErr w:type="spellEnd"/>
            <w:r w:rsidRPr="0021616E">
              <w:rPr>
                <w:iCs/>
                <w:lang w:val="en-US"/>
              </w:rPr>
              <w:t xml:space="preserve"> </w:t>
            </w:r>
            <w:proofErr w:type="spellStart"/>
            <w:r w:rsidRPr="0021616E">
              <w:rPr>
                <w:iCs/>
                <w:lang w:val="en-US"/>
              </w:rPr>
              <w:t>budžets</w:t>
            </w:r>
            <w:proofErr w:type="spellEnd"/>
          </w:p>
        </w:tc>
        <w:tc>
          <w:tcPr>
            <w:tcW w:w="525" w:type="pct"/>
            <w:gridSpan w:val="2"/>
            <w:vAlign w:val="center"/>
            <w:hideMark/>
          </w:tcPr>
          <w:p w14:paraId="189AEE49" w14:textId="19224160" w:rsidR="00401BFE" w:rsidRPr="0021616E" w:rsidRDefault="00401BFE" w:rsidP="00401BFE">
            <w:pPr>
              <w:jc w:val="center"/>
              <w:rPr>
                <w:iCs/>
                <w:lang w:val="en-US"/>
              </w:rPr>
            </w:pPr>
          </w:p>
        </w:tc>
        <w:tc>
          <w:tcPr>
            <w:tcW w:w="511" w:type="pct"/>
            <w:vAlign w:val="center"/>
            <w:hideMark/>
          </w:tcPr>
          <w:p w14:paraId="0AB42085" w14:textId="5232BB84" w:rsidR="00401BFE" w:rsidRPr="0021616E" w:rsidRDefault="00401BFE" w:rsidP="00401BFE">
            <w:pPr>
              <w:jc w:val="center"/>
              <w:rPr>
                <w:iCs/>
                <w:lang w:val="en-US"/>
              </w:rPr>
            </w:pPr>
          </w:p>
        </w:tc>
        <w:tc>
          <w:tcPr>
            <w:tcW w:w="524" w:type="pct"/>
            <w:vAlign w:val="center"/>
            <w:hideMark/>
          </w:tcPr>
          <w:p w14:paraId="3B50320F" w14:textId="7F50A744" w:rsidR="00401BFE" w:rsidRPr="0021616E" w:rsidRDefault="00401BFE" w:rsidP="00401BFE">
            <w:pPr>
              <w:jc w:val="center"/>
              <w:rPr>
                <w:iCs/>
                <w:lang w:val="en-US"/>
              </w:rPr>
            </w:pPr>
          </w:p>
        </w:tc>
        <w:tc>
          <w:tcPr>
            <w:tcW w:w="511" w:type="pct"/>
            <w:vAlign w:val="center"/>
            <w:hideMark/>
          </w:tcPr>
          <w:p w14:paraId="0E9D3594" w14:textId="542DE69F" w:rsidR="00401BFE" w:rsidRPr="0021616E" w:rsidRDefault="00401BFE" w:rsidP="00401BFE">
            <w:pPr>
              <w:jc w:val="center"/>
              <w:rPr>
                <w:iCs/>
                <w:lang w:val="en-US"/>
              </w:rPr>
            </w:pPr>
          </w:p>
        </w:tc>
        <w:tc>
          <w:tcPr>
            <w:tcW w:w="524" w:type="pct"/>
            <w:vAlign w:val="center"/>
            <w:hideMark/>
          </w:tcPr>
          <w:p w14:paraId="401D3739" w14:textId="7FF5329B" w:rsidR="00401BFE" w:rsidRPr="0021616E" w:rsidRDefault="00401BFE" w:rsidP="00401BFE">
            <w:pPr>
              <w:jc w:val="center"/>
              <w:rPr>
                <w:iCs/>
                <w:lang w:val="en-US"/>
              </w:rPr>
            </w:pPr>
          </w:p>
        </w:tc>
        <w:tc>
          <w:tcPr>
            <w:tcW w:w="511" w:type="pct"/>
            <w:vAlign w:val="center"/>
            <w:hideMark/>
          </w:tcPr>
          <w:p w14:paraId="3BDC51FC" w14:textId="77777777" w:rsidR="00401BFE" w:rsidRPr="0021616E" w:rsidRDefault="00401BFE" w:rsidP="00401BFE">
            <w:pPr>
              <w:rPr>
                <w:iCs/>
                <w:lang w:val="en-US"/>
              </w:rPr>
            </w:pPr>
            <w:r w:rsidRPr="0021616E">
              <w:rPr>
                <w:iCs/>
                <w:lang w:val="en-US"/>
              </w:rPr>
              <w:t> </w:t>
            </w:r>
          </w:p>
        </w:tc>
        <w:tc>
          <w:tcPr>
            <w:tcW w:w="663" w:type="pct"/>
            <w:vAlign w:val="center"/>
            <w:hideMark/>
          </w:tcPr>
          <w:p w14:paraId="0E4206F1" w14:textId="77777777" w:rsidR="00401BFE" w:rsidRPr="0021616E" w:rsidRDefault="00401BFE" w:rsidP="00401BFE">
            <w:pPr>
              <w:rPr>
                <w:iCs/>
                <w:lang w:val="en-US"/>
              </w:rPr>
            </w:pPr>
            <w:r w:rsidRPr="0021616E">
              <w:rPr>
                <w:iCs/>
                <w:lang w:val="en-US"/>
              </w:rPr>
              <w:t> </w:t>
            </w:r>
          </w:p>
        </w:tc>
      </w:tr>
      <w:tr w:rsidR="00401BFE" w:rsidRPr="0021616E" w14:paraId="4A266808" w14:textId="77777777" w:rsidTr="00947FCE">
        <w:trPr>
          <w:tblCellSpacing w:w="15" w:type="dxa"/>
        </w:trPr>
        <w:tc>
          <w:tcPr>
            <w:tcW w:w="1093" w:type="pct"/>
            <w:gridSpan w:val="2"/>
            <w:hideMark/>
          </w:tcPr>
          <w:p w14:paraId="278FC4A3" w14:textId="77777777" w:rsidR="00401BFE" w:rsidRPr="0021616E" w:rsidRDefault="00401BFE" w:rsidP="00401BFE">
            <w:pPr>
              <w:rPr>
                <w:iCs/>
                <w:lang w:val="en-US"/>
              </w:rPr>
            </w:pPr>
            <w:r w:rsidRPr="0021616E">
              <w:rPr>
                <w:iCs/>
                <w:lang w:val="en-US"/>
              </w:rPr>
              <w:t xml:space="preserve">1.3. </w:t>
            </w:r>
            <w:proofErr w:type="spellStart"/>
            <w:r w:rsidRPr="0021616E">
              <w:rPr>
                <w:iCs/>
                <w:lang w:val="en-US"/>
              </w:rPr>
              <w:t>pašvaldību</w:t>
            </w:r>
            <w:proofErr w:type="spellEnd"/>
            <w:r w:rsidRPr="0021616E">
              <w:rPr>
                <w:iCs/>
                <w:lang w:val="en-US"/>
              </w:rPr>
              <w:t xml:space="preserve"> </w:t>
            </w:r>
            <w:proofErr w:type="spellStart"/>
            <w:r w:rsidRPr="0021616E">
              <w:rPr>
                <w:iCs/>
                <w:lang w:val="en-US"/>
              </w:rPr>
              <w:t>budžets</w:t>
            </w:r>
            <w:proofErr w:type="spellEnd"/>
          </w:p>
        </w:tc>
        <w:tc>
          <w:tcPr>
            <w:tcW w:w="525" w:type="pct"/>
            <w:gridSpan w:val="2"/>
            <w:vAlign w:val="center"/>
            <w:hideMark/>
          </w:tcPr>
          <w:p w14:paraId="51775E35" w14:textId="7CA36422" w:rsidR="00401BFE" w:rsidRPr="0021616E" w:rsidRDefault="00401BFE" w:rsidP="00401BFE">
            <w:pPr>
              <w:jc w:val="center"/>
              <w:rPr>
                <w:iCs/>
                <w:lang w:val="en-US"/>
              </w:rPr>
            </w:pPr>
          </w:p>
        </w:tc>
        <w:tc>
          <w:tcPr>
            <w:tcW w:w="511" w:type="pct"/>
            <w:vAlign w:val="center"/>
            <w:hideMark/>
          </w:tcPr>
          <w:p w14:paraId="6B65EB8C" w14:textId="2345680F" w:rsidR="00401BFE" w:rsidRPr="0021616E" w:rsidRDefault="00401BFE" w:rsidP="00401BFE">
            <w:pPr>
              <w:jc w:val="center"/>
              <w:rPr>
                <w:iCs/>
                <w:lang w:val="en-US"/>
              </w:rPr>
            </w:pPr>
          </w:p>
        </w:tc>
        <w:tc>
          <w:tcPr>
            <w:tcW w:w="524" w:type="pct"/>
            <w:vAlign w:val="center"/>
            <w:hideMark/>
          </w:tcPr>
          <w:p w14:paraId="400A40F6" w14:textId="38B5DD18" w:rsidR="00401BFE" w:rsidRPr="0021616E" w:rsidRDefault="00401BFE" w:rsidP="00401BFE">
            <w:pPr>
              <w:jc w:val="center"/>
              <w:rPr>
                <w:iCs/>
                <w:lang w:val="en-US"/>
              </w:rPr>
            </w:pPr>
          </w:p>
        </w:tc>
        <w:tc>
          <w:tcPr>
            <w:tcW w:w="511" w:type="pct"/>
            <w:vAlign w:val="center"/>
            <w:hideMark/>
          </w:tcPr>
          <w:p w14:paraId="646AF4CE" w14:textId="33EFACCC" w:rsidR="00401BFE" w:rsidRPr="0021616E" w:rsidRDefault="00401BFE" w:rsidP="00401BFE">
            <w:pPr>
              <w:jc w:val="center"/>
              <w:rPr>
                <w:iCs/>
                <w:lang w:val="en-US"/>
              </w:rPr>
            </w:pPr>
          </w:p>
        </w:tc>
        <w:tc>
          <w:tcPr>
            <w:tcW w:w="524" w:type="pct"/>
            <w:vAlign w:val="center"/>
            <w:hideMark/>
          </w:tcPr>
          <w:p w14:paraId="763E8210" w14:textId="0CC4E81A" w:rsidR="00401BFE" w:rsidRPr="0021616E" w:rsidRDefault="00401BFE" w:rsidP="00401BFE">
            <w:pPr>
              <w:jc w:val="center"/>
              <w:rPr>
                <w:iCs/>
                <w:lang w:val="en-US"/>
              </w:rPr>
            </w:pPr>
          </w:p>
        </w:tc>
        <w:tc>
          <w:tcPr>
            <w:tcW w:w="511" w:type="pct"/>
            <w:vAlign w:val="center"/>
            <w:hideMark/>
          </w:tcPr>
          <w:p w14:paraId="571089FC" w14:textId="77777777" w:rsidR="00401BFE" w:rsidRPr="0021616E" w:rsidRDefault="00401BFE" w:rsidP="00401BFE">
            <w:pPr>
              <w:rPr>
                <w:iCs/>
                <w:lang w:val="en-US"/>
              </w:rPr>
            </w:pPr>
            <w:r w:rsidRPr="0021616E">
              <w:rPr>
                <w:iCs/>
                <w:lang w:val="en-US"/>
              </w:rPr>
              <w:t> </w:t>
            </w:r>
          </w:p>
        </w:tc>
        <w:tc>
          <w:tcPr>
            <w:tcW w:w="663" w:type="pct"/>
            <w:vAlign w:val="center"/>
            <w:hideMark/>
          </w:tcPr>
          <w:p w14:paraId="308A7139" w14:textId="77777777" w:rsidR="00401BFE" w:rsidRPr="0021616E" w:rsidRDefault="00401BFE" w:rsidP="00401BFE">
            <w:pPr>
              <w:rPr>
                <w:iCs/>
                <w:lang w:val="en-US"/>
              </w:rPr>
            </w:pPr>
            <w:r w:rsidRPr="0021616E">
              <w:rPr>
                <w:iCs/>
                <w:lang w:val="en-US"/>
              </w:rPr>
              <w:t> </w:t>
            </w:r>
          </w:p>
        </w:tc>
      </w:tr>
      <w:tr w:rsidR="00401BFE" w:rsidRPr="0021616E" w14:paraId="2594C5DD" w14:textId="77777777" w:rsidTr="00947FCE">
        <w:trPr>
          <w:tblCellSpacing w:w="15" w:type="dxa"/>
        </w:trPr>
        <w:tc>
          <w:tcPr>
            <w:tcW w:w="1093" w:type="pct"/>
            <w:gridSpan w:val="2"/>
            <w:hideMark/>
          </w:tcPr>
          <w:p w14:paraId="3E71C9F5" w14:textId="77777777" w:rsidR="00401BFE" w:rsidRPr="0021616E" w:rsidRDefault="00401BFE" w:rsidP="00401BFE">
            <w:pPr>
              <w:rPr>
                <w:iCs/>
                <w:lang w:val="en-US"/>
              </w:rPr>
            </w:pPr>
            <w:r w:rsidRPr="0021616E">
              <w:rPr>
                <w:iCs/>
                <w:lang w:val="en-US"/>
              </w:rPr>
              <w:t xml:space="preserve">2. </w:t>
            </w:r>
            <w:proofErr w:type="spellStart"/>
            <w:r w:rsidRPr="0021616E">
              <w:rPr>
                <w:iCs/>
                <w:lang w:val="en-US"/>
              </w:rPr>
              <w:t>Budžeta</w:t>
            </w:r>
            <w:proofErr w:type="spellEnd"/>
            <w:r w:rsidRPr="0021616E">
              <w:rPr>
                <w:iCs/>
                <w:lang w:val="en-US"/>
              </w:rPr>
              <w:t xml:space="preserve"> </w:t>
            </w:r>
            <w:proofErr w:type="spellStart"/>
            <w:r w:rsidRPr="0021616E">
              <w:rPr>
                <w:iCs/>
                <w:lang w:val="en-US"/>
              </w:rPr>
              <w:t>izdevumi</w:t>
            </w:r>
            <w:proofErr w:type="spellEnd"/>
          </w:p>
        </w:tc>
        <w:tc>
          <w:tcPr>
            <w:tcW w:w="525" w:type="pct"/>
            <w:gridSpan w:val="2"/>
            <w:vAlign w:val="center"/>
            <w:hideMark/>
          </w:tcPr>
          <w:p w14:paraId="2E5D87AF" w14:textId="7908E6B0" w:rsidR="00401BFE" w:rsidRPr="00934DCB" w:rsidRDefault="00401BFE" w:rsidP="00401BFE">
            <w:pPr>
              <w:jc w:val="center"/>
              <w:rPr>
                <w:b/>
                <w:i/>
                <w:iCs/>
                <w:lang w:val="en-US"/>
              </w:rPr>
            </w:pPr>
            <w:r>
              <w:rPr>
                <w:b/>
                <w:i/>
                <w:iCs/>
                <w:lang w:val="en-US"/>
              </w:rPr>
              <w:t>5 479 785</w:t>
            </w:r>
          </w:p>
        </w:tc>
        <w:tc>
          <w:tcPr>
            <w:tcW w:w="511" w:type="pct"/>
            <w:vAlign w:val="center"/>
            <w:hideMark/>
          </w:tcPr>
          <w:p w14:paraId="552B0995" w14:textId="6586E572" w:rsidR="00401BFE" w:rsidRPr="00934DCB" w:rsidRDefault="00401BFE" w:rsidP="00401BFE">
            <w:pPr>
              <w:jc w:val="center"/>
              <w:rPr>
                <w:b/>
                <w:i/>
                <w:iCs/>
                <w:lang w:val="en-US"/>
              </w:rPr>
            </w:pPr>
            <w:r w:rsidRPr="00934DCB">
              <w:rPr>
                <w:b/>
                <w:i/>
                <w:iCs/>
                <w:lang w:val="en-US"/>
              </w:rPr>
              <w:t>0</w:t>
            </w:r>
          </w:p>
        </w:tc>
        <w:tc>
          <w:tcPr>
            <w:tcW w:w="524" w:type="pct"/>
            <w:vAlign w:val="center"/>
            <w:hideMark/>
          </w:tcPr>
          <w:p w14:paraId="6F1B7E21" w14:textId="67D866E7" w:rsidR="00401BFE" w:rsidRPr="00934DCB" w:rsidRDefault="00401BFE" w:rsidP="00401BFE">
            <w:pPr>
              <w:jc w:val="center"/>
              <w:rPr>
                <w:b/>
                <w:i/>
                <w:iCs/>
                <w:lang w:val="en-US"/>
              </w:rPr>
            </w:pPr>
            <w:r w:rsidRPr="00F6739E">
              <w:rPr>
                <w:b/>
                <w:i/>
                <w:iCs/>
              </w:rPr>
              <w:t>6</w:t>
            </w:r>
            <w:r>
              <w:rPr>
                <w:b/>
                <w:i/>
                <w:iCs/>
              </w:rPr>
              <w:t> </w:t>
            </w:r>
            <w:r w:rsidRPr="00F6739E">
              <w:rPr>
                <w:b/>
                <w:i/>
                <w:iCs/>
              </w:rPr>
              <w:t>999</w:t>
            </w:r>
            <w:r>
              <w:rPr>
                <w:b/>
                <w:i/>
                <w:iCs/>
              </w:rPr>
              <w:t> </w:t>
            </w:r>
            <w:r w:rsidRPr="00F6739E">
              <w:rPr>
                <w:b/>
                <w:i/>
                <w:iCs/>
              </w:rPr>
              <w:t>583</w:t>
            </w:r>
          </w:p>
        </w:tc>
        <w:tc>
          <w:tcPr>
            <w:tcW w:w="511" w:type="pct"/>
            <w:vAlign w:val="center"/>
            <w:hideMark/>
          </w:tcPr>
          <w:p w14:paraId="0CC2B280" w14:textId="031D3BD5" w:rsidR="00401BFE" w:rsidRPr="00934DCB" w:rsidRDefault="00401BFE" w:rsidP="00401BFE">
            <w:pPr>
              <w:jc w:val="center"/>
              <w:rPr>
                <w:b/>
                <w:i/>
                <w:iCs/>
                <w:lang w:val="en-US"/>
              </w:rPr>
            </w:pPr>
          </w:p>
        </w:tc>
        <w:tc>
          <w:tcPr>
            <w:tcW w:w="524" w:type="pct"/>
            <w:vAlign w:val="center"/>
            <w:hideMark/>
          </w:tcPr>
          <w:p w14:paraId="24468B61" w14:textId="138CFFB2" w:rsidR="00401BFE" w:rsidRPr="00934DCB" w:rsidRDefault="00401BFE" w:rsidP="00401BFE">
            <w:pPr>
              <w:jc w:val="center"/>
              <w:rPr>
                <w:b/>
                <w:i/>
                <w:iCs/>
                <w:lang w:val="en-US"/>
              </w:rPr>
            </w:pPr>
            <w:r>
              <w:rPr>
                <w:b/>
                <w:i/>
                <w:iCs/>
                <w:lang w:val="en-US"/>
              </w:rPr>
              <w:t>7 136 656</w:t>
            </w:r>
          </w:p>
        </w:tc>
        <w:tc>
          <w:tcPr>
            <w:tcW w:w="511" w:type="pct"/>
            <w:vAlign w:val="center"/>
            <w:hideMark/>
          </w:tcPr>
          <w:p w14:paraId="415DC887" w14:textId="77777777" w:rsidR="00401BFE" w:rsidRPr="00934DCB" w:rsidRDefault="00401BFE" w:rsidP="00401BFE">
            <w:pPr>
              <w:rPr>
                <w:b/>
                <w:i/>
                <w:iCs/>
                <w:lang w:val="en-US"/>
              </w:rPr>
            </w:pPr>
            <w:r w:rsidRPr="00934DCB">
              <w:rPr>
                <w:b/>
                <w:i/>
                <w:iCs/>
                <w:lang w:val="en-US"/>
              </w:rPr>
              <w:t> </w:t>
            </w:r>
          </w:p>
        </w:tc>
        <w:tc>
          <w:tcPr>
            <w:tcW w:w="663" w:type="pct"/>
            <w:vAlign w:val="center"/>
            <w:hideMark/>
          </w:tcPr>
          <w:p w14:paraId="45E2B70A" w14:textId="06CB313B" w:rsidR="00401BFE" w:rsidRPr="0021616E" w:rsidRDefault="00401BFE" w:rsidP="00401BFE">
            <w:pPr>
              <w:rPr>
                <w:iCs/>
                <w:lang w:val="en-US"/>
              </w:rPr>
            </w:pPr>
            <w:r w:rsidRPr="0021616E">
              <w:rPr>
                <w:iCs/>
                <w:lang w:val="en-US"/>
              </w:rPr>
              <w:t> </w:t>
            </w:r>
          </w:p>
        </w:tc>
      </w:tr>
      <w:tr w:rsidR="00401BFE" w:rsidRPr="0021616E" w14:paraId="5F04FED5" w14:textId="77777777" w:rsidTr="00947FCE">
        <w:trPr>
          <w:tblCellSpacing w:w="15" w:type="dxa"/>
        </w:trPr>
        <w:tc>
          <w:tcPr>
            <w:tcW w:w="1093" w:type="pct"/>
            <w:gridSpan w:val="2"/>
            <w:hideMark/>
          </w:tcPr>
          <w:p w14:paraId="1A29AED3" w14:textId="77777777" w:rsidR="00401BFE" w:rsidRPr="000907B2" w:rsidRDefault="00401BFE" w:rsidP="00401BFE">
            <w:pPr>
              <w:rPr>
                <w:u w:val="single"/>
              </w:rPr>
            </w:pPr>
            <w:r w:rsidRPr="000907B2">
              <w:rPr>
                <w:u w:val="single"/>
              </w:rPr>
              <w:t>2.1. valsts pamatbudžets, t.sk.</w:t>
            </w:r>
          </w:p>
          <w:p w14:paraId="4C2485F4" w14:textId="77777777" w:rsidR="00401BFE" w:rsidRPr="000907B2" w:rsidRDefault="00401BFE" w:rsidP="00401BFE">
            <w:r w:rsidRPr="000907B2">
              <w:rPr>
                <w:u w:val="single"/>
              </w:rPr>
              <w:t>Sabiedrības integrācijas fonda</w:t>
            </w:r>
            <w:r w:rsidRPr="000907B2">
              <w:t xml:space="preserve"> budžeta </w:t>
            </w:r>
            <w:r w:rsidRPr="000907B2">
              <w:lastRenderedPageBreak/>
              <w:t>apakšprogrammā 70.22.00. Eiropas Atbalsta fonda vistrūcīgākajām personām (2014-2020) pasākumu īstenošana</w:t>
            </w:r>
          </w:p>
          <w:p w14:paraId="3033CF69" w14:textId="77777777" w:rsidR="00401BFE" w:rsidRPr="000907B2" w:rsidRDefault="00401BFE" w:rsidP="00401BFE">
            <w:pPr>
              <w:rPr>
                <w:i/>
              </w:rPr>
            </w:pPr>
            <w:r w:rsidRPr="000907B2">
              <w:rPr>
                <w:i/>
              </w:rPr>
              <w:t>t.sk.</w:t>
            </w:r>
          </w:p>
          <w:p w14:paraId="577770D9" w14:textId="4EA8CCF4" w:rsidR="00401BFE" w:rsidRPr="004C07EB" w:rsidRDefault="00401BFE" w:rsidP="00401BFE">
            <w:pPr>
              <w:rPr>
                <w:iCs/>
              </w:rPr>
            </w:pPr>
            <w:r w:rsidRPr="000907B2">
              <w:rPr>
                <w:i/>
              </w:rPr>
              <w:t>Eiropas Atbalsta fonda vistrūcīgākajām personām pārtikas un pamata materiālās palīdzības nodrošināšanai</w:t>
            </w:r>
          </w:p>
        </w:tc>
        <w:tc>
          <w:tcPr>
            <w:tcW w:w="525" w:type="pct"/>
            <w:gridSpan w:val="2"/>
            <w:vAlign w:val="center"/>
            <w:hideMark/>
          </w:tcPr>
          <w:p w14:paraId="2CB681D4" w14:textId="233A14AD" w:rsidR="00401BFE" w:rsidRPr="00934DCB" w:rsidRDefault="00401BFE" w:rsidP="00401BFE">
            <w:pPr>
              <w:jc w:val="center"/>
              <w:rPr>
                <w:b/>
                <w:i/>
                <w:iCs/>
              </w:rPr>
            </w:pPr>
            <w:r>
              <w:rPr>
                <w:b/>
                <w:i/>
                <w:iCs/>
              </w:rPr>
              <w:lastRenderedPageBreak/>
              <w:t>5 479 785</w:t>
            </w:r>
          </w:p>
          <w:p w14:paraId="709F708A" w14:textId="77777777" w:rsidR="00401BFE" w:rsidRPr="00934DCB" w:rsidRDefault="00401BFE" w:rsidP="00401BFE">
            <w:pPr>
              <w:jc w:val="center"/>
              <w:rPr>
                <w:b/>
                <w:i/>
                <w:iCs/>
              </w:rPr>
            </w:pPr>
          </w:p>
          <w:p w14:paraId="2FAD45C3" w14:textId="77777777" w:rsidR="00401BFE" w:rsidRPr="00934DCB" w:rsidRDefault="00401BFE" w:rsidP="00401BFE">
            <w:pPr>
              <w:jc w:val="center"/>
              <w:rPr>
                <w:b/>
                <w:i/>
                <w:iCs/>
              </w:rPr>
            </w:pPr>
          </w:p>
          <w:p w14:paraId="255A0569" w14:textId="77777777" w:rsidR="00401BFE" w:rsidRPr="00934DCB" w:rsidRDefault="00401BFE" w:rsidP="00401BFE">
            <w:pPr>
              <w:jc w:val="center"/>
              <w:rPr>
                <w:b/>
                <w:i/>
                <w:iCs/>
              </w:rPr>
            </w:pPr>
          </w:p>
          <w:p w14:paraId="098E5022" w14:textId="77777777" w:rsidR="00401BFE" w:rsidRPr="00934DCB" w:rsidRDefault="00401BFE" w:rsidP="00401BFE">
            <w:pPr>
              <w:jc w:val="center"/>
              <w:rPr>
                <w:b/>
                <w:i/>
                <w:iCs/>
              </w:rPr>
            </w:pPr>
          </w:p>
          <w:p w14:paraId="33A4EAAA" w14:textId="77777777" w:rsidR="00401BFE" w:rsidRPr="00934DCB" w:rsidRDefault="00401BFE" w:rsidP="00401BFE">
            <w:pPr>
              <w:jc w:val="center"/>
              <w:rPr>
                <w:b/>
                <w:i/>
                <w:iCs/>
              </w:rPr>
            </w:pPr>
          </w:p>
          <w:p w14:paraId="58CB4C14" w14:textId="77777777" w:rsidR="00401BFE" w:rsidRPr="00934DCB" w:rsidRDefault="00401BFE" w:rsidP="00401BFE">
            <w:pPr>
              <w:jc w:val="center"/>
              <w:rPr>
                <w:b/>
                <w:i/>
                <w:iCs/>
              </w:rPr>
            </w:pPr>
          </w:p>
          <w:p w14:paraId="0A3290AF" w14:textId="77777777" w:rsidR="00401BFE" w:rsidRPr="00934DCB" w:rsidRDefault="00401BFE" w:rsidP="00401BFE">
            <w:pPr>
              <w:jc w:val="center"/>
              <w:rPr>
                <w:b/>
                <w:i/>
                <w:iCs/>
              </w:rPr>
            </w:pPr>
          </w:p>
          <w:p w14:paraId="50E52EE3" w14:textId="77777777" w:rsidR="00401BFE" w:rsidRPr="00934DCB" w:rsidRDefault="00401BFE" w:rsidP="00401BFE">
            <w:pPr>
              <w:jc w:val="center"/>
              <w:rPr>
                <w:b/>
                <w:i/>
                <w:iCs/>
              </w:rPr>
            </w:pPr>
          </w:p>
          <w:p w14:paraId="1C310C33" w14:textId="40226683" w:rsidR="00401BFE" w:rsidRPr="00934DCB" w:rsidRDefault="00401BFE" w:rsidP="00401BFE">
            <w:pPr>
              <w:jc w:val="center"/>
              <w:rPr>
                <w:b/>
                <w:i/>
                <w:iCs/>
              </w:rPr>
            </w:pPr>
            <w:r>
              <w:rPr>
                <w:b/>
                <w:i/>
                <w:iCs/>
              </w:rPr>
              <w:t>5 333 843</w:t>
            </w:r>
          </w:p>
        </w:tc>
        <w:tc>
          <w:tcPr>
            <w:tcW w:w="511" w:type="pct"/>
            <w:vAlign w:val="center"/>
            <w:hideMark/>
          </w:tcPr>
          <w:p w14:paraId="7B9AE7BE" w14:textId="0638067F" w:rsidR="00401BFE" w:rsidRPr="00934DCB" w:rsidRDefault="00401BFE" w:rsidP="00401BFE">
            <w:pPr>
              <w:jc w:val="center"/>
              <w:rPr>
                <w:b/>
                <w:i/>
                <w:iCs/>
              </w:rPr>
            </w:pPr>
            <w:r w:rsidRPr="00934DCB">
              <w:rPr>
                <w:b/>
                <w:i/>
                <w:iCs/>
              </w:rPr>
              <w:lastRenderedPageBreak/>
              <w:t>0</w:t>
            </w:r>
          </w:p>
          <w:p w14:paraId="00B95E8A" w14:textId="77777777" w:rsidR="00401BFE" w:rsidRPr="00934DCB" w:rsidRDefault="00401BFE" w:rsidP="00401BFE">
            <w:pPr>
              <w:jc w:val="center"/>
              <w:rPr>
                <w:b/>
                <w:i/>
                <w:iCs/>
              </w:rPr>
            </w:pPr>
          </w:p>
          <w:p w14:paraId="626C7792" w14:textId="77777777" w:rsidR="00401BFE" w:rsidRPr="00934DCB" w:rsidRDefault="00401BFE" w:rsidP="00401BFE">
            <w:pPr>
              <w:jc w:val="center"/>
              <w:rPr>
                <w:b/>
                <w:i/>
                <w:iCs/>
              </w:rPr>
            </w:pPr>
          </w:p>
          <w:p w14:paraId="76341905" w14:textId="77777777" w:rsidR="00401BFE" w:rsidRPr="00934DCB" w:rsidRDefault="00401BFE" w:rsidP="00401BFE">
            <w:pPr>
              <w:jc w:val="center"/>
              <w:rPr>
                <w:b/>
                <w:i/>
                <w:iCs/>
              </w:rPr>
            </w:pPr>
          </w:p>
          <w:p w14:paraId="47B0B938" w14:textId="77777777" w:rsidR="00401BFE" w:rsidRPr="00934DCB" w:rsidRDefault="00401BFE" w:rsidP="00401BFE">
            <w:pPr>
              <w:jc w:val="center"/>
              <w:rPr>
                <w:b/>
                <w:i/>
                <w:iCs/>
              </w:rPr>
            </w:pPr>
          </w:p>
          <w:p w14:paraId="61BE8277" w14:textId="77777777" w:rsidR="00401BFE" w:rsidRPr="00934DCB" w:rsidRDefault="00401BFE" w:rsidP="00401BFE">
            <w:pPr>
              <w:jc w:val="center"/>
              <w:rPr>
                <w:b/>
                <w:i/>
                <w:iCs/>
              </w:rPr>
            </w:pPr>
          </w:p>
          <w:p w14:paraId="64A0095D" w14:textId="77777777" w:rsidR="00401BFE" w:rsidRPr="00934DCB" w:rsidRDefault="00401BFE" w:rsidP="00401BFE">
            <w:pPr>
              <w:jc w:val="center"/>
              <w:rPr>
                <w:b/>
                <w:i/>
                <w:iCs/>
              </w:rPr>
            </w:pPr>
          </w:p>
          <w:p w14:paraId="6A941178" w14:textId="77777777" w:rsidR="00401BFE" w:rsidRPr="00934DCB" w:rsidRDefault="00401BFE" w:rsidP="00401BFE">
            <w:pPr>
              <w:jc w:val="center"/>
              <w:rPr>
                <w:b/>
                <w:i/>
                <w:iCs/>
              </w:rPr>
            </w:pPr>
          </w:p>
          <w:p w14:paraId="4D6F1CE2" w14:textId="77777777" w:rsidR="00401BFE" w:rsidRPr="00934DCB" w:rsidRDefault="00401BFE" w:rsidP="00401BFE">
            <w:pPr>
              <w:jc w:val="center"/>
              <w:rPr>
                <w:b/>
                <w:i/>
                <w:iCs/>
              </w:rPr>
            </w:pPr>
          </w:p>
          <w:p w14:paraId="20ADD26D" w14:textId="3AB3E058" w:rsidR="00401BFE" w:rsidRPr="00934DCB" w:rsidRDefault="00401BFE" w:rsidP="00401BFE">
            <w:pPr>
              <w:jc w:val="center"/>
              <w:rPr>
                <w:b/>
                <w:i/>
                <w:iCs/>
              </w:rPr>
            </w:pPr>
            <w:r w:rsidRPr="00934DCB">
              <w:rPr>
                <w:b/>
                <w:i/>
                <w:iCs/>
              </w:rPr>
              <w:t>0</w:t>
            </w:r>
          </w:p>
        </w:tc>
        <w:tc>
          <w:tcPr>
            <w:tcW w:w="524" w:type="pct"/>
            <w:vAlign w:val="center"/>
            <w:hideMark/>
          </w:tcPr>
          <w:p w14:paraId="21B26C6F" w14:textId="2E5DDADA" w:rsidR="00401BFE" w:rsidRPr="00934DCB" w:rsidRDefault="00401BFE" w:rsidP="00401BFE">
            <w:pPr>
              <w:jc w:val="center"/>
              <w:rPr>
                <w:b/>
                <w:i/>
                <w:iCs/>
              </w:rPr>
            </w:pPr>
            <w:r w:rsidRPr="00F6739E">
              <w:rPr>
                <w:b/>
                <w:i/>
                <w:iCs/>
              </w:rPr>
              <w:lastRenderedPageBreak/>
              <w:t>6</w:t>
            </w:r>
            <w:r>
              <w:rPr>
                <w:b/>
                <w:i/>
                <w:iCs/>
              </w:rPr>
              <w:t> </w:t>
            </w:r>
            <w:r w:rsidRPr="00F6739E">
              <w:rPr>
                <w:b/>
                <w:i/>
                <w:iCs/>
              </w:rPr>
              <w:t>999</w:t>
            </w:r>
            <w:r>
              <w:rPr>
                <w:b/>
                <w:i/>
                <w:iCs/>
              </w:rPr>
              <w:t> </w:t>
            </w:r>
            <w:r w:rsidRPr="00F6739E">
              <w:rPr>
                <w:b/>
                <w:i/>
                <w:iCs/>
              </w:rPr>
              <w:t>583</w:t>
            </w:r>
          </w:p>
          <w:p w14:paraId="74E9135D" w14:textId="77777777" w:rsidR="00401BFE" w:rsidRPr="00934DCB" w:rsidRDefault="00401BFE" w:rsidP="00401BFE">
            <w:pPr>
              <w:jc w:val="center"/>
              <w:rPr>
                <w:b/>
                <w:i/>
                <w:iCs/>
              </w:rPr>
            </w:pPr>
          </w:p>
          <w:p w14:paraId="2C98D2DE" w14:textId="77777777" w:rsidR="00401BFE" w:rsidRPr="00934DCB" w:rsidRDefault="00401BFE" w:rsidP="00401BFE">
            <w:pPr>
              <w:jc w:val="center"/>
              <w:rPr>
                <w:b/>
                <w:i/>
                <w:iCs/>
              </w:rPr>
            </w:pPr>
          </w:p>
          <w:p w14:paraId="7DDE60B1" w14:textId="77777777" w:rsidR="00401BFE" w:rsidRPr="00934DCB" w:rsidRDefault="00401BFE" w:rsidP="00401BFE">
            <w:pPr>
              <w:jc w:val="center"/>
              <w:rPr>
                <w:b/>
                <w:i/>
                <w:iCs/>
              </w:rPr>
            </w:pPr>
          </w:p>
          <w:p w14:paraId="57306288" w14:textId="77777777" w:rsidR="00401BFE" w:rsidRPr="00934DCB" w:rsidRDefault="00401BFE" w:rsidP="00401BFE">
            <w:pPr>
              <w:jc w:val="center"/>
              <w:rPr>
                <w:b/>
                <w:i/>
                <w:iCs/>
              </w:rPr>
            </w:pPr>
          </w:p>
          <w:p w14:paraId="450C28F9" w14:textId="77777777" w:rsidR="00401BFE" w:rsidRPr="00934DCB" w:rsidRDefault="00401BFE" w:rsidP="00401BFE">
            <w:pPr>
              <w:jc w:val="center"/>
              <w:rPr>
                <w:b/>
                <w:i/>
                <w:iCs/>
              </w:rPr>
            </w:pPr>
          </w:p>
          <w:p w14:paraId="7E8CB298" w14:textId="77777777" w:rsidR="00401BFE" w:rsidRPr="00934DCB" w:rsidRDefault="00401BFE" w:rsidP="00401BFE">
            <w:pPr>
              <w:jc w:val="center"/>
              <w:rPr>
                <w:b/>
                <w:i/>
                <w:iCs/>
              </w:rPr>
            </w:pPr>
          </w:p>
          <w:p w14:paraId="4DBC4E42" w14:textId="77777777" w:rsidR="00401BFE" w:rsidRPr="00934DCB" w:rsidRDefault="00401BFE" w:rsidP="00401BFE">
            <w:pPr>
              <w:jc w:val="center"/>
              <w:rPr>
                <w:b/>
                <w:i/>
                <w:iCs/>
              </w:rPr>
            </w:pPr>
          </w:p>
          <w:p w14:paraId="4C1317B6" w14:textId="77777777" w:rsidR="00401BFE" w:rsidRPr="00934DCB" w:rsidRDefault="00401BFE" w:rsidP="00401BFE">
            <w:pPr>
              <w:jc w:val="center"/>
              <w:rPr>
                <w:b/>
                <w:i/>
                <w:iCs/>
              </w:rPr>
            </w:pPr>
          </w:p>
          <w:p w14:paraId="476E6787" w14:textId="20C7264B" w:rsidR="00401BFE" w:rsidRPr="00934DCB" w:rsidRDefault="00401BFE" w:rsidP="00401BFE">
            <w:pPr>
              <w:jc w:val="center"/>
              <w:rPr>
                <w:b/>
                <w:i/>
                <w:iCs/>
              </w:rPr>
            </w:pPr>
            <w:r>
              <w:rPr>
                <w:b/>
                <w:i/>
                <w:iCs/>
              </w:rPr>
              <w:t>6 853 641</w:t>
            </w:r>
          </w:p>
        </w:tc>
        <w:tc>
          <w:tcPr>
            <w:tcW w:w="511" w:type="pct"/>
            <w:vAlign w:val="center"/>
            <w:hideMark/>
          </w:tcPr>
          <w:p w14:paraId="71868E44" w14:textId="61A1B72F" w:rsidR="00401BFE" w:rsidRPr="00934DCB" w:rsidRDefault="00401BFE" w:rsidP="00401BFE">
            <w:pPr>
              <w:jc w:val="center"/>
              <w:rPr>
                <w:b/>
                <w:i/>
                <w:iCs/>
              </w:rPr>
            </w:pPr>
          </w:p>
        </w:tc>
        <w:tc>
          <w:tcPr>
            <w:tcW w:w="524" w:type="pct"/>
            <w:vAlign w:val="center"/>
            <w:hideMark/>
          </w:tcPr>
          <w:p w14:paraId="10473D4F" w14:textId="13FD65B0" w:rsidR="00401BFE" w:rsidRPr="00934DCB" w:rsidRDefault="00401BFE" w:rsidP="00401BFE">
            <w:pPr>
              <w:jc w:val="center"/>
              <w:rPr>
                <w:b/>
                <w:i/>
                <w:iCs/>
              </w:rPr>
            </w:pPr>
            <w:r w:rsidRPr="00B10007">
              <w:rPr>
                <w:b/>
                <w:i/>
                <w:iCs/>
                <w:lang w:val="en-US"/>
              </w:rPr>
              <w:t>7</w:t>
            </w:r>
            <w:r>
              <w:rPr>
                <w:b/>
                <w:i/>
                <w:iCs/>
                <w:lang w:val="en-US"/>
              </w:rPr>
              <w:t> </w:t>
            </w:r>
            <w:r w:rsidRPr="00B10007">
              <w:rPr>
                <w:b/>
                <w:i/>
                <w:iCs/>
                <w:lang w:val="en-US"/>
              </w:rPr>
              <w:t>136</w:t>
            </w:r>
            <w:r>
              <w:rPr>
                <w:b/>
                <w:i/>
                <w:iCs/>
                <w:lang w:val="en-US"/>
              </w:rPr>
              <w:t> </w:t>
            </w:r>
            <w:r w:rsidRPr="00B10007">
              <w:rPr>
                <w:b/>
                <w:i/>
                <w:iCs/>
                <w:lang w:val="en-US"/>
              </w:rPr>
              <w:t>656</w:t>
            </w:r>
          </w:p>
          <w:p w14:paraId="5336C71C" w14:textId="77777777" w:rsidR="00401BFE" w:rsidRPr="00934DCB" w:rsidRDefault="00401BFE" w:rsidP="00401BFE">
            <w:pPr>
              <w:jc w:val="center"/>
              <w:rPr>
                <w:b/>
                <w:i/>
                <w:iCs/>
              </w:rPr>
            </w:pPr>
          </w:p>
          <w:p w14:paraId="77815FED" w14:textId="77777777" w:rsidR="00401BFE" w:rsidRPr="00934DCB" w:rsidRDefault="00401BFE" w:rsidP="00401BFE">
            <w:pPr>
              <w:jc w:val="center"/>
              <w:rPr>
                <w:b/>
                <w:i/>
                <w:iCs/>
              </w:rPr>
            </w:pPr>
          </w:p>
          <w:p w14:paraId="3949F05F" w14:textId="77777777" w:rsidR="00401BFE" w:rsidRPr="00934DCB" w:rsidRDefault="00401BFE" w:rsidP="00401BFE">
            <w:pPr>
              <w:jc w:val="center"/>
              <w:rPr>
                <w:b/>
                <w:i/>
                <w:iCs/>
              </w:rPr>
            </w:pPr>
          </w:p>
          <w:p w14:paraId="64974E4B" w14:textId="77777777" w:rsidR="00401BFE" w:rsidRPr="00934DCB" w:rsidRDefault="00401BFE" w:rsidP="00401BFE">
            <w:pPr>
              <w:jc w:val="center"/>
              <w:rPr>
                <w:b/>
                <w:i/>
                <w:iCs/>
              </w:rPr>
            </w:pPr>
          </w:p>
          <w:p w14:paraId="7B0FA9D1" w14:textId="77777777" w:rsidR="00401BFE" w:rsidRPr="00934DCB" w:rsidRDefault="00401BFE" w:rsidP="00401BFE">
            <w:pPr>
              <w:jc w:val="center"/>
              <w:rPr>
                <w:b/>
                <w:i/>
                <w:iCs/>
              </w:rPr>
            </w:pPr>
          </w:p>
          <w:p w14:paraId="22F2A6DF" w14:textId="77777777" w:rsidR="00401BFE" w:rsidRPr="00934DCB" w:rsidRDefault="00401BFE" w:rsidP="00401BFE">
            <w:pPr>
              <w:jc w:val="center"/>
              <w:rPr>
                <w:b/>
                <w:i/>
                <w:iCs/>
              </w:rPr>
            </w:pPr>
          </w:p>
          <w:p w14:paraId="51F87ADF" w14:textId="77777777" w:rsidR="00401BFE" w:rsidRPr="00934DCB" w:rsidRDefault="00401BFE" w:rsidP="00401BFE">
            <w:pPr>
              <w:jc w:val="center"/>
              <w:rPr>
                <w:b/>
                <w:i/>
                <w:iCs/>
              </w:rPr>
            </w:pPr>
          </w:p>
          <w:p w14:paraId="448EB040" w14:textId="77777777" w:rsidR="00401BFE" w:rsidRPr="00934DCB" w:rsidRDefault="00401BFE" w:rsidP="00401BFE">
            <w:pPr>
              <w:jc w:val="center"/>
              <w:rPr>
                <w:b/>
                <w:i/>
                <w:iCs/>
              </w:rPr>
            </w:pPr>
          </w:p>
          <w:p w14:paraId="520CB9F1" w14:textId="1FB752EF" w:rsidR="00401BFE" w:rsidRPr="00934DCB" w:rsidRDefault="00401BFE" w:rsidP="00401BFE">
            <w:pPr>
              <w:jc w:val="center"/>
              <w:rPr>
                <w:b/>
                <w:i/>
                <w:iCs/>
              </w:rPr>
            </w:pPr>
            <w:r>
              <w:rPr>
                <w:b/>
                <w:i/>
                <w:iCs/>
              </w:rPr>
              <w:t>6 990 714</w:t>
            </w:r>
          </w:p>
        </w:tc>
        <w:tc>
          <w:tcPr>
            <w:tcW w:w="511" w:type="pct"/>
            <w:vAlign w:val="center"/>
            <w:hideMark/>
          </w:tcPr>
          <w:p w14:paraId="4D463A7A" w14:textId="77777777" w:rsidR="00401BFE" w:rsidRPr="00934DCB" w:rsidRDefault="00401BFE" w:rsidP="00401BFE">
            <w:pPr>
              <w:rPr>
                <w:b/>
                <w:i/>
                <w:iCs/>
              </w:rPr>
            </w:pPr>
            <w:r w:rsidRPr="00934DCB">
              <w:rPr>
                <w:b/>
                <w:i/>
                <w:iCs/>
              </w:rPr>
              <w:lastRenderedPageBreak/>
              <w:t> </w:t>
            </w:r>
          </w:p>
        </w:tc>
        <w:tc>
          <w:tcPr>
            <w:tcW w:w="663" w:type="pct"/>
            <w:vAlign w:val="center"/>
          </w:tcPr>
          <w:p w14:paraId="1A3E31B0" w14:textId="6AACEB49" w:rsidR="00401BFE" w:rsidRPr="004C07EB" w:rsidRDefault="00401BFE" w:rsidP="00401BFE">
            <w:pPr>
              <w:rPr>
                <w:iCs/>
              </w:rPr>
            </w:pPr>
          </w:p>
        </w:tc>
      </w:tr>
      <w:tr w:rsidR="00401BFE" w:rsidRPr="0021616E" w14:paraId="762FA743" w14:textId="77777777" w:rsidTr="00947FCE">
        <w:trPr>
          <w:tblCellSpacing w:w="15" w:type="dxa"/>
        </w:trPr>
        <w:tc>
          <w:tcPr>
            <w:tcW w:w="1093" w:type="pct"/>
            <w:gridSpan w:val="2"/>
            <w:hideMark/>
          </w:tcPr>
          <w:p w14:paraId="5DB11FAC" w14:textId="77777777" w:rsidR="00401BFE" w:rsidRPr="0021616E" w:rsidRDefault="00401BFE" w:rsidP="00401BFE">
            <w:pPr>
              <w:rPr>
                <w:iCs/>
                <w:lang w:val="en-US"/>
              </w:rPr>
            </w:pPr>
            <w:r w:rsidRPr="0021616E">
              <w:rPr>
                <w:iCs/>
                <w:lang w:val="en-US"/>
              </w:rPr>
              <w:t xml:space="preserve">2.2. </w:t>
            </w:r>
            <w:proofErr w:type="spellStart"/>
            <w:r w:rsidRPr="0021616E">
              <w:rPr>
                <w:iCs/>
                <w:lang w:val="en-US"/>
              </w:rPr>
              <w:t>valsts</w:t>
            </w:r>
            <w:proofErr w:type="spellEnd"/>
            <w:r w:rsidRPr="0021616E">
              <w:rPr>
                <w:iCs/>
                <w:lang w:val="en-US"/>
              </w:rPr>
              <w:t xml:space="preserve"> </w:t>
            </w:r>
            <w:proofErr w:type="spellStart"/>
            <w:r w:rsidRPr="0021616E">
              <w:rPr>
                <w:iCs/>
                <w:lang w:val="en-US"/>
              </w:rPr>
              <w:t>speciālais</w:t>
            </w:r>
            <w:proofErr w:type="spellEnd"/>
            <w:r w:rsidRPr="0021616E">
              <w:rPr>
                <w:iCs/>
                <w:lang w:val="en-US"/>
              </w:rPr>
              <w:t xml:space="preserve"> </w:t>
            </w:r>
            <w:proofErr w:type="spellStart"/>
            <w:r w:rsidRPr="0021616E">
              <w:rPr>
                <w:iCs/>
                <w:lang w:val="en-US"/>
              </w:rPr>
              <w:t>budžets</w:t>
            </w:r>
            <w:proofErr w:type="spellEnd"/>
          </w:p>
        </w:tc>
        <w:tc>
          <w:tcPr>
            <w:tcW w:w="525" w:type="pct"/>
            <w:gridSpan w:val="2"/>
            <w:vAlign w:val="center"/>
            <w:hideMark/>
          </w:tcPr>
          <w:p w14:paraId="6F18F1B5" w14:textId="77777777" w:rsidR="00401BFE" w:rsidRPr="0021616E" w:rsidRDefault="00401BFE" w:rsidP="00401BFE">
            <w:pPr>
              <w:rPr>
                <w:iCs/>
                <w:lang w:val="en-US"/>
              </w:rPr>
            </w:pPr>
            <w:r w:rsidRPr="0021616E">
              <w:rPr>
                <w:iCs/>
                <w:lang w:val="en-US"/>
              </w:rPr>
              <w:t> </w:t>
            </w:r>
          </w:p>
        </w:tc>
        <w:tc>
          <w:tcPr>
            <w:tcW w:w="511" w:type="pct"/>
            <w:vAlign w:val="center"/>
            <w:hideMark/>
          </w:tcPr>
          <w:p w14:paraId="2AFD9FFF" w14:textId="77777777" w:rsidR="00401BFE" w:rsidRPr="0021616E" w:rsidRDefault="00401BFE" w:rsidP="00401BFE">
            <w:pPr>
              <w:rPr>
                <w:iCs/>
                <w:lang w:val="en-US"/>
              </w:rPr>
            </w:pPr>
            <w:r w:rsidRPr="0021616E">
              <w:rPr>
                <w:iCs/>
                <w:lang w:val="en-US"/>
              </w:rPr>
              <w:t> </w:t>
            </w:r>
          </w:p>
        </w:tc>
        <w:tc>
          <w:tcPr>
            <w:tcW w:w="524" w:type="pct"/>
            <w:vAlign w:val="center"/>
            <w:hideMark/>
          </w:tcPr>
          <w:p w14:paraId="5EEFBB33" w14:textId="77777777" w:rsidR="00401BFE" w:rsidRPr="0021616E" w:rsidRDefault="00401BFE" w:rsidP="00401BFE">
            <w:pPr>
              <w:rPr>
                <w:iCs/>
                <w:lang w:val="en-US"/>
              </w:rPr>
            </w:pPr>
            <w:r w:rsidRPr="0021616E">
              <w:rPr>
                <w:iCs/>
                <w:lang w:val="en-US"/>
              </w:rPr>
              <w:t> </w:t>
            </w:r>
          </w:p>
        </w:tc>
        <w:tc>
          <w:tcPr>
            <w:tcW w:w="511" w:type="pct"/>
            <w:vAlign w:val="center"/>
            <w:hideMark/>
          </w:tcPr>
          <w:p w14:paraId="2DED6AE5" w14:textId="77777777" w:rsidR="00401BFE" w:rsidRPr="0021616E" w:rsidRDefault="00401BFE" w:rsidP="00401BFE">
            <w:pPr>
              <w:rPr>
                <w:iCs/>
                <w:lang w:val="en-US"/>
              </w:rPr>
            </w:pPr>
            <w:r w:rsidRPr="0021616E">
              <w:rPr>
                <w:iCs/>
                <w:lang w:val="en-US"/>
              </w:rPr>
              <w:t> </w:t>
            </w:r>
          </w:p>
        </w:tc>
        <w:tc>
          <w:tcPr>
            <w:tcW w:w="524" w:type="pct"/>
            <w:vAlign w:val="center"/>
            <w:hideMark/>
          </w:tcPr>
          <w:p w14:paraId="082AA517" w14:textId="77777777" w:rsidR="00401BFE" w:rsidRPr="0021616E" w:rsidRDefault="00401BFE" w:rsidP="00401BFE">
            <w:pPr>
              <w:rPr>
                <w:iCs/>
                <w:lang w:val="en-US"/>
              </w:rPr>
            </w:pPr>
            <w:r w:rsidRPr="0021616E">
              <w:rPr>
                <w:iCs/>
                <w:lang w:val="en-US"/>
              </w:rPr>
              <w:t> </w:t>
            </w:r>
          </w:p>
        </w:tc>
        <w:tc>
          <w:tcPr>
            <w:tcW w:w="511" w:type="pct"/>
            <w:vAlign w:val="center"/>
            <w:hideMark/>
          </w:tcPr>
          <w:p w14:paraId="670C2B49" w14:textId="77777777" w:rsidR="00401BFE" w:rsidRPr="0021616E" w:rsidRDefault="00401BFE" w:rsidP="00401BFE">
            <w:pPr>
              <w:rPr>
                <w:iCs/>
                <w:lang w:val="en-US"/>
              </w:rPr>
            </w:pPr>
            <w:r w:rsidRPr="0021616E">
              <w:rPr>
                <w:iCs/>
                <w:lang w:val="en-US"/>
              </w:rPr>
              <w:t> </w:t>
            </w:r>
          </w:p>
        </w:tc>
        <w:tc>
          <w:tcPr>
            <w:tcW w:w="663" w:type="pct"/>
            <w:vAlign w:val="center"/>
            <w:hideMark/>
          </w:tcPr>
          <w:p w14:paraId="58E577BE" w14:textId="77777777" w:rsidR="00401BFE" w:rsidRPr="0021616E" w:rsidRDefault="00401BFE" w:rsidP="00401BFE">
            <w:pPr>
              <w:rPr>
                <w:iCs/>
                <w:lang w:val="en-US"/>
              </w:rPr>
            </w:pPr>
            <w:r w:rsidRPr="0021616E">
              <w:rPr>
                <w:iCs/>
                <w:lang w:val="en-US"/>
              </w:rPr>
              <w:t> </w:t>
            </w:r>
          </w:p>
        </w:tc>
      </w:tr>
      <w:tr w:rsidR="00401BFE" w:rsidRPr="0021616E" w14:paraId="20911B0B" w14:textId="77777777" w:rsidTr="00947FCE">
        <w:trPr>
          <w:tblCellSpacing w:w="15" w:type="dxa"/>
        </w:trPr>
        <w:tc>
          <w:tcPr>
            <w:tcW w:w="1093" w:type="pct"/>
            <w:gridSpan w:val="2"/>
            <w:hideMark/>
          </w:tcPr>
          <w:p w14:paraId="1D309D1E" w14:textId="77777777" w:rsidR="00401BFE" w:rsidRPr="0021616E" w:rsidRDefault="00401BFE" w:rsidP="00401BFE">
            <w:pPr>
              <w:rPr>
                <w:iCs/>
                <w:lang w:val="en-US"/>
              </w:rPr>
            </w:pPr>
            <w:r w:rsidRPr="0021616E">
              <w:rPr>
                <w:iCs/>
                <w:lang w:val="en-US"/>
              </w:rPr>
              <w:t xml:space="preserve">2.3. </w:t>
            </w:r>
            <w:proofErr w:type="spellStart"/>
            <w:r w:rsidRPr="0021616E">
              <w:rPr>
                <w:iCs/>
                <w:lang w:val="en-US"/>
              </w:rPr>
              <w:t>pašvaldību</w:t>
            </w:r>
            <w:proofErr w:type="spellEnd"/>
            <w:r w:rsidRPr="0021616E">
              <w:rPr>
                <w:iCs/>
                <w:lang w:val="en-US"/>
              </w:rPr>
              <w:t xml:space="preserve"> </w:t>
            </w:r>
            <w:proofErr w:type="spellStart"/>
            <w:r w:rsidRPr="0021616E">
              <w:rPr>
                <w:iCs/>
                <w:lang w:val="en-US"/>
              </w:rPr>
              <w:t>budžets</w:t>
            </w:r>
            <w:proofErr w:type="spellEnd"/>
          </w:p>
        </w:tc>
        <w:tc>
          <w:tcPr>
            <w:tcW w:w="525" w:type="pct"/>
            <w:gridSpan w:val="2"/>
            <w:vAlign w:val="center"/>
            <w:hideMark/>
          </w:tcPr>
          <w:p w14:paraId="6D085167" w14:textId="77777777" w:rsidR="00401BFE" w:rsidRPr="0021616E" w:rsidRDefault="00401BFE" w:rsidP="00401BFE">
            <w:pPr>
              <w:rPr>
                <w:iCs/>
                <w:lang w:val="en-US"/>
              </w:rPr>
            </w:pPr>
            <w:r w:rsidRPr="0021616E">
              <w:rPr>
                <w:iCs/>
                <w:lang w:val="en-US"/>
              </w:rPr>
              <w:t> </w:t>
            </w:r>
          </w:p>
        </w:tc>
        <w:tc>
          <w:tcPr>
            <w:tcW w:w="511" w:type="pct"/>
            <w:vAlign w:val="center"/>
            <w:hideMark/>
          </w:tcPr>
          <w:p w14:paraId="7327BD86" w14:textId="77777777" w:rsidR="00401BFE" w:rsidRPr="0021616E" w:rsidRDefault="00401BFE" w:rsidP="00401BFE">
            <w:pPr>
              <w:rPr>
                <w:iCs/>
                <w:lang w:val="en-US"/>
              </w:rPr>
            </w:pPr>
            <w:r w:rsidRPr="0021616E">
              <w:rPr>
                <w:iCs/>
                <w:lang w:val="en-US"/>
              </w:rPr>
              <w:t> </w:t>
            </w:r>
          </w:p>
        </w:tc>
        <w:tc>
          <w:tcPr>
            <w:tcW w:w="524" w:type="pct"/>
            <w:vAlign w:val="center"/>
            <w:hideMark/>
          </w:tcPr>
          <w:p w14:paraId="569EA71A" w14:textId="77777777" w:rsidR="00401BFE" w:rsidRPr="0021616E" w:rsidRDefault="00401BFE" w:rsidP="00401BFE">
            <w:pPr>
              <w:rPr>
                <w:iCs/>
                <w:lang w:val="en-US"/>
              </w:rPr>
            </w:pPr>
            <w:r w:rsidRPr="0021616E">
              <w:rPr>
                <w:iCs/>
                <w:lang w:val="en-US"/>
              </w:rPr>
              <w:t> </w:t>
            </w:r>
          </w:p>
        </w:tc>
        <w:tc>
          <w:tcPr>
            <w:tcW w:w="511" w:type="pct"/>
            <w:vAlign w:val="center"/>
            <w:hideMark/>
          </w:tcPr>
          <w:p w14:paraId="1F7D802A" w14:textId="77777777" w:rsidR="00401BFE" w:rsidRPr="0021616E" w:rsidRDefault="00401BFE" w:rsidP="00401BFE">
            <w:pPr>
              <w:rPr>
                <w:iCs/>
                <w:lang w:val="en-US"/>
              </w:rPr>
            </w:pPr>
            <w:r w:rsidRPr="0021616E">
              <w:rPr>
                <w:iCs/>
                <w:lang w:val="en-US"/>
              </w:rPr>
              <w:t> </w:t>
            </w:r>
          </w:p>
        </w:tc>
        <w:tc>
          <w:tcPr>
            <w:tcW w:w="524" w:type="pct"/>
            <w:vAlign w:val="center"/>
            <w:hideMark/>
          </w:tcPr>
          <w:p w14:paraId="2CAA9E6E" w14:textId="77777777" w:rsidR="00401BFE" w:rsidRPr="0021616E" w:rsidRDefault="00401BFE" w:rsidP="00401BFE">
            <w:pPr>
              <w:rPr>
                <w:iCs/>
                <w:lang w:val="en-US"/>
              </w:rPr>
            </w:pPr>
            <w:r w:rsidRPr="0021616E">
              <w:rPr>
                <w:iCs/>
                <w:lang w:val="en-US"/>
              </w:rPr>
              <w:t> </w:t>
            </w:r>
          </w:p>
        </w:tc>
        <w:tc>
          <w:tcPr>
            <w:tcW w:w="511" w:type="pct"/>
            <w:vAlign w:val="center"/>
            <w:hideMark/>
          </w:tcPr>
          <w:p w14:paraId="288CAD44" w14:textId="77777777" w:rsidR="00401BFE" w:rsidRPr="0021616E" w:rsidRDefault="00401BFE" w:rsidP="00401BFE">
            <w:pPr>
              <w:rPr>
                <w:iCs/>
                <w:lang w:val="en-US"/>
              </w:rPr>
            </w:pPr>
            <w:r w:rsidRPr="0021616E">
              <w:rPr>
                <w:iCs/>
                <w:lang w:val="en-US"/>
              </w:rPr>
              <w:t> </w:t>
            </w:r>
          </w:p>
        </w:tc>
        <w:tc>
          <w:tcPr>
            <w:tcW w:w="663" w:type="pct"/>
            <w:vAlign w:val="center"/>
            <w:hideMark/>
          </w:tcPr>
          <w:p w14:paraId="37DFD23C" w14:textId="77777777" w:rsidR="00401BFE" w:rsidRPr="0021616E" w:rsidRDefault="00401BFE" w:rsidP="00401BFE">
            <w:pPr>
              <w:rPr>
                <w:iCs/>
                <w:lang w:val="en-US"/>
              </w:rPr>
            </w:pPr>
            <w:r w:rsidRPr="0021616E">
              <w:rPr>
                <w:iCs/>
                <w:lang w:val="en-US"/>
              </w:rPr>
              <w:t> </w:t>
            </w:r>
          </w:p>
        </w:tc>
      </w:tr>
      <w:tr w:rsidR="00401BFE" w:rsidRPr="0021616E" w14:paraId="28224291" w14:textId="77777777" w:rsidTr="00947FCE">
        <w:trPr>
          <w:tblCellSpacing w:w="15" w:type="dxa"/>
        </w:trPr>
        <w:tc>
          <w:tcPr>
            <w:tcW w:w="1093" w:type="pct"/>
            <w:gridSpan w:val="2"/>
            <w:hideMark/>
          </w:tcPr>
          <w:p w14:paraId="79C74744" w14:textId="77777777" w:rsidR="00401BFE" w:rsidRPr="0021616E" w:rsidRDefault="00401BFE" w:rsidP="00401BFE">
            <w:pPr>
              <w:rPr>
                <w:iCs/>
                <w:lang w:val="en-US"/>
              </w:rPr>
            </w:pPr>
            <w:r w:rsidRPr="0021616E">
              <w:rPr>
                <w:iCs/>
                <w:lang w:val="en-US"/>
              </w:rPr>
              <w:t xml:space="preserve">3. </w:t>
            </w:r>
            <w:proofErr w:type="spellStart"/>
            <w:r w:rsidRPr="0021616E">
              <w:rPr>
                <w:iCs/>
                <w:lang w:val="en-US"/>
              </w:rPr>
              <w:t>Finansiālā</w:t>
            </w:r>
            <w:proofErr w:type="spellEnd"/>
            <w:r w:rsidRPr="0021616E">
              <w:rPr>
                <w:iCs/>
                <w:lang w:val="en-US"/>
              </w:rPr>
              <w:t xml:space="preserve"> </w:t>
            </w:r>
            <w:proofErr w:type="spellStart"/>
            <w:r w:rsidRPr="0021616E">
              <w:rPr>
                <w:iCs/>
                <w:lang w:val="en-US"/>
              </w:rPr>
              <w:t>ietekme</w:t>
            </w:r>
            <w:proofErr w:type="spellEnd"/>
          </w:p>
        </w:tc>
        <w:tc>
          <w:tcPr>
            <w:tcW w:w="525" w:type="pct"/>
            <w:gridSpan w:val="2"/>
            <w:vAlign w:val="center"/>
            <w:hideMark/>
          </w:tcPr>
          <w:p w14:paraId="6D05E679" w14:textId="480D3B01" w:rsidR="00401BFE" w:rsidRPr="00934DCB" w:rsidRDefault="00401BFE" w:rsidP="00401BFE">
            <w:pPr>
              <w:jc w:val="center"/>
              <w:rPr>
                <w:b/>
                <w:i/>
                <w:iCs/>
                <w:lang w:val="en-US"/>
              </w:rPr>
            </w:pPr>
            <w:r w:rsidRPr="00934DCB">
              <w:rPr>
                <w:b/>
                <w:i/>
                <w:iCs/>
                <w:lang w:val="en-US"/>
              </w:rPr>
              <w:t>0</w:t>
            </w:r>
          </w:p>
        </w:tc>
        <w:tc>
          <w:tcPr>
            <w:tcW w:w="511" w:type="pct"/>
            <w:vAlign w:val="center"/>
            <w:hideMark/>
          </w:tcPr>
          <w:p w14:paraId="1667AA05" w14:textId="1BC63A41" w:rsidR="00401BFE" w:rsidRPr="00934DCB" w:rsidRDefault="00401BFE" w:rsidP="00401BFE">
            <w:pPr>
              <w:jc w:val="center"/>
              <w:rPr>
                <w:b/>
                <w:i/>
                <w:iCs/>
                <w:lang w:val="en-US"/>
              </w:rPr>
            </w:pPr>
            <w:r>
              <w:rPr>
                <w:b/>
                <w:i/>
                <w:iCs/>
                <w:lang w:val="en-US"/>
              </w:rPr>
              <w:t>0</w:t>
            </w:r>
          </w:p>
        </w:tc>
        <w:tc>
          <w:tcPr>
            <w:tcW w:w="524" w:type="pct"/>
            <w:vAlign w:val="center"/>
            <w:hideMark/>
          </w:tcPr>
          <w:p w14:paraId="21F23140" w14:textId="36336CEC" w:rsidR="00401BFE" w:rsidRPr="00934DCB" w:rsidRDefault="00401BFE" w:rsidP="00401BFE">
            <w:pPr>
              <w:jc w:val="center"/>
              <w:rPr>
                <w:b/>
                <w:i/>
                <w:iCs/>
                <w:lang w:val="en-US"/>
              </w:rPr>
            </w:pPr>
            <w:r w:rsidRPr="00934DCB">
              <w:rPr>
                <w:b/>
                <w:i/>
                <w:iCs/>
                <w:lang w:val="en-US"/>
              </w:rPr>
              <w:t>0</w:t>
            </w:r>
          </w:p>
        </w:tc>
        <w:tc>
          <w:tcPr>
            <w:tcW w:w="511" w:type="pct"/>
            <w:vAlign w:val="center"/>
            <w:hideMark/>
          </w:tcPr>
          <w:p w14:paraId="635816E6" w14:textId="6DE65B85" w:rsidR="00401BFE" w:rsidRPr="00934DCB" w:rsidRDefault="00401BFE" w:rsidP="00401BFE">
            <w:pPr>
              <w:jc w:val="center"/>
              <w:rPr>
                <w:b/>
                <w:i/>
                <w:iCs/>
                <w:lang w:val="en-US"/>
              </w:rPr>
            </w:pPr>
          </w:p>
        </w:tc>
        <w:tc>
          <w:tcPr>
            <w:tcW w:w="524" w:type="pct"/>
            <w:vAlign w:val="center"/>
            <w:hideMark/>
          </w:tcPr>
          <w:p w14:paraId="45736DAA" w14:textId="3951E997" w:rsidR="00401BFE" w:rsidRPr="00934DCB" w:rsidRDefault="00401BFE" w:rsidP="00401BFE">
            <w:pPr>
              <w:jc w:val="center"/>
              <w:rPr>
                <w:b/>
                <w:i/>
                <w:iCs/>
                <w:lang w:val="en-US"/>
              </w:rPr>
            </w:pPr>
            <w:r w:rsidRPr="00934DCB">
              <w:rPr>
                <w:b/>
                <w:i/>
                <w:iCs/>
                <w:lang w:val="en-US"/>
              </w:rPr>
              <w:t>0</w:t>
            </w:r>
          </w:p>
        </w:tc>
        <w:tc>
          <w:tcPr>
            <w:tcW w:w="511" w:type="pct"/>
            <w:vAlign w:val="center"/>
            <w:hideMark/>
          </w:tcPr>
          <w:p w14:paraId="7842F31D" w14:textId="77777777" w:rsidR="00401BFE" w:rsidRPr="0021616E" w:rsidRDefault="00401BFE" w:rsidP="00401BFE">
            <w:pPr>
              <w:rPr>
                <w:iCs/>
                <w:lang w:val="en-US"/>
              </w:rPr>
            </w:pPr>
            <w:r w:rsidRPr="0021616E">
              <w:rPr>
                <w:iCs/>
                <w:lang w:val="en-US"/>
              </w:rPr>
              <w:t> </w:t>
            </w:r>
          </w:p>
        </w:tc>
        <w:tc>
          <w:tcPr>
            <w:tcW w:w="663" w:type="pct"/>
            <w:vAlign w:val="center"/>
            <w:hideMark/>
          </w:tcPr>
          <w:p w14:paraId="3B759001" w14:textId="77777777" w:rsidR="00401BFE" w:rsidRPr="0021616E" w:rsidRDefault="00401BFE" w:rsidP="00401BFE">
            <w:pPr>
              <w:rPr>
                <w:iCs/>
                <w:lang w:val="en-US"/>
              </w:rPr>
            </w:pPr>
            <w:r w:rsidRPr="0021616E">
              <w:rPr>
                <w:iCs/>
                <w:lang w:val="en-US"/>
              </w:rPr>
              <w:t> </w:t>
            </w:r>
          </w:p>
        </w:tc>
      </w:tr>
      <w:tr w:rsidR="00401BFE" w:rsidRPr="0021616E" w14:paraId="43BD696F" w14:textId="77777777" w:rsidTr="00947FCE">
        <w:trPr>
          <w:tblCellSpacing w:w="15" w:type="dxa"/>
        </w:trPr>
        <w:tc>
          <w:tcPr>
            <w:tcW w:w="1093" w:type="pct"/>
            <w:gridSpan w:val="2"/>
            <w:hideMark/>
          </w:tcPr>
          <w:p w14:paraId="4560841A" w14:textId="77777777" w:rsidR="00401BFE" w:rsidRPr="0021616E" w:rsidRDefault="00401BFE" w:rsidP="00401BFE">
            <w:pPr>
              <w:rPr>
                <w:iCs/>
                <w:lang w:val="en-US"/>
              </w:rPr>
            </w:pPr>
            <w:r w:rsidRPr="0021616E">
              <w:rPr>
                <w:iCs/>
                <w:lang w:val="en-US"/>
              </w:rPr>
              <w:t xml:space="preserve">3.1. </w:t>
            </w:r>
            <w:proofErr w:type="spellStart"/>
            <w:r w:rsidRPr="0021616E">
              <w:rPr>
                <w:iCs/>
                <w:lang w:val="en-US"/>
              </w:rPr>
              <w:t>valsts</w:t>
            </w:r>
            <w:proofErr w:type="spellEnd"/>
            <w:r w:rsidRPr="0021616E">
              <w:rPr>
                <w:iCs/>
                <w:lang w:val="en-US"/>
              </w:rPr>
              <w:t xml:space="preserve"> </w:t>
            </w:r>
            <w:proofErr w:type="spellStart"/>
            <w:r w:rsidRPr="0021616E">
              <w:rPr>
                <w:iCs/>
                <w:lang w:val="en-US"/>
              </w:rPr>
              <w:t>pamatbudžets</w:t>
            </w:r>
            <w:proofErr w:type="spellEnd"/>
          </w:p>
        </w:tc>
        <w:tc>
          <w:tcPr>
            <w:tcW w:w="525" w:type="pct"/>
            <w:gridSpan w:val="2"/>
            <w:vAlign w:val="center"/>
            <w:hideMark/>
          </w:tcPr>
          <w:p w14:paraId="22B8A19A" w14:textId="167B0B77" w:rsidR="00401BFE" w:rsidRPr="00934DCB" w:rsidRDefault="00401BFE" w:rsidP="00401BFE">
            <w:pPr>
              <w:jc w:val="center"/>
              <w:rPr>
                <w:b/>
                <w:i/>
                <w:iCs/>
                <w:lang w:val="en-US"/>
              </w:rPr>
            </w:pPr>
            <w:r w:rsidRPr="00934DCB">
              <w:rPr>
                <w:b/>
                <w:i/>
                <w:iCs/>
                <w:lang w:val="en-US"/>
              </w:rPr>
              <w:t>0</w:t>
            </w:r>
          </w:p>
        </w:tc>
        <w:tc>
          <w:tcPr>
            <w:tcW w:w="511" w:type="pct"/>
            <w:vAlign w:val="center"/>
            <w:hideMark/>
          </w:tcPr>
          <w:p w14:paraId="201C67B7" w14:textId="1EB58929" w:rsidR="00401BFE" w:rsidRPr="00934DCB" w:rsidRDefault="00401BFE" w:rsidP="00401BFE">
            <w:pPr>
              <w:jc w:val="center"/>
              <w:rPr>
                <w:b/>
                <w:i/>
                <w:iCs/>
                <w:lang w:val="en-US"/>
              </w:rPr>
            </w:pPr>
            <w:r>
              <w:rPr>
                <w:b/>
                <w:i/>
                <w:iCs/>
                <w:lang w:val="en-US"/>
              </w:rPr>
              <w:t>0</w:t>
            </w:r>
          </w:p>
        </w:tc>
        <w:tc>
          <w:tcPr>
            <w:tcW w:w="524" w:type="pct"/>
            <w:vAlign w:val="center"/>
            <w:hideMark/>
          </w:tcPr>
          <w:p w14:paraId="7CC397FE" w14:textId="34712B27" w:rsidR="00401BFE" w:rsidRPr="00934DCB" w:rsidRDefault="00401BFE" w:rsidP="00401BFE">
            <w:pPr>
              <w:jc w:val="center"/>
              <w:rPr>
                <w:b/>
                <w:i/>
                <w:iCs/>
                <w:lang w:val="en-US"/>
              </w:rPr>
            </w:pPr>
            <w:r w:rsidRPr="00934DCB">
              <w:rPr>
                <w:b/>
                <w:i/>
                <w:iCs/>
                <w:lang w:val="en-US"/>
              </w:rPr>
              <w:t>0</w:t>
            </w:r>
          </w:p>
        </w:tc>
        <w:tc>
          <w:tcPr>
            <w:tcW w:w="511" w:type="pct"/>
            <w:vAlign w:val="center"/>
            <w:hideMark/>
          </w:tcPr>
          <w:p w14:paraId="76AAD42C" w14:textId="74915354" w:rsidR="00401BFE" w:rsidRPr="00934DCB" w:rsidRDefault="00401BFE" w:rsidP="00401BFE">
            <w:pPr>
              <w:jc w:val="center"/>
              <w:rPr>
                <w:b/>
                <w:i/>
                <w:iCs/>
                <w:lang w:val="en-US"/>
              </w:rPr>
            </w:pPr>
          </w:p>
        </w:tc>
        <w:tc>
          <w:tcPr>
            <w:tcW w:w="524" w:type="pct"/>
            <w:vAlign w:val="center"/>
            <w:hideMark/>
          </w:tcPr>
          <w:p w14:paraId="129A8137" w14:textId="0636A765" w:rsidR="00401BFE" w:rsidRPr="00934DCB" w:rsidRDefault="00401BFE" w:rsidP="00401BFE">
            <w:pPr>
              <w:jc w:val="center"/>
              <w:rPr>
                <w:b/>
                <w:i/>
                <w:iCs/>
                <w:lang w:val="en-US"/>
              </w:rPr>
            </w:pPr>
            <w:r w:rsidRPr="00934DCB">
              <w:rPr>
                <w:b/>
                <w:i/>
                <w:iCs/>
                <w:lang w:val="en-US"/>
              </w:rPr>
              <w:t>0</w:t>
            </w:r>
          </w:p>
        </w:tc>
        <w:tc>
          <w:tcPr>
            <w:tcW w:w="511" w:type="pct"/>
            <w:vAlign w:val="center"/>
            <w:hideMark/>
          </w:tcPr>
          <w:p w14:paraId="4C5BDDBE" w14:textId="77777777" w:rsidR="00401BFE" w:rsidRPr="0021616E" w:rsidRDefault="00401BFE" w:rsidP="00401BFE">
            <w:pPr>
              <w:rPr>
                <w:iCs/>
                <w:lang w:val="en-US"/>
              </w:rPr>
            </w:pPr>
            <w:r w:rsidRPr="0021616E">
              <w:rPr>
                <w:iCs/>
                <w:lang w:val="en-US"/>
              </w:rPr>
              <w:t> </w:t>
            </w:r>
          </w:p>
        </w:tc>
        <w:tc>
          <w:tcPr>
            <w:tcW w:w="663" w:type="pct"/>
            <w:vAlign w:val="center"/>
            <w:hideMark/>
          </w:tcPr>
          <w:p w14:paraId="7B5695CA" w14:textId="77777777" w:rsidR="00401BFE" w:rsidRPr="0021616E" w:rsidRDefault="00401BFE" w:rsidP="00401BFE">
            <w:pPr>
              <w:rPr>
                <w:iCs/>
                <w:lang w:val="en-US"/>
              </w:rPr>
            </w:pPr>
            <w:r w:rsidRPr="0021616E">
              <w:rPr>
                <w:iCs/>
                <w:lang w:val="en-US"/>
              </w:rPr>
              <w:t> </w:t>
            </w:r>
          </w:p>
        </w:tc>
      </w:tr>
      <w:tr w:rsidR="00401BFE" w:rsidRPr="0021616E" w14:paraId="6071BBC8" w14:textId="77777777" w:rsidTr="00947FCE">
        <w:trPr>
          <w:tblCellSpacing w:w="15" w:type="dxa"/>
        </w:trPr>
        <w:tc>
          <w:tcPr>
            <w:tcW w:w="1093" w:type="pct"/>
            <w:gridSpan w:val="2"/>
            <w:hideMark/>
          </w:tcPr>
          <w:p w14:paraId="54829553" w14:textId="77777777" w:rsidR="00401BFE" w:rsidRPr="0021616E" w:rsidRDefault="00401BFE" w:rsidP="00401BFE">
            <w:pPr>
              <w:rPr>
                <w:iCs/>
                <w:lang w:val="en-US"/>
              </w:rPr>
            </w:pPr>
            <w:r w:rsidRPr="0021616E">
              <w:rPr>
                <w:iCs/>
                <w:lang w:val="en-US"/>
              </w:rPr>
              <w:t xml:space="preserve">3.2. </w:t>
            </w:r>
            <w:proofErr w:type="spellStart"/>
            <w:r w:rsidRPr="0021616E">
              <w:rPr>
                <w:iCs/>
                <w:lang w:val="en-US"/>
              </w:rPr>
              <w:t>speciālais</w:t>
            </w:r>
            <w:proofErr w:type="spellEnd"/>
            <w:r w:rsidRPr="0021616E">
              <w:rPr>
                <w:iCs/>
                <w:lang w:val="en-US"/>
              </w:rPr>
              <w:t xml:space="preserve"> </w:t>
            </w:r>
            <w:proofErr w:type="spellStart"/>
            <w:r w:rsidRPr="0021616E">
              <w:rPr>
                <w:iCs/>
                <w:lang w:val="en-US"/>
              </w:rPr>
              <w:t>budžets</w:t>
            </w:r>
            <w:proofErr w:type="spellEnd"/>
          </w:p>
        </w:tc>
        <w:tc>
          <w:tcPr>
            <w:tcW w:w="525" w:type="pct"/>
            <w:gridSpan w:val="2"/>
            <w:vAlign w:val="center"/>
            <w:hideMark/>
          </w:tcPr>
          <w:p w14:paraId="30A76E5D" w14:textId="77777777" w:rsidR="00401BFE" w:rsidRPr="0021616E" w:rsidRDefault="00401BFE" w:rsidP="00401BFE">
            <w:pPr>
              <w:rPr>
                <w:iCs/>
                <w:lang w:val="en-US"/>
              </w:rPr>
            </w:pPr>
            <w:r w:rsidRPr="0021616E">
              <w:rPr>
                <w:iCs/>
                <w:lang w:val="en-US"/>
              </w:rPr>
              <w:t> </w:t>
            </w:r>
          </w:p>
        </w:tc>
        <w:tc>
          <w:tcPr>
            <w:tcW w:w="511" w:type="pct"/>
            <w:vAlign w:val="center"/>
            <w:hideMark/>
          </w:tcPr>
          <w:p w14:paraId="2241BE21" w14:textId="77777777" w:rsidR="00401BFE" w:rsidRPr="0021616E" w:rsidRDefault="00401BFE" w:rsidP="00401BFE">
            <w:pPr>
              <w:rPr>
                <w:iCs/>
                <w:lang w:val="en-US"/>
              </w:rPr>
            </w:pPr>
            <w:r w:rsidRPr="0021616E">
              <w:rPr>
                <w:iCs/>
                <w:lang w:val="en-US"/>
              </w:rPr>
              <w:t> </w:t>
            </w:r>
          </w:p>
        </w:tc>
        <w:tc>
          <w:tcPr>
            <w:tcW w:w="524" w:type="pct"/>
            <w:vAlign w:val="center"/>
            <w:hideMark/>
          </w:tcPr>
          <w:p w14:paraId="4F27B162" w14:textId="77777777" w:rsidR="00401BFE" w:rsidRPr="0021616E" w:rsidRDefault="00401BFE" w:rsidP="00401BFE">
            <w:pPr>
              <w:rPr>
                <w:iCs/>
                <w:lang w:val="en-US"/>
              </w:rPr>
            </w:pPr>
            <w:r w:rsidRPr="0021616E">
              <w:rPr>
                <w:iCs/>
                <w:lang w:val="en-US"/>
              </w:rPr>
              <w:t> </w:t>
            </w:r>
          </w:p>
        </w:tc>
        <w:tc>
          <w:tcPr>
            <w:tcW w:w="511" w:type="pct"/>
            <w:vAlign w:val="center"/>
            <w:hideMark/>
          </w:tcPr>
          <w:p w14:paraId="40CCDBB0" w14:textId="77777777" w:rsidR="00401BFE" w:rsidRPr="0021616E" w:rsidRDefault="00401BFE" w:rsidP="00401BFE">
            <w:pPr>
              <w:rPr>
                <w:iCs/>
                <w:lang w:val="en-US"/>
              </w:rPr>
            </w:pPr>
            <w:r w:rsidRPr="0021616E">
              <w:rPr>
                <w:iCs/>
                <w:lang w:val="en-US"/>
              </w:rPr>
              <w:t> </w:t>
            </w:r>
          </w:p>
        </w:tc>
        <w:tc>
          <w:tcPr>
            <w:tcW w:w="524" w:type="pct"/>
            <w:vAlign w:val="center"/>
            <w:hideMark/>
          </w:tcPr>
          <w:p w14:paraId="0E14B5AC" w14:textId="77777777" w:rsidR="00401BFE" w:rsidRPr="0021616E" w:rsidRDefault="00401BFE" w:rsidP="00401BFE">
            <w:pPr>
              <w:rPr>
                <w:iCs/>
                <w:lang w:val="en-US"/>
              </w:rPr>
            </w:pPr>
            <w:r w:rsidRPr="0021616E">
              <w:rPr>
                <w:iCs/>
                <w:lang w:val="en-US"/>
              </w:rPr>
              <w:t> </w:t>
            </w:r>
          </w:p>
        </w:tc>
        <w:tc>
          <w:tcPr>
            <w:tcW w:w="511" w:type="pct"/>
            <w:vAlign w:val="center"/>
            <w:hideMark/>
          </w:tcPr>
          <w:p w14:paraId="4B8A4CF1" w14:textId="77777777" w:rsidR="00401BFE" w:rsidRPr="0021616E" w:rsidRDefault="00401BFE" w:rsidP="00401BFE">
            <w:pPr>
              <w:rPr>
                <w:iCs/>
                <w:lang w:val="en-US"/>
              </w:rPr>
            </w:pPr>
            <w:r w:rsidRPr="0021616E">
              <w:rPr>
                <w:iCs/>
                <w:lang w:val="en-US"/>
              </w:rPr>
              <w:t> </w:t>
            </w:r>
          </w:p>
        </w:tc>
        <w:tc>
          <w:tcPr>
            <w:tcW w:w="663" w:type="pct"/>
            <w:vAlign w:val="center"/>
            <w:hideMark/>
          </w:tcPr>
          <w:p w14:paraId="13B6A201" w14:textId="77777777" w:rsidR="00401BFE" w:rsidRPr="0021616E" w:rsidRDefault="00401BFE" w:rsidP="00401BFE">
            <w:pPr>
              <w:rPr>
                <w:iCs/>
                <w:lang w:val="en-US"/>
              </w:rPr>
            </w:pPr>
            <w:r w:rsidRPr="0021616E">
              <w:rPr>
                <w:iCs/>
                <w:lang w:val="en-US"/>
              </w:rPr>
              <w:t> </w:t>
            </w:r>
          </w:p>
        </w:tc>
      </w:tr>
      <w:tr w:rsidR="00401BFE" w:rsidRPr="0021616E" w14:paraId="0A30E0F2" w14:textId="77777777" w:rsidTr="00947FCE">
        <w:trPr>
          <w:tblCellSpacing w:w="15" w:type="dxa"/>
        </w:trPr>
        <w:tc>
          <w:tcPr>
            <w:tcW w:w="1093" w:type="pct"/>
            <w:gridSpan w:val="2"/>
            <w:hideMark/>
          </w:tcPr>
          <w:p w14:paraId="063DC313" w14:textId="77777777" w:rsidR="00401BFE" w:rsidRPr="0021616E" w:rsidRDefault="00401BFE" w:rsidP="00401BFE">
            <w:pPr>
              <w:rPr>
                <w:iCs/>
                <w:lang w:val="en-US"/>
              </w:rPr>
            </w:pPr>
            <w:r w:rsidRPr="0021616E">
              <w:rPr>
                <w:iCs/>
                <w:lang w:val="en-US"/>
              </w:rPr>
              <w:t xml:space="preserve">3.3. </w:t>
            </w:r>
            <w:proofErr w:type="spellStart"/>
            <w:r w:rsidRPr="0021616E">
              <w:rPr>
                <w:iCs/>
                <w:lang w:val="en-US"/>
              </w:rPr>
              <w:t>pašvaldību</w:t>
            </w:r>
            <w:proofErr w:type="spellEnd"/>
            <w:r w:rsidRPr="0021616E">
              <w:rPr>
                <w:iCs/>
                <w:lang w:val="en-US"/>
              </w:rPr>
              <w:t xml:space="preserve"> </w:t>
            </w:r>
            <w:proofErr w:type="spellStart"/>
            <w:r w:rsidRPr="0021616E">
              <w:rPr>
                <w:iCs/>
                <w:lang w:val="en-US"/>
              </w:rPr>
              <w:t>budžets</w:t>
            </w:r>
            <w:proofErr w:type="spellEnd"/>
          </w:p>
        </w:tc>
        <w:tc>
          <w:tcPr>
            <w:tcW w:w="525" w:type="pct"/>
            <w:gridSpan w:val="2"/>
            <w:vAlign w:val="center"/>
            <w:hideMark/>
          </w:tcPr>
          <w:p w14:paraId="0A715419" w14:textId="77777777" w:rsidR="00401BFE" w:rsidRPr="0021616E" w:rsidRDefault="00401BFE" w:rsidP="00401BFE">
            <w:pPr>
              <w:rPr>
                <w:iCs/>
                <w:lang w:val="en-US"/>
              </w:rPr>
            </w:pPr>
            <w:r w:rsidRPr="0021616E">
              <w:rPr>
                <w:iCs/>
                <w:lang w:val="en-US"/>
              </w:rPr>
              <w:t> </w:t>
            </w:r>
          </w:p>
        </w:tc>
        <w:tc>
          <w:tcPr>
            <w:tcW w:w="511" w:type="pct"/>
            <w:vAlign w:val="center"/>
            <w:hideMark/>
          </w:tcPr>
          <w:p w14:paraId="38B3EC4B" w14:textId="77777777" w:rsidR="00401BFE" w:rsidRPr="0021616E" w:rsidRDefault="00401BFE" w:rsidP="00401BFE">
            <w:pPr>
              <w:rPr>
                <w:iCs/>
                <w:lang w:val="en-US"/>
              </w:rPr>
            </w:pPr>
            <w:r w:rsidRPr="0021616E">
              <w:rPr>
                <w:iCs/>
                <w:lang w:val="en-US"/>
              </w:rPr>
              <w:t> </w:t>
            </w:r>
          </w:p>
        </w:tc>
        <w:tc>
          <w:tcPr>
            <w:tcW w:w="524" w:type="pct"/>
            <w:vAlign w:val="center"/>
            <w:hideMark/>
          </w:tcPr>
          <w:p w14:paraId="697CCF56" w14:textId="77777777" w:rsidR="00401BFE" w:rsidRPr="0021616E" w:rsidRDefault="00401BFE" w:rsidP="00401BFE">
            <w:pPr>
              <w:rPr>
                <w:iCs/>
                <w:lang w:val="en-US"/>
              </w:rPr>
            </w:pPr>
            <w:r w:rsidRPr="0021616E">
              <w:rPr>
                <w:iCs/>
                <w:lang w:val="en-US"/>
              </w:rPr>
              <w:t> </w:t>
            </w:r>
          </w:p>
        </w:tc>
        <w:tc>
          <w:tcPr>
            <w:tcW w:w="511" w:type="pct"/>
            <w:vAlign w:val="center"/>
            <w:hideMark/>
          </w:tcPr>
          <w:p w14:paraId="742B0B21" w14:textId="77777777" w:rsidR="00401BFE" w:rsidRPr="0021616E" w:rsidRDefault="00401BFE" w:rsidP="00401BFE">
            <w:pPr>
              <w:rPr>
                <w:iCs/>
                <w:lang w:val="en-US"/>
              </w:rPr>
            </w:pPr>
            <w:r w:rsidRPr="0021616E">
              <w:rPr>
                <w:iCs/>
                <w:lang w:val="en-US"/>
              </w:rPr>
              <w:t> </w:t>
            </w:r>
          </w:p>
        </w:tc>
        <w:tc>
          <w:tcPr>
            <w:tcW w:w="524" w:type="pct"/>
            <w:vAlign w:val="center"/>
            <w:hideMark/>
          </w:tcPr>
          <w:p w14:paraId="3256D89E" w14:textId="77777777" w:rsidR="00401BFE" w:rsidRPr="0021616E" w:rsidRDefault="00401BFE" w:rsidP="00401BFE">
            <w:pPr>
              <w:rPr>
                <w:iCs/>
                <w:lang w:val="en-US"/>
              </w:rPr>
            </w:pPr>
            <w:r w:rsidRPr="0021616E">
              <w:rPr>
                <w:iCs/>
                <w:lang w:val="en-US"/>
              </w:rPr>
              <w:t> </w:t>
            </w:r>
          </w:p>
        </w:tc>
        <w:tc>
          <w:tcPr>
            <w:tcW w:w="511" w:type="pct"/>
            <w:vAlign w:val="center"/>
            <w:hideMark/>
          </w:tcPr>
          <w:p w14:paraId="48C0E0F7" w14:textId="77777777" w:rsidR="00401BFE" w:rsidRPr="0021616E" w:rsidRDefault="00401BFE" w:rsidP="00401BFE">
            <w:pPr>
              <w:rPr>
                <w:iCs/>
                <w:lang w:val="en-US"/>
              </w:rPr>
            </w:pPr>
            <w:r w:rsidRPr="0021616E">
              <w:rPr>
                <w:iCs/>
                <w:lang w:val="en-US"/>
              </w:rPr>
              <w:t> </w:t>
            </w:r>
          </w:p>
        </w:tc>
        <w:tc>
          <w:tcPr>
            <w:tcW w:w="663" w:type="pct"/>
            <w:vAlign w:val="center"/>
            <w:hideMark/>
          </w:tcPr>
          <w:p w14:paraId="2A834D15" w14:textId="77777777" w:rsidR="00401BFE" w:rsidRPr="0021616E" w:rsidRDefault="00401BFE" w:rsidP="00401BFE">
            <w:pPr>
              <w:rPr>
                <w:iCs/>
                <w:lang w:val="en-US"/>
              </w:rPr>
            </w:pPr>
            <w:r w:rsidRPr="0021616E">
              <w:rPr>
                <w:iCs/>
                <w:lang w:val="en-US"/>
              </w:rPr>
              <w:t> </w:t>
            </w:r>
          </w:p>
        </w:tc>
      </w:tr>
      <w:tr w:rsidR="00401BFE" w:rsidRPr="0021616E" w14:paraId="0FEA9FCF" w14:textId="77777777" w:rsidTr="00947FCE">
        <w:trPr>
          <w:tblCellSpacing w:w="15" w:type="dxa"/>
        </w:trPr>
        <w:tc>
          <w:tcPr>
            <w:tcW w:w="1093" w:type="pct"/>
            <w:gridSpan w:val="2"/>
            <w:hideMark/>
          </w:tcPr>
          <w:p w14:paraId="10324DE1" w14:textId="77777777" w:rsidR="00401BFE" w:rsidRPr="0021616E" w:rsidRDefault="00401BFE" w:rsidP="00401BFE">
            <w:pPr>
              <w:rPr>
                <w:iCs/>
              </w:rPr>
            </w:pPr>
            <w:r w:rsidRPr="0021616E">
              <w:rPr>
                <w:iCs/>
              </w:rPr>
              <w:t>4. Finanšu līdzekļi papildu izdevumu finansēšanai (kompensējošu izdevumu samazinājumu norāda ar "+" zīmi)</w:t>
            </w:r>
          </w:p>
        </w:tc>
        <w:tc>
          <w:tcPr>
            <w:tcW w:w="525" w:type="pct"/>
            <w:gridSpan w:val="2"/>
            <w:vAlign w:val="center"/>
            <w:hideMark/>
          </w:tcPr>
          <w:p w14:paraId="74E2596C" w14:textId="77777777" w:rsidR="00401BFE" w:rsidRPr="0021616E" w:rsidRDefault="00401BFE" w:rsidP="00401BFE">
            <w:pPr>
              <w:jc w:val="center"/>
              <w:rPr>
                <w:iCs/>
              </w:rPr>
            </w:pPr>
            <w:r w:rsidRPr="0021616E">
              <w:rPr>
                <w:iCs/>
              </w:rPr>
              <w:t>X</w:t>
            </w:r>
          </w:p>
        </w:tc>
        <w:tc>
          <w:tcPr>
            <w:tcW w:w="511" w:type="pct"/>
            <w:vAlign w:val="center"/>
            <w:hideMark/>
          </w:tcPr>
          <w:p w14:paraId="2A8D7647" w14:textId="77777777" w:rsidR="00401BFE" w:rsidRPr="0021616E" w:rsidRDefault="00401BFE" w:rsidP="00401BFE">
            <w:pPr>
              <w:jc w:val="center"/>
              <w:rPr>
                <w:iCs/>
                <w:lang w:val="en-US"/>
              </w:rPr>
            </w:pPr>
          </w:p>
        </w:tc>
        <w:tc>
          <w:tcPr>
            <w:tcW w:w="524" w:type="pct"/>
            <w:vAlign w:val="center"/>
            <w:hideMark/>
          </w:tcPr>
          <w:p w14:paraId="0FFF46F4" w14:textId="77777777" w:rsidR="00401BFE" w:rsidRPr="0021616E" w:rsidRDefault="00401BFE" w:rsidP="00401BFE">
            <w:pPr>
              <w:jc w:val="center"/>
              <w:rPr>
                <w:iCs/>
                <w:lang w:val="en-US"/>
              </w:rPr>
            </w:pPr>
            <w:r w:rsidRPr="0021616E">
              <w:rPr>
                <w:iCs/>
                <w:lang w:val="en-US"/>
              </w:rPr>
              <w:t>X</w:t>
            </w:r>
          </w:p>
        </w:tc>
        <w:tc>
          <w:tcPr>
            <w:tcW w:w="511" w:type="pct"/>
            <w:vAlign w:val="center"/>
            <w:hideMark/>
          </w:tcPr>
          <w:p w14:paraId="4F51CB37" w14:textId="77777777" w:rsidR="00401BFE" w:rsidRPr="0021616E" w:rsidRDefault="00401BFE" w:rsidP="00401BFE">
            <w:pPr>
              <w:jc w:val="center"/>
              <w:rPr>
                <w:iCs/>
                <w:lang w:val="en-US"/>
              </w:rPr>
            </w:pPr>
          </w:p>
        </w:tc>
        <w:tc>
          <w:tcPr>
            <w:tcW w:w="524" w:type="pct"/>
            <w:vAlign w:val="center"/>
            <w:hideMark/>
          </w:tcPr>
          <w:p w14:paraId="0FEDEF40" w14:textId="77777777" w:rsidR="00401BFE" w:rsidRPr="0021616E" w:rsidRDefault="00401BFE" w:rsidP="00401BFE">
            <w:pPr>
              <w:jc w:val="center"/>
              <w:rPr>
                <w:iCs/>
                <w:lang w:val="en-US"/>
              </w:rPr>
            </w:pPr>
            <w:r w:rsidRPr="0021616E">
              <w:rPr>
                <w:iCs/>
                <w:lang w:val="en-US"/>
              </w:rPr>
              <w:t>X</w:t>
            </w:r>
          </w:p>
        </w:tc>
        <w:tc>
          <w:tcPr>
            <w:tcW w:w="511" w:type="pct"/>
            <w:vAlign w:val="center"/>
            <w:hideMark/>
          </w:tcPr>
          <w:p w14:paraId="36001DCD" w14:textId="77777777" w:rsidR="00401BFE" w:rsidRPr="0021616E" w:rsidRDefault="00401BFE" w:rsidP="00401BFE">
            <w:pPr>
              <w:rPr>
                <w:iCs/>
                <w:lang w:val="en-US"/>
              </w:rPr>
            </w:pPr>
            <w:r w:rsidRPr="0021616E">
              <w:rPr>
                <w:iCs/>
                <w:lang w:val="en-US"/>
              </w:rPr>
              <w:t> </w:t>
            </w:r>
          </w:p>
        </w:tc>
        <w:tc>
          <w:tcPr>
            <w:tcW w:w="663" w:type="pct"/>
            <w:vAlign w:val="center"/>
            <w:hideMark/>
          </w:tcPr>
          <w:p w14:paraId="3D841A1D" w14:textId="77777777" w:rsidR="00401BFE" w:rsidRPr="0021616E" w:rsidRDefault="00401BFE" w:rsidP="00401BFE">
            <w:pPr>
              <w:rPr>
                <w:iCs/>
                <w:lang w:val="en-US"/>
              </w:rPr>
            </w:pPr>
            <w:r w:rsidRPr="0021616E">
              <w:rPr>
                <w:iCs/>
                <w:lang w:val="en-US"/>
              </w:rPr>
              <w:t> </w:t>
            </w:r>
          </w:p>
        </w:tc>
      </w:tr>
      <w:tr w:rsidR="00401BFE" w:rsidRPr="0021616E" w14:paraId="3D005ECD" w14:textId="77777777" w:rsidTr="00947FCE">
        <w:trPr>
          <w:tblCellSpacing w:w="15" w:type="dxa"/>
        </w:trPr>
        <w:tc>
          <w:tcPr>
            <w:tcW w:w="1093" w:type="pct"/>
            <w:gridSpan w:val="2"/>
            <w:hideMark/>
          </w:tcPr>
          <w:p w14:paraId="37017070" w14:textId="77777777" w:rsidR="00401BFE" w:rsidRPr="0021616E" w:rsidRDefault="00401BFE" w:rsidP="00401BFE">
            <w:pPr>
              <w:rPr>
                <w:iCs/>
                <w:lang w:val="en-US"/>
              </w:rPr>
            </w:pPr>
            <w:r w:rsidRPr="0021616E">
              <w:rPr>
                <w:iCs/>
                <w:lang w:val="en-US"/>
              </w:rPr>
              <w:t xml:space="preserve">5. </w:t>
            </w:r>
            <w:proofErr w:type="spellStart"/>
            <w:r w:rsidRPr="0021616E">
              <w:rPr>
                <w:iCs/>
                <w:lang w:val="en-US"/>
              </w:rPr>
              <w:t>Precizēta</w:t>
            </w:r>
            <w:proofErr w:type="spellEnd"/>
            <w:r w:rsidRPr="0021616E">
              <w:rPr>
                <w:iCs/>
                <w:lang w:val="en-US"/>
              </w:rPr>
              <w:t xml:space="preserve"> </w:t>
            </w:r>
            <w:proofErr w:type="spellStart"/>
            <w:r w:rsidRPr="0021616E">
              <w:rPr>
                <w:iCs/>
                <w:lang w:val="en-US"/>
              </w:rPr>
              <w:t>finansiālā</w:t>
            </w:r>
            <w:proofErr w:type="spellEnd"/>
            <w:r w:rsidRPr="0021616E">
              <w:rPr>
                <w:iCs/>
                <w:lang w:val="en-US"/>
              </w:rPr>
              <w:t xml:space="preserve"> </w:t>
            </w:r>
            <w:proofErr w:type="spellStart"/>
            <w:r w:rsidRPr="0021616E">
              <w:rPr>
                <w:iCs/>
                <w:lang w:val="en-US"/>
              </w:rPr>
              <w:t>ietekme</w:t>
            </w:r>
            <w:proofErr w:type="spellEnd"/>
          </w:p>
        </w:tc>
        <w:tc>
          <w:tcPr>
            <w:tcW w:w="525" w:type="pct"/>
            <w:gridSpan w:val="2"/>
            <w:vMerge w:val="restart"/>
            <w:vAlign w:val="center"/>
            <w:hideMark/>
          </w:tcPr>
          <w:p w14:paraId="4D4340EB" w14:textId="77777777" w:rsidR="00401BFE" w:rsidRPr="0021616E" w:rsidRDefault="00401BFE" w:rsidP="00401BFE">
            <w:pPr>
              <w:jc w:val="center"/>
              <w:rPr>
                <w:iCs/>
                <w:lang w:val="en-US"/>
              </w:rPr>
            </w:pPr>
          </w:p>
          <w:p w14:paraId="281E551C" w14:textId="77777777" w:rsidR="00401BFE" w:rsidRPr="0021616E" w:rsidRDefault="00401BFE" w:rsidP="00401BFE">
            <w:pPr>
              <w:jc w:val="center"/>
              <w:rPr>
                <w:iCs/>
                <w:lang w:val="en-US"/>
              </w:rPr>
            </w:pPr>
          </w:p>
          <w:p w14:paraId="2EB3CF91" w14:textId="77777777" w:rsidR="00401BFE" w:rsidRPr="0021616E" w:rsidRDefault="00401BFE" w:rsidP="00401BFE">
            <w:pPr>
              <w:jc w:val="center"/>
              <w:rPr>
                <w:iCs/>
                <w:lang w:val="en-US"/>
              </w:rPr>
            </w:pPr>
          </w:p>
          <w:p w14:paraId="432EB096" w14:textId="77777777" w:rsidR="00401BFE" w:rsidRPr="0021616E" w:rsidRDefault="00401BFE" w:rsidP="00401BFE">
            <w:pPr>
              <w:jc w:val="center"/>
              <w:rPr>
                <w:iCs/>
                <w:lang w:val="en-US"/>
              </w:rPr>
            </w:pPr>
          </w:p>
          <w:p w14:paraId="71394C32" w14:textId="77777777" w:rsidR="00401BFE" w:rsidRPr="0021616E" w:rsidRDefault="00401BFE" w:rsidP="00401BFE">
            <w:pPr>
              <w:jc w:val="center"/>
              <w:rPr>
                <w:iCs/>
                <w:lang w:val="en-US"/>
              </w:rPr>
            </w:pPr>
          </w:p>
          <w:p w14:paraId="3E2D14F9" w14:textId="77777777" w:rsidR="00401BFE" w:rsidRPr="0021616E" w:rsidRDefault="00401BFE" w:rsidP="00401BFE">
            <w:pPr>
              <w:jc w:val="center"/>
              <w:rPr>
                <w:iCs/>
                <w:lang w:val="en-US"/>
              </w:rPr>
            </w:pPr>
            <w:r w:rsidRPr="0021616E">
              <w:rPr>
                <w:iCs/>
                <w:lang w:val="en-US"/>
              </w:rPr>
              <w:t>X</w:t>
            </w:r>
          </w:p>
        </w:tc>
        <w:tc>
          <w:tcPr>
            <w:tcW w:w="511" w:type="pct"/>
            <w:vAlign w:val="center"/>
            <w:hideMark/>
          </w:tcPr>
          <w:p w14:paraId="628A6334" w14:textId="77777777" w:rsidR="00401BFE" w:rsidRPr="0021616E" w:rsidRDefault="00401BFE" w:rsidP="00401BFE">
            <w:pPr>
              <w:jc w:val="center"/>
              <w:rPr>
                <w:iCs/>
                <w:lang w:val="en-US"/>
              </w:rPr>
            </w:pPr>
          </w:p>
        </w:tc>
        <w:tc>
          <w:tcPr>
            <w:tcW w:w="524" w:type="pct"/>
            <w:vMerge w:val="restart"/>
            <w:vAlign w:val="center"/>
            <w:hideMark/>
          </w:tcPr>
          <w:p w14:paraId="720CBE6B" w14:textId="77777777" w:rsidR="00401BFE" w:rsidRPr="0021616E" w:rsidRDefault="00401BFE" w:rsidP="00401BFE">
            <w:pPr>
              <w:jc w:val="center"/>
              <w:rPr>
                <w:iCs/>
                <w:lang w:val="en-US"/>
              </w:rPr>
            </w:pPr>
          </w:p>
          <w:p w14:paraId="6DF20ABA" w14:textId="77777777" w:rsidR="00401BFE" w:rsidRPr="0021616E" w:rsidRDefault="00401BFE" w:rsidP="00401BFE">
            <w:pPr>
              <w:jc w:val="center"/>
              <w:rPr>
                <w:iCs/>
                <w:lang w:val="en-US"/>
              </w:rPr>
            </w:pPr>
          </w:p>
          <w:p w14:paraId="79926526" w14:textId="77777777" w:rsidR="00401BFE" w:rsidRPr="0021616E" w:rsidRDefault="00401BFE" w:rsidP="00401BFE">
            <w:pPr>
              <w:jc w:val="center"/>
              <w:rPr>
                <w:iCs/>
                <w:lang w:val="en-US"/>
              </w:rPr>
            </w:pPr>
          </w:p>
          <w:p w14:paraId="003F4C15" w14:textId="77777777" w:rsidR="00401BFE" w:rsidRPr="0021616E" w:rsidRDefault="00401BFE" w:rsidP="00401BFE">
            <w:pPr>
              <w:jc w:val="center"/>
              <w:rPr>
                <w:iCs/>
                <w:lang w:val="en-US"/>
              </w:rPr>
            </w:pPr>
          </w:p>
          <w:p w14:paraId="17567D0D" w14:textId="77777777" w:rsidR="00401BFE" w:rsidRPr="0021616E" w:rsidRDefault="00401BFE" w:rsidP="00401BFE">
            <w:pPr>
              <w:jc w:val="center"/>
              <w:rPr>
                <w:iCs/>
                <w:lang w:val="en-US"/>
              </w:rPr>
            </w:pPr>
          </w:p>
          <w:p w14:paraId="6C0810C5" w14:textId="77777777" w:rsidR="00401BFE" w:rsidRPr="0021616E" w:rsidRDefault="00401BFE" w:rsidP="00401BFE">
            <w:pPr>
              <w:jc w:val="center"/>
              <w:rPr>
                <w:iCs/>
                <w:lang w:val="en-US"/>
              </w:rPr>
            </w:pPr>
            <w:r w:rsidRPr="0021616E">
              <w:rPr>
                <w:iCs/>
                <w:lang w:val="en-US"/>
              </w:rPr>
              <w:t>X</w:t>
            </w:r>
          </w:p>
        </w:tc>
        <w:tc>
          <w:tcPr>
            <w:tcW w:w="511" w:type="pct"/>
            <w:vAlign w:val="center"/>
            <w:hideMark/>
          </w:tcPr>
          <w:p w14:paraId="0C7854DB" w14:textId="77777777" w:rsidR="00401BFE" w:rsidRPr="0021616E" w:rsidRDefault="00401BFE" w:rsidP="00401BFE">
            <w:pPr>
              <w:jc w:val="center"/>
              <w:rPr>
                <w:iCs/>
                <w:lang w:val="en-US"/>
              </w:rPr>
            </w:pPr>
          </w:p>
        </w:tc>
        <w:tc>
          <w:tcPr>
            <w:tcW w:w="524" w:type="pct"/>
            <w:vMerge w:val="restart"/>
            <w:vAlign w:val="center"/>
            <w:hideMark/>
          </w:tcPr>
          <w:p w14:paraId="7F5C01D6" w14:textId="77777777" w:rsidR="00401BFE" w:rsidRPr="0021616E" w:rsidRDefault="00401BFE" w:rsidP="00401BFE">
            <w:pPr>
              <w:jc w:val="center"/>
              <w:rPr>
                <w:iCs/>
                <w:lang w:val="en-US"/>
              </w:rPr>
            </w:pPr>
          </w:p>
          <w:p w14:paraId="07BF7C5C" w14:textId="77777777" w:rsidR="00401BFE" w:rsidRPr="0021616E" w:rsidRDefault="00401BFE" w:rsidP="00401BFE">
            <w:pPr>
              <w:jc w:val="center"/>
              <w:rPr>
                <w:iCs/>
                <w:lang w:val="en-US"/>
              </w:rPr>
            </w:pPr>
          </w:p>
          <w:p w14:paraId="58129496" w14:textId="77777777" w:rsidR="00401BFE" w:rsidRPr="0021616E" w:rsidRDefault="00401BFE" w:rsidP="00401BFE">
            <w:pPr>
              <w:jc w:val="center"/>
              <w:rPr>
                <w:iCs/>
                <w:lang w:val="en-US"/>
              </w:rPr>
            </w:pPr>
          </w:p>
          <w:p w14:paraId="5BDB1D0D" w14:textId="77777777" w:rsidR="00401BFE" w:rsidRPr="0021616E" w:rsidRDefault="00401BFE" w:rsidP="00401BFE">
            <w:pPr>
              <w:jc w:val="center"/>
              <w:rPr>
                <w:iCs/>
                <w:lang w:val="en-US"/>
              </w:rPr>
            </w:pPr>
          </w:p>
          <w:p w14:paraId="7FF65E66" w14:textId="77777777" w:rsidR="00401BFE" w:rsidRPr="0021616E" w:rsidRDefault="00401BFE" w:rsidP="00401BFE">
            <w:pPr>
              <w:jc w:val="center"/>
              <w:rPr>
                <w:iCs/>
                <w:lang w:val="en-US"/>
              </w:rPr>
            </w:pPr>
          </w:p>
          <w:p w14:paraId="299077BA" w14:textId="77777777" w:rsidR="00401BFE" w:rsidRPr="0021616E" w:rsidRDefault="00401BFE" w:rsidP="00401BFE">
            <w:pPr>
              <w:jc w:val="center"/>
              <w:rPr>
                <w:iCs/>
                <w:lang w:val="en-US"/>
              </w:rPr>
            </w:pPr>
            <w:r w:rsidRPr="0021616E">
              <w:rPr>
                <w:iCs/>
                <w:lang w:val="en-US"/>
              </w:rPr>
              <w:t>X</w:t>
            </w:r>
          </w:p>
        </w:tc>
        <w:tc>
          <w:tcPr>
            <w:tcW w:w="511" w:type="pct"/>
            <w:vAlign w:val="center"/>
            <w:hideMark/>
          </w:tcPr>
          <w:p w14:paraId="264DDA09" w14:textId="77777777" w:rsidR="00401BFE" w:rsidRPr="0021616E" w:rsidRDefault="00401BFE" w:rsidP="00401BFE">
            <w:pPr>
              <w:rPr>
                <w:iCs/>
                <w:lang w:val="en-US"/>
              </w:rPr>
            </w:pPr>
            <w:r w:rsidRPr="0021616E">
              <w:rPr>
                <w:iCs/>
                <w:lang w:val="en-US"/>
              </w:rPr>
              <w:t> </w:t>
            </w:r>
          </w:p>
        </w:tc>
        <w:tc>
          <w:tcPr>
            <w:tcW w:w="663" w:type="pct"/>
            <w:vAlign w:val="center"/>
            <w:hideMark/>
          </w:tcPr>
          <w:p w14:paraId="13B25F58" w14:textId="77777777" w:rsidR="00401BFE" w:rsidRPr="0021616E" w:rsidRDefault="00401BFE" w:rsidP="00401BFE">
            <w:pPr>
              <w:rPr>
                <w:iCs/>
                <w:lang w:val="en-US"/>
              </w:rPr>
            </w:pPr>
            <w:r w:rsidRPr="0021616E">
              <w:rPr>
                <w:iCs/>
                <w:lang w:val="en-US"/>
              </w:rPr>
              <w:t> </w:t>
            </w:r>
          </w:p>
        </w:tc>
      </w:tr>
      <w:tr w:rsidR="00401BFE" w:rsidRPr="0021616E" w14:paraId="08FC5198" w14:textId="77777777" w:rsidTr="00947FCE">
        <w:trPr>
          <w:tblCellSpacing w:w="15" w:type="dxa"/>
        </w:trPr>
        <w:tc>
          <w:tcPr>
            <w:tcW w:w="1093" w:type="pct"/>
            <w:gridSpan w:val="2"/>
            <w:hideMark/>
          </w:tcPr>
          <w:p w14:paraId="5241C247" w14:textId="77777777" w:rsidR="00401BFE" w:rsidRPr="0021616E" w:rsidRDefault="00401BFE" w:rsidP="00401BFE">
            <w:pPr>
              <w:rPr>
                <w:iCs/>
                <w:lang w:val="en-US"/>
              </w:rPr>
            </w:pPr>
            <w:r w:rsidRPr="0021616E">
              <w:rPr>
                <w:iCs/>
                <w:lang w:val="en-US"/>
              </w:rPr>
              <w:t xml:space="preserve">5.1. </w:t>
            </w:r>
            <w:proofErr w:type="spellStart"/>
            <w:r w:rsidRPr="0021616E">
              <w:rPr>
                <w:iCs/>
                <w:lang w:val="en-US"/>
              </w:rPr>
              <w:t>valsts</w:t>
            </w:r>
            <w:proofErr w:type="spellEnd"/>
            <w:r w:rsidRPr="0021616E">
              <w:rPr>
                <w:iCs/>
                <w:lang w:val="en-US"/>
              </w:rPr>
              <w:t xml:space="preserve"> </w:t>
            </w:r>
            <w:proofErr w:type="spellStart"/>
            <w:r w:rsidRPr="0021616E">
              <w:rPr>
                <w:iCs/>
                <w:lang w:val="en-US"/>
              </w:rPr>
              <w:t>pamatbudžets</w:t>
            </w:r>
            <w:proofErr w:type="spellEnd"/>
          </w:p>
        </w:tc>
        <w:tc>
          <w:tcPr>
            <w:tcW w:w="525" w:type="pct"/>
            <w:gridSpan w:val="2"/>
            <w:vMerge/>
            <w:vAlign w:val="center"/>
            <w:hideMark/>
          </w:tcPr>
          <w:p w14:paraId="3FC6F589" w14:textId="77777777" w:rsidR="00401BFE" w:rsidRPr="0021616E" w:rsidRDefault="00401BFE" w:rsidP="00401BFE">
            <w:pPr>
              <w:rPr>
                <w:iCs/>
                <w:lang w:val="en-US"/>
              </w:rPr>
            </w:pPr>
          </w:p>
        </w:tc>
        <w:tc>
          <w:tcPr>
            <w:tcW w:w="511" w:type="pct"/>
            <w:vAlign w:val="center"/>
            <w:hideMark/>
          </w:tcPr>
          <w:p w14:paraId="4EC65725" w14:textId="77777777" w:rsidR="00401BFE" w:rsidRPr="0021616E" w:rsidRDefault="00401BFE" w:rsidP="00401BFE">
            <w:pPr>
              <w:rPr>
                <w:iCs/>
                <w:lang w:val="en-US"/>
              </w:rPr>
            </w:pPr>
            <w:r w:rsidRPr="0021616E">
              <w:rPr>
                <w:iCs/>
                <w:lang w:val="en-US"/>
              </w:rPr>
              <w:t> </w:t>
            </w:r>
          </w:p>
        </w:tc>
        <w:tc>
          <w:tcPr>
            <w:tcW w:w="524" w:type="pct"/>
            <w:vMerge/>
            <w:vAlign w:val="center"/>
            <w:hideMark/>
          </w:tcPr>
          <w:p w14:paraId="2A0A0022" w14:textId="77777777" w:rsidR="00401BFE" w:rsidRPr="0021616E" w:rsidRDefault="00401BFE" w:rsidP="00401BFE">
            <w:pPr>
              <w:rPr>
                <w:iCs/>
                <w:lang w:val="en-US"/>
              </w:rPr>
            </w:pPr>
          </w:p>
        </w:tc>
        <w:tc>
          <w:tcPr>
            <w:tcW w:w="511" w:type="pct"/>
            <w:vAlign w:val="center"/>
            <w:hideMark/>
          </w:tcPr>
          <w:p w14:paraId="5CB3DC16" w14:textId="77777777" w:rsidR="00401BFE" w:rsidRPr="0021616E" w:rsidRDefault="00401BFE" w:rsidP="00401BFE">
            <w:pPr>
              <w:rPr>
                <w:iCs/>
                <w:lang w:val="en-US"/>
              </w:rPr>
            </w:pPr>
            <w:r w:rsidRPr="0021616E">
              <w:rPr>
                <w:iCs/>
                <w:lang w:val="en-US"/>
              </w:rPr>
              <w:t> </w:t>
            </w:r>
          </w:p>
        </w:tc>
        <w:tc>
          <w:tcPr>
            <w:tcW w:w="524" w:type="pct"/>
            <w:vMerge/>
            <w:vAlign w:val="center"/>
            <w:hideMark/>
          </w:tcPr>
          <w:p w14:paraId="7B0F199F" w14:textId="77777777" w:rsidR="00401BFE" w:rsidRPr="0021616E" w:rsidRDefault="00401BFE" w:rsidP="00401BFE">
            <w:pPr>
              <w:rPr>
                <w:iCs/>
                <w:lang w:val="en-US"/>
              </w:rPr>
            </w:pPr>
          </w:p>
        </w:tc>
        <w:tc>
          <w:tcPr>
            <w:tcW w:w="511" w:type="pct"/>
            <w:vAlign w:val="center"/>
            <w:hideMark/>
          </w:tcPr>
          <w:p w14:paraId="0D56DC9B" w14:textId="77777777" w:rsidR="00401BFE" w:rsidRPr="0021616E" w:rsidRDefault="00401BFE" w:rsidP="00401BFE">
            <w:pPr>
              <w:rPr>
                <w:iCs/>
                <w:lang w:val="en-US"/>
              </w:rPr>
            </w:pPr>
            <w:r w:rsidRPr="0021616E">
              <w:rPr>
                <w:iCs/>
                <w:lang w:val="en-US"/>
              </w:rPr>
              <w:t> </w:t>
            </w:r>
          </w:p>
        </w:tc>
        <w:tc>
          <w:tcPr>
            <w:tcW w:w="663" w:type="pct"/>
            <w:vAlign w:val="center"/>
            <w:hideMark/>
          </w:tcPr>
          <w:p w14:paraId="5859D2E4" w14:textId="77777777" w:rsidR="00401BFE" w:rsidRPr="0021616E" w:rsidRDefault="00401BFE" w:rsidP="00401BFE">
            <w:pPr>
              <w:rPr>
                <w:iCs/>
                <w:lang w:val="en-US"/>
              </w:rPr>
            </w:pPr>
            <w:r w:rsidRPr="0021616E">
              <w:rPr>
                <w:iCs/>
                <w:lang w:val="en-US"/>
              </w:rPr>
              <w:t> </w:t>
            </w:r>
          </w:p>
        </w:tc>
      </w:tr>
      <w:tr w:rsidR="00401BFE" w:rsidRPr="0021616E" w14:paraId="1A2286FE" w14:textId="77777777" w:rsidTr="00947FCE">
        <w:trPr>
          <w:tblCellSpacing w:w="15" w:type="dxa"/>
        </w:trPr>
        <w:tc>
          <w:tcPr>
            <w:tcW w:w="1093" w:type="pct"/>
            <w:gridSpan w:val="2"/>
            <w:hideMark/>
          </w:tcPr>
          <w:p w14:paraId="52D2E2C0" w14:textId="77777777" w:rsidR="00401BFE" w:rsidRPr="0021616E" w:rsidRDefault="00401BFE" w:rsidP="00401BFE">
            <w:pPr>
              <w:rPr>
                <w:iCs/>
                <w:lang w:val="en-US"/>
              </w:rPr>
            </w:pPr>
            <w:r w:rsidRPr="0021616E">
              <w:rPr>
                <w:iCs/>
                <w:lang w:val="en-US"/>
              </w:rPr>
              <w:t xml:space="preserve">5.2. </w:t>
            </w:r>
            <w:proofErr w:type="spellStart"/>
            <w:r w:rsidRPr="0021616E">
              <w:rPr>
                <w:iCs/>
                <w:lang w:val="en-US"/>
              </w:rPr>
              <w:t>speciālais</w:t>
            </w:r>
            <w:proofErr w:type="spellEnd"/>
            <w:r w:rsidRPr="0021616E">
              <w:rPr>
                <w:iCs/>
                <w:lang w:val="en-US"/>
              </w:rPr>
              <w:t xml:space="preserve"> </w:t>
            </w:r>
            <w:proofErr w:type="spellStart"/>
            <w:r w:rsidRPr="0021616E">
              <w:rPr>
                <w:iCs/>
                <w:lang w:val="en-US"/>
              </w:rPr>
              <w:t>budžets</w:t>
            </w:r>
            <w:proofErr w:type="spellEnd"/>
          </w:p>
        </w:tc>
        <w:tc>
          <w:tcPr>
            <w:tcW w:w="525" w:type="pct"/>
            <w:gridSpan w:val="2"/>
            <w:vMerge/>
            <w:vAlign w:val="center"/>
            <w:hideMark/>
          </w:tcPr>
          <w:p w14:paraId="7F51B1DE" w14:textId="77777777" w:rsidR="00401BFE" w:rsidRPr="0021616E" w:rsidRDefault="00401BFE" w:rsidP="00401BFE">
            <w:pPr>
              <w:rPr>
                <w:iCs/>
                <w:lang w:val="en-US"/>
              </w:rPr>
            </w:pPr>
          </w:p>
        </w:tc>
        <w:tc>
          <w:tcPr>
            <w:tcW w:w="511" w:type="pct"/>
            <w:vAlign w:val="center"/>
            <w:hideMark/>
          </w:tcPr>
          <w:p w14:paraId="7C2194D8" w14:textId="77777777" w:rsidR="00401BFE" w:rsidRPr="0021616E" w:rsidRDefault="00401BFE" w:rsidP="00401BFE">
            <w:pPr>
              <w:rPr>
                <w:iCs/>
                <w:lang w:val="en-US"/>
              </w:rPr>
            </w:pPr>
            <w:r w:rsidRPr="0021616E">
              <w:rPr>
                <w:iCs/>
                <w:lang w:val="en-US"/>
              </w:rPr>
              <w:t> </w:t>
            </w:r>
          </w:p>
        </w:tc>
        <w:tc>
          <w:tcPr>
            <w:tcW w:w="524" w:type="pct"/>
            <w:vMerge/>
            <w:vAlign w:val="center"/>
            <w:hideMark/>
          </w:tcPr>
          <w:p w14:paraId="2F5824C5" w14:textId="77777777" w:rsidR="00401BFE" w:rsidRPr="0021616E" w:rsidRDefault="00401BFE" w:rsidP="00401BFE">
            <w:pPr>
              <w:rPr>
                <w:iCs/>
                <w:lang w:val="en-US"/>
              </w:rPr>
            </w:pPr>
          </w:p>
        </w:tc>
        <w:tc>
          <w:tcPr>
            <w:tcW w:w="511" w:type="pct"/>
            <w:vAlign w:val="center"/>
            <w:hideMark/>
          </w:tcPr>
          <w:p w14:paraId="63876E9C" w14:textId="77777777" w:rsidR="00401BFE" w:rsidRPr="0021616E" w:rsidRDefault="00401BFE" w:rsidP="00401BFE">
            <w:pPr>
              <w:rPr>
                <w:iCs/>
                <w:lang w:val="en-US"/>
              </w:rPr>
            </w:pPr>
            <w:r w:rsidRPr="0021616E">
              <w:rPr>
                <w:iCs/>
                <w:lang w:val="en-US"/>
              </w:rPr>
              <w:t> </w:t>
            </w:r>
          </w:p>
        </w:tc>
        <w:tc>
          <w:tcPr>
            <w:tcW w:w="524" w:type="pct"/>
            <w:vMerge/>
            <w:vAlign w:val="center"/>
            <w:hideMark/>
          </w:tcPr>
          <w:p w14:paraId="5DAB36BA" w14:textId="77777777" w:rsidR="00401BFE" w:rsidRPr="0021616E" w:rsidRDefault="00401BFE" w:rsidP="00401BFE">
            <w:pPr>
              <w:rPr>
                <w:iCs/>
                <w:lang w:val="en-US"/>
              </w:rPr>
            </w:pPr>
          </w:p>
        </w:tc>
        <w:tc>
          <w:tcPr>
            <w:tcW w:w="511" w:type="pct"/>
            <w:vAlign w:val="center"/>
            <w:hideMark/>
          </w:tcPr>
          <w:p w14:paraId="0C5F7888" w14:textId="77777777" w:rsidR="00401BFE" w:rsidRPr="0021616E" w:rsidRDefault="00401BFE" w:rsidP="00401BFE">
            <w:pPr>
              <w:rPr>
                <w:iCs/>
                <w:lang w:val="en-US"/>
              </w:rPr>
            </w:pPr>
            <w:r w:rsidRPr="0021616E">
              <w:rPr>
                <w:iCs/>
                <w:lang w:val="en-US"/>
              </w:rPr>
              <w:t> </w:t>
            </w:r>
          </w:p>
        </w:tc>
        <w:tc>
          <w:tcPr>
            <w:tcW w:w="663" w:type="pct"/>
            <w:vAlign w:val="center"/>
            <w:hideMark/>
          </w:tcPr>
          <w:p w14:paraId="459FAFA8" w14:textId="77777777" w:rsidR="00401BFE" w:rsidRPr="0021616E" w:rsidRDefault="00401BFE" w:rsidP="00401BFE">
            <w:pPr>
              <w:rPr>
                <w:iCs/>
                <w:lang w:val="en-US"/>
              </w:rPr>
            </w:pPr>
            <w:r w:rsidRPr="0021616E">
              <w:rPr>
                <w:iCs/>
                <w:lang w:val="en-US"/>
              </w:rPr>
              <w:t> </w:t>
            </w:r>
          </w:p>
        </w:tc>
      </w:tr>
      <w:tr w:rsidR="00401BFE" w:rsidRPr="0021616E" w14:paraId="54449E6B" w14:textId="77777777" w:rsidTr="00947FCE">
        <w:trPr>
          <w:tblCellSpacing w:w="15" w:type="dxa"/>
        </w:trPr>
        <w:tc>
          <w:tcPr>
            <w:tcW w:w="1093" w:type="pct"/>
            <w:gridSpan w:val="2"/>
            <w:hideMark/>
          </w:tcPr>
          <w:p w14:paraId="39A17246" w14:textId="77777777" w:rsidR="00401BFE" w:rsidRPr="0021616E" w:rsidRDefault="00401BFE" w:rsidP="00401BFE">
            <w:pPr>
              <w:rPr>
                <w:iCs/>
                <w:lang w:val="en-US"/>
              </w:rPr>
            </w:pPr>
            <w:r w:rsidRPr="0021616E">
              <w:rPr>
                <w:iCs/>
                <w:lang w:val="en-US"/>
              </w:rPr>
              <w:t xml:space="preserve">5.3. </w:t>
            </w:r>
            <w:proofErr w:type="spellStart"/>
            <w:r w:rsidRPr="0021616E">
              <w:rPr>
                <w:iCs/>
                <w:lang w:val="en-US"/>
              </w:rPr>
              <w:t>pašvaldību</w:t>
            </w:r>
            <w:proofErr w:type="spellEnd"/>
            <w:r w:rsidRPr="0021616E">
              <w:rPr>
                <w:iCs/>
                <w:lang w:val="en-US"/>
              </w:rPr>
              <w:t xml:space="preserve"> </w:t>
            </w:r>
            <w:proofErr w:type="spellStart"/>
            <w:r w:rsidRPr="0021616E">
              <w:rPr>
                <w:iCs/>
                <w:lang w:val="en-US"/>
              </w:rPr>
              <w:t>budžets</w:t>
            </w:r>
            <w:proofErr w:type="spellEnd"/>
          </w:p>
        </w:tc>
        <w:tc>
          <w:tcPr>
            <w:tcW w:w="525" w:type="pct"/>
            <w:gridSpan w:val="2"/>
            <w:vMerge/>
            <w:vAlign w:val="center"/>
            <w:hideMark/>
          </w:tcPr>
          <w:p w14:paraId="01A9C385" w14:textId="77777777" w:rsidR="00401BFE" w:rsidRPr="0021616E" w:rsidRDefault="00401BFE" w:rsidP="00401BFE">
            <w:pPr>
              <w:rPr>
                <w:iCs/>
                <w:lang w:val="en-US"/>
              </w:rPr>
            </w:pPr>
          </w:p>
        </w:tc>
        <w:tc>
          <w:tcPr>
            <w:tcW w:w="511" w:type="pct"/>
            <w:vAlign w:val="center"/>
            <w:hideMark/>
          </w:tcPr>
          <w:p w14:paraId="68BE81DB" w14:textId="77777777" w:rsidR="00401BFE" w:rsidRPr="0021616E" w:rsidRDefault="00401BFE" w:rsidP="00401BFE">
            <w:pPr>
              <w:rPr>
                <w:iCs/>
                <w:lang w:val="en-US"/>
              </w:rPr>
            </w:pPr>
            <w:r w:rsidRPr="0021616E">
              <w:rPr>
                <w:iCs/>
                <w:lang w:val="en-US"/>
              </w:rPr>
              <w:t> </w:t>
            </w:r>
          </w:p>
        </w:tc>
        <w:tc>
          <w:tcPr>
            <w:tcW w:w="524" w:type="pct"/>
            <w:vMerge/>
            <w:vAlign w:val="center"/>
            <w:hideMark/>
          </w:tcPr>
          <w:p w14:paraId="6F88A5C5" w14:textId="77777777" w:rsidR="00401BFE" w:rsidRPr="0021616E" w:rsidRDefault="00401BFE" w:rsidP="00401BFE">
            <w:pPr>
              <w:rPr>
                <w:iCs/>
                <w:lang w:val="en-US"/>
              </w:rPr>
            </w:pPr>
          </w:p>
        </w:tc>
        <w:tc>
          <w:tcPr>
            <w:tcW w:w="511" w:type="pct"/>
            <w:vAlign w:val="center"/>
            <w:hideMark/>
          </w:tcPr>
          <w:p w14:paraId="684C5B7E" w14:textId="77777777" w:rsidR="00401BFE" w:rsidRPr="0021616E" w:rsidRDefault="00401BFE" w:rsidP="00401BFE">
            <w:pPr>
              <w:rPr>
                <w:iCs/>
                <w:lang w:val="en-US"/>
              </w:rPr>
            </w:pPr>
            <w:r w:rsidRPr="0021616E">
              <w:rPr>
                <w:iCs/>
                <w:lang w:val="en-US"/>
              </w:rPr>
              <w:t> </w:t>
            </w:r>
          </w:p>
        </w:tc>
        <w:tc>
          <w:tcPr>
            <w:tcW w:w="524" w:type="pct"/>
            <w:vMerge/>
            <w:vAlign w:val="center"/>
            <w:hideMark/>
          </w:tcPr>
          <w:p w14:paraId="545EE463" w14:textId="77777777" w:rsidR="00401BFE" w:rsidRPr="0021616E" w:rsidRDefault="00401BFE" w:rsidP="00401BFE">
            <w:pPr>
              <w:rPr>
                <w:iCs/>
                <w:lang w:val="en-US"/>
              </w:rPr>
            </w:pPr>
          </w:p>
        </w:tc>
        <w:tc>
          <w:tcPr>
            <w:tcW w:w="511" w:type="pct"/>
            <w:vAlign w:val="center"/>
            <w:hideMark/>
          </w:tcPr>
          <w:p w14:paraId="576C8E38" w14:textId="77777777" w:rsidR="00401BFE" w:rsidRPr="0021616E" w:rsidRDefault="00401BFE" w:rsidP="00401BFE">
            <w:pPr>
              <w:rPr>
                <w:iCs/>
                <w:lang w:val="en-US"/>
              </w:rPr>
            </w:pPr>
            <w:r w:rsidRPr="0021616E">
              <w:rPr>
                <w:iCs/>
                <w:lang w:val="en-US"/>
              </w:rPr>
              <w:t> </w:t>
            </w:r>
          </w:p>
        </w:tc>
        <w:tc>
          <w:tcPr>
            <w:tcW w:w="663" w:type="pct"/>
            <w:vAlign w:val="center"/>
            <w:hideMark/>
          </w:tcPr>
          <w:p w14:paraId="7A98D587" w14:textId="77777777" w:rsidR="00401BFE" w:rsidRPr="0021616E" w:rsidRDefault="00401BFE" w:rsidP="00401BFE">
            <w:pPr>
              <w:rPr>
                <w:iCs/>
                <w:lang w:val="en-US"/>
              </w:rPr>
            </w:pPr>
            <w:r w:rsidRPr="0021616E">
              <w:rPr>
                <w:iCs/>
                <w:lang w:val="en-US"/>
              </w:rPr>
              <w:t> </w:t>
            </w:r>
          </w:p>
        </w:tc>
      </w:tr>
      <w:tr w:rsidR="00401BFE" w:rsidRPr="0021616E" w14:paraId="312796B6" w14:textId="77777777" w:rsidTr="00947FCE">
        <w:trPr>
          <w:tblCellSpacing w:w="15" w:type="dxa"/>
        </w:trPr>
        <w:tc>
          <w:tcPr>
            <w:tcW w:w="1093" w:type="pct"/>
            <w:gridSpan w:val="2"/>
            <w:hideMark/>
          </w:tcPr>
          <w:p w14:paraId="677E4ACE" w14:textId="77777777" w:rsidR="00401BFE" w:rsidRPr="0021616E" w:rsidRDefault="00401BFE" w:rsidP="00401BFE">
            <w:pPr>
              <w:rPr>
                <w:iCs/>
              </w:rPr>
            </w:pPr>
            <w:r w:rsidRPr="0021616E">
              <w:rPr>
                <w:iCs/>
              </w:rPr>
              <w:t xml:space="preserve">6. Detalizēts ieņēmumu un izdevumu aprēķins (ja nepieciešams, </w:t>
            </w:r>
            <w:r w:rsidRPr="0021616E">
              <w:rPr>
                <w:iCs/>
              </w:rPr>
              <w:lastRenderedPageBreak/>
              <w:t>detalizētu ieņēmumu un izdevumu aprēķinu var pievienot anotācijas pielikumā)</w:t>
            </w:r>
          </w:p>
        </w:tc>
        <w:tc>
          <w:tcPr>
            <w:tcW w:w="3861" w:type="pct"/>
            <w:gridSpan w:val="8"/>
            <w:vMerge w:val="restart"/>
            <w:vAlign w:val="center"/>
            <w:hideMark/>
          </w:tcPr>
          <w:p w14:paraId="554BEC70" w14:textId="77777777" w:rsidR="00401BFE" w:rsidRPr="009D39BD" w:rsidRDefault="00401BFE" w:rsidP="00401BFE">
            <w:pPr>
              <w:numPr>
                <w:ilvl w:val="0"/>
                <w:numId w:val="52"/>
              </w:numPr>
              <w:rPr>
                <w:iCs/>
              </w:rPr>
            </w:pPr>
            <w:r w:rsidRPr="0021616E">
              <w:rPr>
                <w:iCs/>
              </w:rPr>
              <w:lastRenderedPageBreak/>
              <w:t> </w:t>
            </w:r>
            <w:r w:rsidRPr="009D39BD">
              <w:rPr>
                <w:iCs/>
              </w:rPr>
              <w:t>Noteikumu projektā paredzētajam nav ietekmes uz izmaiņām valsts budžeta ieņēmumos</w:t>
            </w:r>
          </w:p>
          <w:p w14:paraId="5CBA67BE" w14:textId="77777777" w:rsidR="00401BFE" w:rsidRPr="009D39BD" w:rsidRDefault="00401BFE" w:rsidP="00401BFE">
            <w:pPr>
              <w:numPr>
                <w:ilvl w:val="0"/>
                <w:numId w:val="52"/>
              </w:numPr>
              <w:rPr>
                <w:iCs/>
              </w:rPr>
            </w:pPr>
            <w:r w:rsidRPr="009D39BD">
              <w:rPr>
                <w:iCs/>
              </w:rPr>
              <w:lastRenderedPageBreak/>
              <w:t>Noteikumu projektā paredzētajam nav ietekmes uz izmaiņām valsts budžeta izdevumos</w:t>
            </w:r>
          </w:p>
          <w:p w14:paraId="762AD9CF" w14:textId="77777777" w:rsidR="00401BFE" w:rsidRPr="009D39BD" w:rsidRDefault="00401BFE" w:rsidP="00401BFE">
            <w:pPr>
              <w:numPr>
                <w:ilvl w:val="0"/>
                <w:numId w:val="52"/>
              </w:numPr>
              <w:rPr>
                <w:iCs/>
              </w:rPr>
            </w:pPr>
            <w:r w:rsidRPr="009D39BD">
              <w:rPr>
                <w:iCs/>
              </w:rPr>
              <w:t>Nepieciešamais finansējuma apmērs maznodrošinātu ģimeņu (personu) ar vidējo ienākumu līmeni līdz 242 EUR 2019.-2021. gadam un līdz darbības programmas ieviešanas beigām balstīts uz šādiem pieņēmumiem un statistiku:</w:t>
            </w:r>
          </w:p>
          <w:p w14:paraId="64F2C8B7" w14:textId="77777777" w:rsidR="00401BFE" w:rsidRPr="009D39BD" w:rsidRDefault="00401BFE" w:rsidP="00401BFE">
            <w:pPr>
              <w:numPr>
                <w:ilvl w:val="1"/>
                <w:numId w:val="52"/>
              </w:numPr>
              <w:ind w:left="436" w:firstLine="0"/>
              <w:rPr>
                <w:iCs/>
              </w:rPr>
            </w:pPr>
            <w:r w:rsidRPr="009D39BD">
              <w:rPr>
                <w:iCs/>
              </w:rPr>
              <w:t>Ja 2015. gadā trūcīgas personas statuss tika piešķirts 81 887 personām, t.sk. 26 468 bērniem, tad 2016. gadā – 68 816 personām, t.sk. 20 851 bērniem, kas attiecīgi ir par 16 % un 21,2 % mazāk nekā 2015. gadā.</w:t>
            </w:r>
            <w:r w:rsidRPr="009D39BD" w:rsidDel="00396DA2">
              <w:rPr>
                <w:iCs/>
              </w:rPr>
              <w:t xml:space="preserve"> </w:t>
            </w:r>
            <w:r w:rsidRPr="009D39BD">
              <w:rPr>
                <w:iCs/>
              </w:rPr>
              <w:t>Savukārt 2017. gadā - 62260 personām, t.sk.18264 bērniem, kas attiecīgi ir par 9.5 % un 12.4 % mazāk nekā 2016. gadā</w:t>
            </w:r>
            <w:r w:rsidRPr="009D39BD">
              <w:rPr>
                <w:iCs/>
                <w:vertAlign w:val="superscript"/>
              </w:rPr>
              <w:footnoteReference w:id="10"/>
            </w:r>
            <w:r w:rsidRPr="009D39BD">
              <w:rPr>
                <w:iCs/>
              </w:rPr>
              <w:t>.</w:t>
            </w:r>
          </w:p>
          <w:p w14:paraId="510B11AF" w14:textId="77777777" w:rsidR="00401BFE" w:rsidRPr="009D39BD" w:rsidRDefault="00401BFE" w:rsidP="00401BFE">
            <w:pPr>
              <w:numPr>
                <w:ilvl w:val="1"/>
                <w:numId w:val="52"/>
              </w:numPr>
              <w:ind w:left="436" w:firstLine="0"/>
              <w:rPr>
                <w:iCs/>
              </w:rPr>
            </w:pPr>
            <w:r w:rsidRPr="009D39BD">
              <w:rPr>
                <w:iCs/>
              </w:rPr>
              <w:t>Balstoties uz 2015., 2016. un 2017. gada statistiku un 2018. gada 9 mēnešu operatīviem pašvaldību datiem un tendencēm, 2018. gadā trūcīgu personu skaits tiek prognozēts vidēji 34,5 tūkst. personu mēnesī, t.sk. 9 tūkst. bērnu, savukārt 2019. gadā un turpmāk 32 tūkst. mēnesī, t.sk. 8 tūkst. bērnu, t.i., samazinoties par vidēji 3 tūkst. personām, t.sk. 1 tūkst. bērnu salīdzinot ar 2018. gadu.</w:t>
            </w:r>
          </w:p>
          <w:p w14:paraId="30B2546C" w14:textId="77777777" w:rsidR="00401BFE" w:rsidRPr="009D39BD" w:rsidRDefault="00401BFE" w:rsidP="00401BFE">
            <w:pPr>
              <w:numPr>
                <w:ilvl w:val="1"/>
                <w:numId w:val="52"/>
              </w:numPr>
              <w:ind w:left="436" w:firstLine="0"/>
              <w:rPr>
                <w:iCs/>
              </w:rPr>
            </w:pPr>
            <w:r w:rsidRPr="009D39BD">
              <w:rPr>
                <w:iCs/>
              </w:rPr>
              <w:t xml:space="preserve">Papildus indikatīvi līdz 0.8 tūkst. personām gadā, t.sk., 0,2 tūkst.  bērniem pašvaldības izsniedz izziņu par atbalsta nepieciešamību krīzes situācijā. </w:t>
            </w:r>
          </w:p>
          <w:p w14:paraId="445D71A6" w14:textId="77777777" w:rsidR="00401BFE" w:rsidRPr="009D39BD" w:rsidRDefault="00401BFE" w:rsidP="00401BFE">
            <w:pPr>
              <w:numPr>
                <w:ilvl w:val="1"/>
                <w:numId w:val="52"/>
              </w:numPr>
              <w:ind w:left="436" w:firstLine="0"/>
              <w:rPr>
                <w:iCs/>
              </w:rPr>
            </w:pPr>
            <w:r w:rsidRPr="009D39BD">
              <w:rPr>
                <w:iCs/>
              </w:rPr>
              <w:t xml:space="preserve">Pamatojoties uz 2017. gada statistiku par maznodrošinātām ģimenēm (personām), un 2018. gada 9 mēnešos iezīmējušos tendenci statistikai par maznodrošinātām ģimenēm (personām), kuru ienākumi nepārsniedz 188 EUR, atbalsta saņēmēju skaits indikatīvi var palielināties par 10 tūkst., t.sk. 2 tūkst. bērnu un sasniegt 2018. gadā vidēji 44 tūkst. personas mēnesī, kas ir analogi 2017. gada situācijai. </w:t>
            </w:r>
          </w:p>
          <w:p w14:paraId="4FDDD2E8" w14:textId="77777777" w:rsidR="00401BFE" w:rsidRPr="009D39BD" w:rsidRDefault="00401BFE" w:rsidP="00401BFE">
            <w:pPr>
              <w:numPr>
                <w:ilvl w:val="1"/>
                <w:numId w:val="52"/>
              </w:numPr>
              <w:ind w:left="436" w:firstLine="0"/>
              <w:rPr>
                <w:iCs/>
              </w:rPr>
            </w:pPr>
            <w:r w:rsidRPr="009D39BD">
              <w:rPr>
                <w:iCs/>
              </w:rPr>
              <w:t xml:space="preserve">Pēc izmaiņām personu lokā, kurām ir tiesības saņemt Fonda atbalstu, 2019. gadā atbalsta saņēmēju skaits (maznodrošinātās personas), kuru ienākumi nepārsniedz </w:t>
            </w:r>
            <w:r w:rsidRPr="009D39BD">
              <w:rPr>
                <w:b/>
                <w:iCs/>
              </w:rPr>
              <w:t>242 EUR</w:t>
            </w:r>
            <w:r w:rsidRPr="009D39BD">
              <w:rPr>
                <w:iCs/>
              </w:rPr>
              <w:t xml:space="preserve"> sasniegs vidēji 61.2 tūkst. personu mēnesī. Turpmākajos gados (2020. un 2021.) prognozētais kopējais atbalstāmo personu loks līdzīgs, tomēr likumdošanas izmaiņu rezultātā tas var samazināties.</w:t>
            </w:r>
          </w:p>
          <w:p w14:paraId="52F44457" w14:textId="77777777" w:rsidR="00401BFE" w:rsidRDefault="00401BFE" w:rsidP="00401BFE">
            <w:pPr>
              <w:numPr>
                <w:ilvl w:val="1"/>
                <w:numId w:val="52"/>
              </w:numPr>
              <w:ind w:left="365" w:firstLine="141"/>
              <w:rPr>
                <w:iCs/>
              </w:rPr>
            </w:pPr>
            <w:r w:rsidRPr="009D39BD">
              <w:rPr>
                <w:iCs/>
              </w:rPr>
              <w:t>Ievērtējot 2. līdz 5. punktā minētos pieņēmumus un plānoto nosacījumu maiņu, un jau notikušo 2016. gada preču iepirkumu uz trīs gadiem (2017., 2018., 2019.) un pieņemot, ka situācija un nosacījumi turpmākajos divos gados (2020., 2021.) ir bez būtiskām izmaiņām</w:t>
            </w:r>
            <w:r>
              <w:rPr>
                <w:iCs/>
              </w:rPr>
              <w:t>:</w:t>
            </w:r>
          </w:p>
          <w:p w14:paraId="11264DC5" w14:textId="305CA614" w:rsidR="00401BFE" w:rsidRPr="00934DCB" w:rsidRDefault="00401BFE" w:rsidP="00401BFE">
            <w:pPr>
              <w:ind w:left="365"/>
              <w:rPr>
                <w:iCs/>
                <w:u w:val="single"/>
              </w:rPr>
            </w:pPr>
            <w:r w:rsidRPr="009D39BD">
              <w:rPr>
                <w:color w:val="000000"/>
              </w:rPr>
              <w:t xml:space="preserve"> </w:t>
            </w:r>
            <w:r w:rsidRPr="00934DCB">
              <w:rPr>
                <w:iCs/>
                <w:color w:val="000000"/>
                <w:u w:val="single"/>
              </w:rPr>
              <w:t xml:space="preserve">nepieciešamais finansējums pārtikas un pamata materiālās palīdzības preču iegādei un izdales nodrošināšanai, kā arī papildpasākumu īstenošanai </w:t>
            </w:r>
            <w:r w:rsidRPr="00934DCB">
              <w:rPr>
                <w:iCs/>
                <w:u w:val="single"/>
              </w:rPr>
              <w:t>tiks nodrošināts Sabiedrības integrācijas fondam (SIF) Eiropas Atbalsta fonda vistrūcīgākajām personām pasākumu īstenošanai plānotā finansējuma ietvaros atbilstoši SIF pamatbudžeta maksimāli pieļaujamajam izdevumu apjomam 2019.-2021. gadam.</w:t>
            </w:r>
          </w:p>
          <w:p w14:paraId="7308BC2A" w14:textId="0E633729" w:rsidR="00401BFE" w:rsidRPr="0021616E" w:rsidRDefault="00401BFE" w:rsidP="00401BFE">
            <w:pPr>
              <w:rPr>
                <w:iCs/>
              </w:rPr>
            </w:pPr>
            <w:r w:rsidRPr="009D39BD">
              <w:rPr>
                <w:iCs/>
              </w:rPr>
              <w:t>Tā kā aprēķini veikti indikatīvi (2019. gada vairāku atbalsta veidu iepirkuma rezultātā anotācijā prognozētās izmaksas precizēsies) un arī atbalsta saņēmēju skaits, ievērojot ekonomiskās situācijas izmaiņas, ir mainīgs, iespējami precizējumi gan saņēmēju skaita ziņā, gan izdalāmo komplektu un preču vērtībā.</w:t>
            </w:r>
          </w:p>
        </w:tc>
      </w:tr>
      <w:tr w:rsidR="00401BFE" w:rsidRPr="0021616E" w14:paraId="65D4A8C4" w14:textId="77777777" w:rsidTr="00947FCE">
        <w:trPr>
          <w:tblCellSpacing w:w="15" w:type="dxa"/>
        </w:trPr>
        <w:tc>
          <w:tcPr>
            <w:tcW w:w="1093" w:type="pct"/>
            <w:gridSpan w:val="2"/>
            <w:hideMark/>
          </w:tcPr>
          <w:p w14:paraId="56CD9CE8" w14:textId="77777777" w:rsidR="00401BFE" w:rsidRPr="0021616E" w:rsidRDefault="00401BFE" w:rsidP="00401BFE">
            <w:pPr>
              <w:rPr>
                <w:iCs/>
                <w:lang w:val="en-US"/>
              </w:rPr>
            </w:pPr>
            <w:r w:rsidRPr="0021616E">
              <w:rPr>
                <w:iCs/>
                <w:lang w:val="en-US"/>
              </w:rPr>
              <w:lastRenderedPageBreak/>
              <w:t xml:space="preserve">6.1. </w:t>
            </w:r>
            <w:proofErr w:type="spellStart"/>
            <w:r w:rsidRPr="0021616E">
              <w:rPr>
                <w:iCs/>
                <w:lang w:val="en-US"/>
              </w:rPr>
              <w:t>detalizēts</w:t>
            </w:r>
            <w:proofErr w:type="spellEnd"/>
            <w:r w:rsidRPr="0021616E">
              <w:rPr>
                <w:iCs/>
                <w:lang w:val="en-US"/>
              </w:rPr>
              <w:t xml:space="preserve"> </w:t>
            </w:r>
            <w:proofErr w:type="spellStart"/>
            <w:r w:rsidRPr="0021616E">
              <w:rPr>
                <w:iCs/>
                <w:lang w:val="en-US"/>
              </w:rPr>
              <w:t>ieņēmumu</w:t>
            </w:r>
            <w:proofErr w:type="spellEnd"/>
            <w:r w:rsidRPr="0021616E">
              <w:rPr>
                <w:iCs/>
                <w:lang w:val="en-US"/>
              </w:rPr>
              <w:t xml:space="preserve"> </w:t>
            </w:r>
            <w:proofErr w:type="spellStart"/>
            <w:r w:rsidRPr="0021616E">
              <w:rPr>
                <w:iCs/>
                <w:lang w:val="en-US"/>
              </w:rPr>
              <w:t>aprēķins</w:t>
            </w:r>
            <w:proofErr w:type="spellEnd"/>
          </w:p>
        </w:tc>
        <w:tc>
          <w:tcPr>
            <w:tcW w:w="3861" w:type="pct"/>
            <w:gridSpan w:val="8"/>
            <w:vMerge/>
            <w:vAlign w:val="center"/>
            <w:hideMark/>
          </w:tcPr>
          <w:p w14:paraId="2909537D" w14:textId="77777777" w:rsidR="00401BFE" w:rsidRPr="0021616E" w:rsidRDefault="00401BFE" w:rsidP="00401BFE">
            <w:pPr>
              <w:rPr>
                <w:iCs/>
                <w:lang w:val="en-US"/>
              </w:rPr>
            </w:pPr>
          </w:p>
        </w:tc>
      </w:tr>
      <w:tr w:rsidR="00401BFE" w:rsidRPr="0021616E" w14:paraId="55A57421" w14:textId="77777777" w:rsidTr="00947FCE">
        <w:trPr>
          <w:tblCellSpacing w:w="15" w:type="dxa"/>
        </w:trPr>
        <w:tc>
          <w:tcPr>
            <w:tcW w:w="1093" w:type="pct"/>
            <w:gridSpan w:val="2"/>
            <w:hideMark/>
          </w:tcPr>
          <w:p w14:paraId="2A5B568C" w14:textId="77777777" w:rsidR="00401BFE" w:rsidRPr="0021616E" w:rsidRDefault="00401BFE" w:rsidP="00401BFE">
            <w:pPr>
              <w:rPr>
                <w:iCs/>
                <w:lang w:val="en-US"/>
              </w:rPr>
            </w:pPr>
            <w:r w:rsidRPr="0021616E">
              <w:rPr>
                <w:iCs/>
                <w:lang w:val="en-US"/>
              </w:rPr>
              <w:t xml:space="preserve">6.2. </w:t>
            </w:r>
            <w:proofErr w:type="spellStart"/>
            <w:r w:rsidRPr="0021616E">
              <w:rPr>
                <w:iCs/>
                <w:lang w:val="en-US"/>
              </w:rPr>
              <w:t>detalizēts</w:t>
            </w:r>
            <w:proofErr w:type="spellEnd"/>
            <w:r w:rsidRPr="0021616E">
              <w:rPr>
                <w:iCs/>
                <w:lang w:val="en-US"/>
              </w:rPr>
              <w:t xml:space="preserve"> </w:t>
            </w:r>
            <w:proofErr w:type="spellStart"/>
            <w:r w:rsidRPr="0021616E">
              <w:rPr>
                <w:iCs/>
                <w:lang w:val="en-US"/>
              </w:rPr>
              <w:t>izdevumu</w:t>
            </w:r>
            <w:proofErr w:type="spellEnd"/>
            <w:r w:rsidRPr="0021616E">
              <w:rPr>
                <w:iCs/>
                <w:lang w:val="en-US"/>
              </w:rPr>
              <w:t xml:space="preserve"> </w:t>
            </w:r>
            <w:proofErr w:type="spellStart"/>
            <w:r w:rsidRPr="0021616E">
              <w:rPr>
                <w:iCs/>
                <w:lang w:val="en-US"/>
              </w:rPr>
              <w:t>aprēķins</w:t>
            </w:r>
            <w:proofErr w:type="spellEnd"/>
          </w:p>
        </w:tc>
        <w:tc>
          <w:tcPr>
            <w:tcW w:w="3861" w:type="pct"/>
            <w:gridSpan w:val="8"/>
            <w:vMerge/>
            <w:vAlign w:val="center"/>
            <w:hideMark/>
          </w:tcPr>
          <w:p w14:paraId="0D140F8E" w14:textId="77777777" w:rsidR="00401BFE" w:rsidRPr="0021616E" w:rsidRDefault="00401BFE" w:rsidP="00401BFE">
            <w:pPr>
              <w:rPr>
                <w:iCs/>
                <w:lang w:val="en-US"/>
              </w:rPr>
            </w:pPr>
          </w:p>
        </w:tc>
      </w:tr>
      <w:tr w:rsidR="00401BFE" w:rsidRPr="0021616E" w14:paraId="42BA4256" w14:textId="77777777" w:rsidTr="00947FCE">
        <w:trPr>
          <w:tblCellSpacing w:w="15" w:type="dxa"/>
        </w:trPr>
        <w:tc>
          <w:tcPr>
            <w:tcW w:w="1093" w:type="pct"/>
            <w:gridSpan w:val="2"/>
            <w:hideMark/>
          </w:tcPr>
          <w:p w14:paraId="47650302" w14:textId="77777777" w:rsidR="00401BFE" w:rsidRPr="0021616E" w:rsidRDefault="00401BFE" w:rsidP="00401BFE">
            <w:pPr>
              <w:rPr>
                <w:iCs/>
                <w:lang w:val="en-US"/>
              </w:rPr>
            </w:pPr>
            <w:r w:rsidRPr="0021616E">
              <w:rPr>
                <w:iCs/>
                <w:lang w:val="en-US"/>
              </w:rPr>
              <w:t xml:space="preserve">7. Amata </w:t>
            </w:r>
            <w:proofErr w:type="spellStart"/>
            <w:r w:rsidRPr="0021616E">
              <w:rPr>
                <w:iCs/>
                <w:lang w:val="en-US"/>
              </w:rPr>
              <w:t>vietu</w:t>
            </w:r>
            <w:proofErr w:type="spellEnd"/>
            <w:r w:rsidRPr="0021616E">
              <w:rPr>
                <w:iCs/>
                <w:lang w:val="en-US"/>
              </w:rPr>
              <w:t xml:space="preserve"> </w:t>
            </w:r>
            <w:proofErr w:type="spellStart"/>
            <w:r w:rsidRPr="0021616E">
              <w:rPr>
                <w:iCs/>
                <w:lang w:val="en-US"/>
              </w:rPr>
              <w:t>skaita</w:t>
            </w:r>
            <w:proofErr w:type="spellEnd"/>
            <w:r w:rsidRPr="0021616E">
              <w:rPr>
                <w:iCs/>
                <w:lang w:val="en-US"/>
              </w:rPr>
              <w:t xml:space="preserve"> </w:t>
            </w:r>
            <w:proofErr w:type="spellStart"/>
            <w:r w:rsidRPr="0021616E">
              <w:rPr>
                <w:iCs/>
                <w:lang w:val="en-US"/>
              </w:rPr>
              <w:t>izmaiņas</w:t>
            </w:r>
            <w:proofErr w:type="spellEnd"/>
          </w:p>
        </w:tc>
        <w:tc>
          <w:tcPr>
            <w:tcW w:w="3861" w:type="pct"/>
            <w:gridSpan w:val="8"/>
            <w:hideMark/>
          </w:tcPr>
          <w:p w14:paraId="09314895" w14:textId="6A6BC2EF" w:rsidR="00401BFE" w:rsidRPr="0021616E" w:rsidRDefault="00401BFE" w:rsidP="00401BFE">
            <w:pPr>
              <w:rPr>
                <w:iCs/>
                <w:lang w:val="en-US"/>
              </w:rPr>
            </w:pPr>
            <w:proofErr w:type="spellStart"/>
            <w:r>
              <w:rPr>
                <w:iCs/>
                <w:lang w:val="en-US"/>
              </w:rPr>
              <w:t>Nav</w:t>
            </w:r>
            <w:proofErr w:type="spellEnd"/>
          </w:p>
        </w:tc>
      </w:tr>
      <w:tr w:rsidR="00401BFE" w:rsidRPr="0021616E" w14:paraId="52489465" w14:textId="77777777" w:rsidTr="00947FCE">
        <w:trPr>
          <w:tblCellSpacing w:w="15" w:type="dxa"/>
        </w:trPr>
        <w:tc>
          <w:tcPr>
            <w:tcW w:w="1093" w:type="pct"/>
            <w:gridSpan w:val="2"/>
            <w:hideMark/>
          </w:tcPr>
          <w:p w14:paraId="7E8FBEA5" w14:textId="77777777" w:rsidR="00401BFE" w:rsidRPr="0021616E" w:rsidRDefault="00401BFE" w:rsidP="00401BFE">
            <w:pPr>
              <w:rPr>
                <w:iCs/>
                <w:lang w:val="en-US"/>
              </w:rPr>
            </w:pPr>
            <w:r w:rsidRPr="0021616E">
              <w:rPr>
                <w:iCs/>
                <w:lang w:val="en-US"/>
              </w:rPr>
              <w:lastRenderedPageBreak/>
              <w:t xml:space="preserve">8. </w:t>
            </w:r>
            <w:proofErr w:type="spellStart"/>
            <w:r w:rsidRPr="0021616E">
              <w:rPr>
                <w:iCs/>
                <w:lang w:val="en-US"/>
              </w:rPr>
              <w:t>Cita</w:t>
            </w:r>
            <w:proofErr w:type="spellEnd"/>
            <w:r w:rsidRPr="0021616E">
              <w:rPr>
                <w:iCs/>
                <w:lang w:val="en-US"/>
              </w:rPr>
              <w:t xml:space="preserve"> </w:t>
            </w:r>
            <w:proofErr w:type="spellStart"/>
            <w:r w:rsidRPr="0021616E">
              <w:rPr>
                <w:iCs/>
                <w:lang w:val="en-US"/>
              </w:rPr>
              <w:t>informācija</w:t>
            </w:r>
            <w:proofErr w:type="spellEnd"/>
          </w:p>
        </w:tc>
        <w:tc>
          <w:tcPr>
            <w:tcW w:w="3861" w:type="pct"/>
            <w:gridSpan w:val="8"/>
            <w:hideMark/>
          </w:tcPr>
          <w:p w14:paraId="1A5FA4EE" w14:textId="452B6E5F" w:rsidR="00401BFE" w:rsidRPr="00BD2D06" w:rsidRDefault="00401BFE" w:rsidP="00401BFE">
            <w:pPr>
              <w:jc w:val="both"/>
              <w:rPr>
                <w:iCs/>
                <w:u w:val="single"/>
              </w:rPr>
            </w:pPr>
            <w:r w:rsidRPr="0031035D">
              <w:rPr>
                <w:iCs/>
                <w:u w:val="single"/>
              </w:rPr>
              <w:t xml:space="preserve">Noteikumu </w:t>
            </w:r>
            <w:r w:rsidRPr="00BD2D06">
              <w:rPr>
                <w:iCs/>
                <w:u w:val="single"/>
              </w:rPr>
              <w:t>projektā paredzētie pasākumi tiks nodrošināti SIF Eiropas Atbalsta fonda vistrūcīgākajām personām pasākumu īstenošanai plānotā finansējuma ietvaros atbilstoši SIF pamatbudžeta maksimāli pieļaujamajam izdevumu apjomam 2019.-2021. gadam.</w:t>
            </w:r>
          </w:p>
          <w:p w14:paraId="6246F41C" w14:textId="77777777" w:rsidR="00401BFE" w:rsidRPr="004F2C3E" w:rsidRDefault="00401BFE" w:rsidP="00401BFE">
            <w:pPr>
              <w:jc w:val="both"/>
              <w:rPr>
                <w:iCs/>
              </w:rPr>
            </w:pPr>
            <w:r w:rsidRPr="004F2C3E">
              <w:rPr>
                <w:iCs/>
              </w:rPr>
              <w:t xml:space="preserve"> </w:t>
            </w:r>
            <w:r w:rsidRPr="004F2C3E">
              <w:rPr>
                <w:b/>
                <w:iCs/>
              </w:rPr>
              <w:t xml:space="preserve">Pavisam kopā pasākumiem pārtikas un pamata materiālās palīdzības nodrošināšanai iedzīvotājiem 2018. gadam un 2019. - 2021. gadam darbības programmā paredzēts </w:t>
            </w:r>
            <w:r w:rsidRPr="004F2C3E">
              <w:rPr>
                <w:iCs/>
              </w:rPr>
              <w:t>un valsts budžeta bāzes izdevumos plānots Sabiedrības integrācijas fondam (turpmāk - SIF) –</w:t>
            </w:r>
            <w:r w:rsidRPr="004F2C3E">
              <w:rPr>
                <w:b/>
                <w:iCs/>
              </w:rPr>
              <w:t xml:space="preserve">finansējums </w:t>
            </w:r>
            <w:r w:rsidRPr="004F2C3E">
              <w:rPr>
                <w:b/>
                <w:iCs/>
                <w:u w:val="single"/>
              </w:rPr>
              <w:t>precēm un pakalpojumiem</w:t>
            </w:r>
            <w:r w:rsidRPr="004F2C3E">
              <w:rPr>
                <w:b/>
                <w:iCs/>
              </w:rPr>
              <w:t xml:space="preserve"> 26 308 726 EUR</w:t>
            </w:r>
            <w:r w:rsidRPr="004F2C3E">
              <w:rPr>
                <w:iCs/>
              </w:rPr>
              <w:t xml:space="preserve"> (skatīt 1. tabulā).</w:t>
            </w:r>
          </w:p>
          <w:p w14:paraId="570FB21C" w14:textId="77777777" w:rsidR="00401BFE" w:rsidRPr="004F2C3E" w:rsidRDefault="00401BFE" w:rsidP="00401BFE">
            <w:pPr>
              <w:rPr>
                <w:iCs/>
              </w:rPr>
            </w:pPr>
            <w:r w:rsidRPr="004F2C3E">
              <w:rPr>
                <w:iCs/>
              </w:rPr>
              <w:t>1. tabula</w:t>
            </w:r>
          </w:p>
          <w:tbl>
            <w:tblPr>
              <w:tblStyle w:val="TableGrid"/>
              <w:tblW w:w="4694" w:type="pct"/>
              <w:jc w:val="center"/>
              <w:tblLook w:val="04A0" w:firstRow="1" w:lastRow="0" w:firstColumn="1" w:lastColumn="0" w:noHBand="0" w:noVBand="1"/>
            </w:tblPr>
            <w:tblGrid>
              <w:gridCol w:w="4021"/>
              <w:gridCol w:w="3131"/>
            </w:tblGrid>
            <w:tr w:rsidR="00401BFE" w:rsidRPr="004F2C3E" w14:paraId="5DCFC956" w14:textId="77777777" w:rsidTr="00DD7588">
              <w:trPr>
                <w:trHeight w:val="101"/>
                <w:jc w:val="center"/>
              </w:trPr>
              <w:tc>
                <w:tcPr>
                  <w:tcW w:w="2811" w:type="pct"/>
                  <w:shd w:val="clear" w:color="auto" w:fill="auto"/>
                </w:tcPr>
                <w:p w14:paraId="1030B125" w14:textId="77777777" w:rsidR="00401BFE" w:rsidRPr="004F2C3E" w:rsidRDefault="00401BFE" w:rsidP="00401BFE">
                  <w:pPr>
                    <w:rPr>
                      <w:iCs/>
                    </w:rPr>
                  </w:pPr>
                </w:p>
              </w:tc>
              <w:tc>
                <w:tcPr>
                  <w:tcW w:w="2189" w:type="pct"/>
                  <w:shd w:val="clear" w:color="auto" w:fill="auto"/>
                </w:tcPr>
                <w:p w14:paraId="37088B2B" w14:textId="77777777" w:rsidR="00401BFE" w:rsidRPr="004F2C3E" w:rsidRDefault="00401BFE" w:rsidP="00401BFE">
                  <w:pPr>
                    <w:rPr>
                      <w:iCs/>
                    </w:rPr>
                  </w:pPr>
                  <w:r w:rsidRPr="004F2C3E">
                    <w:rPr>
                      <w:iCs/>
                    </w:rPr>
                    <w:t>Finansējums, EUR</w:t>
                  </w:r>
                </w:p>
              </w:tc>
            </w:tr>
            <w:tr w:rsidR="00401BFE" w:rsidRPr="004F2C3E" w14:paraId="3731ACDD" w14:textId="77777777" w:rsidTr="00DD7588">
              <w:trPr>
                <w:trHeight w:val="101"/>
                <w:jc w:val="center"/>
              </w:trPr>
              <w:tc>
                <w:tcPr>
                  <w:tcW w:w="2811" w:type="pct"/>
                  <w:shd w:val="clear" w:color="auto" w:fill="auto"/>
                </w:tcPr>
                <w:p w14:paraId="076BC47C" w14:textId="77777777" w:rsidR="00401BFE" w:rsidRPr="004F2C3E" w:rsidRDefault="00401BFE" w:rsidP="00401BFE">
                  <w:pPr>
                    <w:rPr>
                      <w:iCs/>
                    </w:rPr>
                  </w:pPr>
                  <w:r w:rsidRPr="004F2C3E">
                    <w:rPr>
                      <w:iCs/>
                    </w:rPr>
                    <w:t>Paredzēts Darbības programmā (DP) kopā</w:t>
                  </w:r>
                </w:p>
              </w:tc>
              <w:tc>
                <w:tcPr>
                  <w:tcW w:w="2189" w:type="pct"/>
                  <w:shd w:val="clear" w:color="auto" w:fill="auto"/>
                </w:tcPr>
                <w:p w14:paraId="4C5D6D29" w14:textId="77777777" w:rsidR="00401BFE" w:rsidRPr="004F2C3E" w:rsidRDefault="00401BFE" w:rsidP="00401BFE">
                  <w:pPr>
                    <w:rPr>
                      <w:b/>
                      <w:iCs/>
                    </w:rPr>
                  </w:pPr>
                  <w:r w:rsidRPr="004F2C3E">
                    <w:rPr>
                      <w:b/>
                      <w:iCs/>
                    </w:rPr>
                    <w:t xml:space="preserve">45 850 878 </w:t>
                  </w:r>
                </w:p>
              </w:tc>
            </w:tr>
            <w:tr w:rsidR="00401BFE" w:rsidRPr="004F2C3E" w14:paraId="2AB46B74" w14:textId="77777777" w:rsidTr="00DD7588">
              <w:trPr>
                <w:trHeight w:val="165"/>
                <w:jc w:val="center"/>
              </w:trPr>
              <w:tc>
                <w:tcPr>
                  <w:tcW w:w="2811" w:type="pct"/>
                  <w:shd w:val="clear" w:color="auto" w:fill="auto"/>
                </w:tcPr>
                <w:p w14:paraId="07C17481" w14:textId="77777777" w:rsidR="00401BFE" w:rsidRPr="004F2C3E" w:rsidRDefault="00401BFE" w:rsidP="00401BFE">
                  <w:pPr>
                    <w:rPr>
                      <w:iCs/>
                    </w:rPr>
                  </w:pPr>
                  <w:r w:rsidRPr="004F2C3E">
                    <w:rPr>
                      <w:iCs/>
                    </w:rPr>
                    <w:t>Valsts budžetā līdz 2018. gadam</w:t>
                  </w:r>
                </w:p>
              </w:tc>
              <w:tc>
                <w:tcPr>
                  <w:tcW w:w="2189" w:type="pct"/>
                  <w:shd w:val="clear" w:color="auto" w:fill="auto"/>
                </w:tcPr>
                <w:p w14:paraId="239F20A7" w14:textId="77777777" w:rsidR="00401BFE" w:rsidRPr="004F2C3E" w:rsidRDefault="00401BFE" w:rsidP="00401BFE">
                  <w:pPr>
                    <w:rPr>
                      <w:iCs/>
                    </w:rPr>
                  </w:pPr>
                  <w:r w:rsidRPr="004F2C3E">
                    <w:rPr>
                      <w:iCs/>
                    </w:rPr>
                    <w:t>12 494 007</w:t>
                  </w:r>
                </w:p>
              </w:tc>
            </w:tr>
            <w:tr w:rsidR="00401BFE" w:rsidRPr="004F2C3E" w14:paraId="147B452A" w14:textId="77777777" w:rsidTr="00DD7588">
              <w:trPr>
                <w:trHeight w:val="165"/>
                <w:jc w:val="center"/>
              </w:trPr>
              <w:tc>
                <w:tcPr>
                  <w:tcW w:w="2811" w:type="pct"/>
                  <w:shd w:val="clear" w:color="auto" w:fill="auto"/>
                </w:tcPr>
                <w:p w14:paraId="668B113D" w14:textId="77777777" w:rsidR="00401BFE" w:rsidRPr="004F2C3E" w:rsidRDefault="00401BFE" w:rsidP="00401BFE">
                  <w:pPr>
                    <w:rPr>
                      <w:iCs/>
                    </w:rPr>
                  </w:pPr>
                  <w:r w:rsidRPr="004F2C3E">
                    <w:rPr>
                      <w:iCs/>
                    </w:rPr>
                    <w:t>2018. gadā</w:t>
                  </w:r>
                </w:p>
              </w:tc>
              <w:tc>
                <w:tcPr>
                  <w:tcW w:w="2189" w:type="pct"/>
                  <w:shd w:val="clear" w:color="auto" w:fill="auto"/>
                </w:tcPr>
                <w:p w14:paraId="002131AC" w14:textId="77777777" w:rsidR="00401BFE" w:rsidRPr="004F2C3E" w:rsidRDefault="00401BFE" w:rsidP="00401BFE">
                  <w:pPr>
                    <w:rPr>
                      <w:iCs/>
                    </w:rPr>
                  </w:pPr>
                  <w:r w:rsidRPr="004F2C3E">
                    <w:rPr>
                      <w:iCs/>
                    </w:rPr>
                    <w:t>5 333 843</w:t>
                  </w:r>
                </w:p>
              </w:tc>
            </w:tr>
            <w:tr w:rsidR="00401BFE" w:rsidRPr="004F2C3E" w14:paraId="43C778C2" w14:textId="77777777" w:rsidTr="00DD7588">
              <w:trPr>
                <w:trHeight w:val="211"/>
                <w:jc w:val="center"/>
              </w:trPr>
              <w:tc>
                <w:tcPr>
                  <w:tcW w:w="2811" w:type="pct"/>
                  <w:shd w:val="clear" w:color="auto" w:fill="auto"/>
                </w:tcPr>
                <w:p w14:paraId="58192025" w14:textId="77777777" w:rsidR="00401BFE" w:rsidRPr="004F2C3E" w:rsidRDefault="00401BFE" w:rsidP="00401BFE">
                  <w:pPr>
                    <w:rPr>
                      <w:iCs/>
                    </w:rPr>
                  </w:pPr>
                  <w:r w:rsidRPr="004F2C3E">
                    <w:rPr>
                      <w:iCs/>
                    </w:rPr>
                    <w:t>2019. gadā</w:t>
                  </w:r>
                </w:p>
              </w:tc>
              <w:tc>
                <w:tcPr>
                  <w:tcW w:w="2189" w:type="pct"/>
                  <w:shd w:val="clear" w:color="auto" w:fill="auto"/>
                </w:tcPr>
                <w:p w14:paraId="56F30303" w14:textId="77777777" w:rsidR="00401BFE" w:rsidRPr="004F2C3E" w:rsidRDefault="00401BFE" w:rsidP="00401BFE">
                  <w:pPr>
                    <w:rPr>
                      <w:iCs/>
                    </w:rPr>
                  </w:pPr>
                  <w:r w:rsidRPr="004F2C3E">
                    <w:rPr>
                      <w:iCs/>
                    </w:rPr>
                    <w:t>6 853 641</w:t>
                  </w:r>
                </w:p>
              </w:tc>
            </w:tr>
            <w:tr w:rsidR="00401BFE" w:rsidRPr="004F2C3E" w14:paraId="092D379F" w14:textId="77777777" w:rsidTr="00DD7588">
              <w:trPr>
                <w:trHeight w:val="165"/>
                <w:jc w:val="center"/>
              </w:trPr>
              <w:tc>
                <w:tcPr>
                  <w:tcW w:w="2811" w:type="pct"/>
                  <w:shd w:val="clear" w:color="auto" w:fill="auto"/>
                </w:tcPr>
                <w:p w14:paraId="56708F2E" w14:textId="77777777" w:rsidR="00401BFE" w:rsidRPr="004F2C3E" w:rsidRDefault="00401BFE" w:rsidP="00401BFE">
                  <w:pPr>
                    <w:rPr>
                      <w:iCs/>
                    </w:rPr>
                  </w:pPr>
                  <w:r w:rsidRPr="004F2C3E">
                    <w:rPr>
                      <w:iCs/>
                    </w:rPr>
                    <w:t>2020. gadā</w:t>
                  </w:r>
                </w:p>
              </w:tc>
              <w:tc>
                <w:tcPr>
                  <w:tcW w:w="2189" w:type="pct"/>
                  <w:shd w:val="clear" w:color="auto" w:fill="auto"/>
                </w:tcPr>
                <w:p w14:paraId="3731B659" w14:textId="77777777" w:rsidR="00401BFE" w:rsidRPr="004F2C3E" w:rsidRDefault="00401BFE" w:rsidP="00401BFE">
                  <w:pPr>
                    <w:rPr>
                      <w:iCs/>
                    </w:rPr>
                  </w:pPr>
                  <w:r w:rsidRPr="004F2C3E">
                    <w:rPr>
                      <w:iCs/>
                    </w:rPr>
                    <w:t>6 990 714</w:t>
                  </w:r>
                </w:p>
              </w:tc>
            </w:tr>
            <w:tr w:rsidR="00401BFE" w:rsidRPr="004F2C3E" w14:paraId="06ABD56E" w14:textId="77777777" w:rsidTr="00DD7588">
              <w:trPr>
                <w:trHeight w:val="165"/>
                <w:jc w:val="center"/>
              </w:trPr>
              <w:tc>
                <w:tcPr>
                  <w:tcW w:w="2811" w:type="pct"/>
                  <w:shd w:val="clear" w:color="auto" w:fill="auto"/>
                </w:tcPr>
                <w:p w14:paraId="26BB8696" w14:textId="21139A68" w:rsidR="00401BFE" w:rsidRPr="004F2C3E" w:rsidRDefault="00401BFE" w:rsidP="00401BFE">
                  <w:pPr>
                    <w:rPr>
                      <w:iCs/>
                    </w:rPr>
                  </w:pPr>
                  <w:r w:rsidRPr="004F2C3E">
                    <w:rPr>
                      <w:iCs/>
                    </w:rPr>
                    <w:t>2021.</w:t>
                  </w:r>
                  <w:r>
                    <w:rPr>
                      <w:iCs/>
                    </w:rPr>
                    <w:t xml:space="preserve"> </w:t>
                  </w:r>
                  <w:r w:rsidRPr="004F2C3E">
                    <w:rPr>
                      <w:iCs/>
                    </w:rPr>
                    <w:t>gadā</w:t>
                  </w:r>
                </w:p>
              </w:tc>
              <w:tc>
                <w:tcPr>
                  <w:tcW w:w="2189" w:type="pct"/>
                  <w:shd w:val="clear" w:color="auto" w:fill="auto"/>
                </w:tcPr>
                <w:p w14:paraId="0326E856" w14:textId="77777777" w:rsidR="00401BFE" w:rsidRPr="004F2C3E" w:rsidRDefault="00401BFE" w:rsidP="00401BFE">
                  <w:pPr>
                    <w:rPr>
                      <w:iCs/>
                    </w:rPr>
                  </w:pPr>
                  <w:r w:rsidRPr="004F2C3E">
                    <w:rPr>
                      <w:iCs/>
                    </w:rPr>
                    <w:t xml:space="preserve">7 130 </w:t>
                  </w:r>
                  <w:r w:rsidRPr="0031035D">
                    <w:rPr>
                      <w:iCs/>
                    </w:rPr>
                    <w:t>5</w:t>
                  </w:r>
                  <w:r w:rsidRPr="004F2C3E">
                    <w:rPr>
                      <w:iCs/>
                    </w:rPr>
                    <w:t>28</w:t>
                  </w:r>
                </w:p>
              </w:tc>
            </w:tr>
            <w:tr w:rsidR="00401BFE" w:rsidRPr="004F2C3E" w14:paraId="59AB985D" w14:textId="77777777" w:rsidTr="00DD7588">
              <w:trPr>
                <w:trHeight w:val="165"/>
                <w:jc w:val="center"/>
              </w:trPr>
              <w:tc>
                <w:tcPr>
                  <w:tcW w:w="2811" w:type="pct"/>
                  <w:shd w:val="clear" w:color="auto" w:fill="auto"/>
                </w:tcPr>
                <w:p w14:paraId="09279A8F" w14:textId="02DACC13" w:rsidR="00401BFE" w:rsidRPr="004F2C3E" w:rsidRDefault="00401BFE" w:rsidP="00401BFE">
                  <w:pPr>
                    <w:rPr>
                      <w:b/>
                      <w:iCs/>
                    </w:rPr>
                  </w:pPr>
                  <w:r w:rsidRPr="004F2C3E">
                    <w:rPr>
                      <w:b/>
                      <w:iCs/>
                    </w:rPr>
                    <w:t>kopā 2019.-2021</w:t>
                  </w:r>
                  <w:r>
                    <w:rPr>
                      <w:b/>
                      <w:iCs/>
                    </w:rPr>
                    <w:t>.</w:t>
                  </w:r>
                  <w:r w:rsidRPr="004F2C3E">
                    <w:rPr>
                      <w:b/>
                      <w:iCs/>
                    </w:rPr>
                    <w:t xml:space="preserve"> </w:t>
                  </w:r>
                  <w:r>
                    <w:rPr>
                      <w:b/>
                      <w:iCs/>
                    </w:rPr>
                    <w:t xml:space="preserve"> </w:t>
                  </w:r>
                  <w:r w:rsidRPr="004F2C3E">
                    <w:rPr>
                      <w:b/>
                      <w:iCs/>
                    </w:rPr>
                    <w:t>gadā</w:t>
                  </w:r>
                </w:p>
              </w:tc>
              <w:tc>
                <w:tcPr>
                  <w:tcW w:w="2189" w:type="pct"/>
                  <w:shd w:val="clear" w:color="auto" w:fill="auto"/>
                </w:tcPr>
                <w:p w14:paraId="4F610FE5" w14:textId="77777777" w:rsidR="00401BFE" w:rsidRPr="004F2C3E" w:rsidRDefault="00401BFE" w:rsidP="00401BFE">
                  <w:pPr>
                    <w:rPr>
                      <w:b/>
                      <w:iCs/>
                    </w:rPr>
                  </w:pPr>
                  <w:r w:rsidRPr="004F2C3E">
                    <w:rPr>
                      <w:b/>
                      <w:iCs/>
                    </w:rPr>
                    <w:t>20 974 883</w:t>
                  </w:r>
                </w:p>
              </w:tc>
            </w:tr>
            <w:tr w:rsidR="00401BFE" w:rsidRPr="004F2C3E" w14:paraId="4EF32DA8" w14:textId="77777777" w:rsidTr="00DD7588">
              <w:trPr>
                <w:trHeight w:val="77"/>
                <w:jc w:val="center"/>
              </w:trPr>
              <w:tc>
                <w:tcPr>
                  <w:tcW w:w="2811" w:type="pct"/>
                  <w:shd w:val="clear" w:color="auto" w:fill="auto"/>
                </w:tcPr>
                <w:p w14:paraId="2701085F" w14:textId="77777777" w:rsidR="00401BFE" w:rsidRPr="004F2C3E" w:rsidRDefault="00401BFE" w:rsidP="00401BFE">
                  <w:pPr>
                    <w:rPr>
                      <w:b/>
                      <w:iCs/>
                    </w:rPr>
                  </w:pPr>
                  <w:r w:rsidRPr="004F2C3E">
                    <w:rPr>
                      <w:iCs/>
                    </w:rPr>
                    <w:t>Līdz DP ieviešanas beigām*</w:t>
                  </w:r>
                </w:p>
              </w:tc>
              <w:tc>
                <w:tcPr>
                  <w:tcW w:w="2189" w:type="pct"/>
                  <w:shd w:val="clear" w:color="auto" w:fill="auto"/>
                </w:tcPr>
                <w:p w14:paraId="6DAADD28" w14:textId="77777777" w:rsidR="00401BFE" w:rsidRPr="004F2C3E" w:rsidRDefault="00401BFE" w:rsidP="00401BFE">
                  <w:pPr>
                    <w:rPr>
                      <w:iCs/>
                    </w:rPr>
                  </w:pPr>
                  <w:r w:rsidRPr="004F2C3E">
                    <w:rPr>
                      <w:iCs/>
                    </w:rPr>
                    <w:t>7 048 145</w:t>
                  </w:r>
                </w:p>
              </w:tc>
            </w:tr>
          </w:tbl>
          <w:p w14:paraId="622B760C" w14:textId="77777777" w:rsidR="00401BFE" w:rsidRPr="004F2C3E" w:rsidRDefault="00401BFE" w:rsidP="00401BFE">
            <w:pPr>
              <w:rPr>
                <w:iCs/>
              </w:rPr>
            </w:pPr>
          </w:p>
          <w:p w14:paraId="385C9967" w14:textId="77777777" w:rsidR="00401BFE" w:rsidRPr="004F2C3E" w:rsidRDefault="00401BFE" w:rsidP="00401BFE">
            <w:pPr>
              <w:rPr>
                <w:iCs/>
              </w:rPr>
            </w:pPr>
            <w:r w:rsidRPr="004F2C3E">
              <w:rPr>
                <w:iCs/>
              </w:rPr>
              <w:t>*Finansējums līdz darbības programmas ieviešanas beigām norādīts indikatīvi, atbilstoši darbības programmā paredzētajam, nevis valsts budžetā ieplānotajam</w:t>
            </w:r>
          </w:p>
          <w:p w14:paraId="6B91C53D" w14:textId="5375E599" w:rsidR="00401BFE" w:rsidRPr="004F2C3E" w:rsidRDefault="00401BFE" w:rsidP="00401BFE">
            <w:pPr>
              <w:jc w:val="both"/>
              <w:rPr>
                <w:iCs/>
              </w:rPr>
            </w:pPr>
            <w:r w:rsidRPr="004F2C3E">
              <w:rPr>
                <w:iCs/>
              </w:rPr>
              <w:t>SIF veikto (trūcīgām, maznodrošinātām un krīzes situācijā esošām ģimenēm paredzēto) pārtikas un pamata materiālās palīdzības preču 2015. un 2016. gada publisko iepirkumu rezultātā izveidojusies finanšu ekonomija. Papildus finanšu ietekme ir izdalāmo komplektu skaita samazinājumam atbalsta saņēmēju skaita izmaiņu rezultātā, skatīt I sadaļas 2.punktu un III sadaļas 6.1. punktu.  Tā rezultātā no 2015. līdz 2018. gadam kopumā finanšu ietaupījums ir 7 048 145 EUR. Šī ekonomija ļauj pārtikas nenodrošinātības un pamata materiālās nenodrošinātības pasākumiem paredzētā finansējuma ietvaros nodrošināt atbalsta saņēmēju loka paplašināšanos un papildus izdalāmo komplektu iegādes un izdalīšanas izmaksas.</w:t>
            </w:r>
          </w:p>
        </w:tc>
      </w:tr>
      <w:tr w:rsidR="00487B6F" w:rsidRPr="000907B2" w14:paraId="37681488" w14:textId="77777777" w:rsidTr="00947FCE">
        <w:tblPrEx>
          <w:tblCellSpacing w:w="0" w:type="nil"/>
        </w:tblPrEx>
        <w:tc>
          <w:tcPr>
            <w:tcW w:w="4970" w:type="pct"/>
            <w:gridSpan w:val="10"/>
            <w:vAlign w:val="center"/>
            <w:hideMark/>
          </w:tcPr>
          <w:p w14:paraId="1BA5818F" w14:textId="77777777" w:rsidR="00487B6F" w:rsidRPr="000907B2" w:rsidRDefault="00487B6F" w:rsidP="00FF06AF">
            <w:pPr>
              <w:spacing w:line="276" w:lineRule="auto"/>
              <w:jc w:val="center"/>
              <w:rPr>
                <w:b/>
                <w:bCs/>
              </w:rPr>
            </w:pPr>
            <w:r w:rsidRPr="000907B2">
              <w:rPr>
                <w:b/>
                <w:bCs/>
              </w:rPr>
              <w:t>IV. Tiesību akta projekta ietekme uz spēkā esošo tiesību normu sistēmu</w:t>
            </w:r>
          </w:p>
        </w:tc>
      </w:tr>
      <w:tr w:rsidR="00487B6F" w:rsidRPr="000907B2" w14:paraId="13110E8B" w14:textId="77777777" w:rsidTr="00947FCE">
        <w:tblPrEx>
          <w:tblCellSpacing w:w="0" w:type="nil"/>
        </w:tblPrEx>
        <w:tc>
          <w:tcPr>
            <w:tcW w:w="183" w:type="pct"/>
            <w:hideMark/>
          </w:tcPr>
          <w:p w14:paraId="2EE8671F" w14:textId="77777777" w:rsidR="00487B6F" w:rsidRPr="000907B2" w:rsidRDefault="00487B6F" w:rsidP="00FF06AF">
            <w:pPr>
              <w:spacing w:line="276" w:lineRule="auto"/>
              <w:jc w:val="center"/>
            </w:pPr>
            <w:r w:rsidRPr="000907B2">
              <w:t>1.</w:t>
            </w:r>
          </w:p>
        </w:tc>
        <w:tc>
          <w:tcPr>
            <w:tcW w:w="1078" w:type="pct"/>
            <w:gridSpan w:val="2"/>
            <w:hideMark/>
          </w:tcPr>
          <w:p w14:paraId="24C8CF34" w14:textId="77777777" w:rsidR="00487B6F" w:rsidRPr="000907B2" w:rsidRDefault="00487B6F" w:rsidP="00FF06AF">
            <w:pPr>
              <w:spacing w:line="276" w:lineRule="auto"/>
            </w:pPr>
            <w:r w:rsidRPr="000907B2">
              <w:t>Saistītie tiesību aktu projekti</w:t>
            </w:r>
          </w:p>
        </w:tc>
        <w:tc>
          <w:tcPr>
            <w:tcW w:w="3679" w:type="pct"/>
            <w:gridSpan w:val="7"/>
            <w:hideMark/>
          </w:tcPr>
          <w:p w14:paraId="46C1C78C" w14:textId="2F775266" w:rsidR="00487B6F" w:rsidRPr="000907B2" w:rsidRDefault="00FA02E4" w:rsidP="005949CB">
            <w:pPr>
              <w:spacing w:line="276" w:lineRule="auto"/>
              <w:ind w:right="67"/>
              <w:jc w:val="both"/>
            </w:pPr>
            <w:r>
              <w:t xml:space="preserve">Vienlaikus ar </w:t>
            </w:r>
            <w:r w:rsidR="003C0FC2">
              <w:t>N</w:t>
            </w:r>
            <w:r>
              <w:t xml:space="preserve">oteikumu projektu, </w:t>
            </w:r>
            <w:r w:rsidR="00235A69">
              <w:t>izstrādāt</w:t>
            </w:r>
            <w:r w:rsidR="00C70B2D">
              <w:t>s Rīkojuma projekts par</w:t>
            </w:r>
            <w:r w:rsidR="00235A69">
              <w:t xml:space="preserve"> </w:t>
            </w:r>
            <w:r w:rsidR="00235A69" w:rsidRPr="00C70B2D">
              <w:t>grozījumi</w:t>
            </w:r>
            <w:r w:rsidR="00C70B2D" w:rsidRPr="00C70B2D">
              <w:t>em</w:t>
            </w:r>
            <w:r w:rsidR="00235A69" w:rsidRPr="00C70B2D">
              <w:t xml:space="preserve"> </w:t>
            </w:r>
            <w:r w:rsidR="00235A69" w:rsidRPr="00467E03">
              <w:rPr>
                <w:color w:val="000000"/>
                <w:szCs w:val="28"/>
              </w:rPr>
              <w:t>Darbības programm</w:t>
            </w:r>
            <w:r w:rsidR="00C70B2D">
              <w:rPr>
                <w:color w:val="000000"/>
                <w:szCs w:val="28"/>
              </w:rPr>
              <w:t>ā</w:t>
            </w:r>
            <w:r w:rsidR="00235A69" w:rsidRPr="00467E03">
              <w:rPr>
                <w:color w:val="000000"/>
                <w:szCs w:val="28"/>
              </w:rPr>
              <w:t xml:space="preserve"> pārtikas un pamata materiālās palīdzības sniegšanai vistrūcīgākajām personām 2014.</w:t>
            </w:r>
            <w:r w:rsidR="00235A69">
              <w:rPr>
                <w:color w:val="000000"/>
                <w:szCs w:val="28"/>
              </w:rPr>
              <w:t>–</w:t>
            </w:r>
            <w:r w:rsidR="00235A69" w:rsidRPr="00467E03">
              <w:rPr>
                <w:color w:val="000000"/>
                <w:szCs w:val="28"/>
              </w:rPr>
              <w:t xml:space="preserve">2020. gada plānošanas periodā (atbalstīta ar </w:t>
            </w:r>
            <w:r w:rsidR="00235A69" w:rsidRPr="00467E03">
              <w:rPr>
                <w:color w:val="000000"/>
                <w:spacing w:val="-4"/>
                <w:szCs w:val="28"/>
              </w:rPr>
              <w:t xml:space="preserve">Ministru kabineta 2014. gada 3. septembra rīkojumu Nr. 475 </w:t>
            </w:r>
            <w:r w:rsidR="00235A69">
              <w:rPr>
                <w:color w:val="000000"/>
                <w:spacing w:val="-4"/>
                <w:szCs w:val="28"/>
              </w:rPr>
              <w:t>"</w:t>
            </w:r>
            <w:r w:rsidR="00235A69" w:rsidRPr="00467E03">
              <w:rPr>
                <w:color w:val="000000"/>
                <w:spacing w:val="-4"/>
                <w:szCs w:val="28"/>
              </w:rPr>
              <w:t>Par Darbības programmu pārtikas un pamata materiālās palīdzības sniegšanai vistrūcīgākajām personām 2014.</w:t>
            </w:r>
            <w:r w:rsidR="00235A69">
              <w:rPr>
                <w:color w:val="000000"/>
                <w:spacing w:val="-4"/>
                <w:szCs w:val="28"/>
              </w:rPr>
              <w:t>–</w:t>
            </w:r>
            <w:r w:rsidR="00235A69" w:rsidRPr="00467E03">
              <w:rPr>
                <w:color w:val="000000"/>
                <w:spacing w:val="-4"/>
                <w:szCs w:val="28"/>
              </w:rPr>
              <w:t>2020.</w:t>
            </w:r>
            <w:r w:rsidR="00235A69">
              <w:rPr>
                <w:color w:val="000000"/>
                <w:spacing w:val="-4"/>
                <w:szCs w:val="28"/>
              </w:rPr>
              <w:t> </w:t>
            </w:r>
            <w:r w:rsidR="00235A69" w:rsidRPr="00467E03">
              <w:rPr>
                <w:color w:val="000000"/>
                <w:spacing w:val="-4"/>
                <w:szCs w:val="28"/>
              </w:rPr>
              <w:t>gada plānošanas periodā</w:t>
            </w:r>
            <w:r w:rsidR="00235A69">
              <w:rPr>
                <w:color w:val="000000"/>
                <w:spacing w:val="-4"/>
                <w:szCs w:val="28"/>
              </w:rPr>
              <w:t>"</w:t>
            </w:r>
            <w:r w:rsidR="00235A69" w:rsidRPr="00467E03">
              <w:rPr>
                <w:color w:val="000000"/>
                <w:szCs w:val="28"/>
              </w:rPr>
              <w:t>)</w:t>
            </w:r>
            <w:r w:rsidR="00235A69">
              <w:rPr>
                <w:color w:val="000000"/>
                <w:szCs w:val="28"/>
              </w:rPr>
              <w:t>, kur</w:t>
            </w:r>
            <w:r w:rsidR="00C70B2D">
              <w:rPr>
                <w:color w:val="000000"/>
                <w:szCs w:val="28"/>
              </w:rPr>
              <w:t>u</w:t>
            </w:r>
            <w:r w:rsidR="003C0FC2">
              <w:rPr>
                <w:color w:val="000000"/>
                <w:szCs w:val="28"/>
              </w:rPr>
              <w:t xml:space="preserve"> pēc izskatīšanas Ministru kabinetā</w:t>
            </w:r>
            <w:r w:rsidR="00C70B2D">
              <w:rPr>
                <w:color w:val="000000"/>
                <w:szCs w:val="28"/>
              </w:rPr>
              <w:t>,</w:t>
            </w:r>
            <w:r w:rsidR="00235A69">
              <w:rPr>
                <w:color w:val="000000"/>
                <w:szCs w:val="28"/>
              </w:rPr>
              <w:t xml:space="preserve"> </w:t>
            </w:r>
            <w:r w:rsidR="003C0FC2">
              <w:rPr>
                <w:color w:val="000000"/>
                <w:szCs w:val="28"/>
              </w:rPr>
              <w:t xml:space="preserve">jāiesniedz </w:t>
            </w:r>
            <w:r w:rsidR="00235A69">
              <w:rPr>
                <w:color w:val="000000"/>
                <w:szCs w:val="28"/>
              </w:rPr>
              <w:t>apstiprin</w:t>
            </w:r>
            <w:r w:rsidR="003C0FC2">
              <w:rPr>
                <w:color w:val="000000"/>
                <w:szCs w:val="28"/>
              </w:rPr>
              <w:t>āšanai</w:t>
            </w:r>
            <w:r w:rsidR="00235A69">
              <w:rPr>
                <w:color w:val="000000"/>
                <w:szCs w:val="28"/>
              </w:rPr>
              <w:t xml:space="preserve"> Eiropas Komisij</w:t>
            </w:r>
            <w:r w:rsidR="003C0FC2">
              <w:rPr>
                <w:color w:val="000000"/>
                <w:szCs w:val="28"/>
              </w:rPr>
              <w:t>ā</w:t>
            </w:r>
            <w:r w:rsidR="00235A69">
              <w:rPr>
                <w:color w:val="000000"/>
                <w:szCs w:val="28"/>
              </w:rPr>
              <w:t>.</w:t>
            </w:r>
          </w:p>
        </w:tc>
      </w:tr>
      <w:tr w:rsidR="00487B6F" w:rsidRPr="000907B2" w14:paraId="3F0F8D69" w14:textId="77777777" w:rsidTr="00947FCE">
        <w:tblPrEx>
          <w:tblCellSpacing w:w="0" w:type="nil"/>
        </w:tblPrEx>
        <w:tc>
          <w:tcPr>
            <w:tcW w:w="183" w:type="pct"/>
            <w:hideMark/>
          </w:tcPr>
          <w:p w14:paraId="1067A551" w14:textId="77777777" w:rsidR="00487B6F" w:rsidRPr="000907B2" w:rsidRDefault="00487B6F" w:rsidP="00FF06AF">
            <w:pPr>
              <w:spacing w:line="276" w:lineRule="auto"/>
              <w:jc w:val="center"/>
            </w:pPr>
            <w:r w:rsidRPr="000907B2">
              <w:t>2.</w:t>
            </w:r>
          </w:p>
        </w:tc>
        <w:tc>
          <w:tcPr>
            <w:tcW w:w="1078" w:type="pct"/>
            <w:gridSpan w:val="2"/>
            <w:hideMark/>
          </w:tcPr>
          <w:p w14:paraId="733DDE74" w14:textId="77777777" w:rsidR="00487B6F" w:rsidRPr="000907B2" w:rsidRDefault="00487B6F" w:rsidP="00FF06AF">
            <w:pPr>
              <w:spacing w:line="276" w:lineRule="auto"/>
            </w:pPr>
            <w:r w:rsidRPr="000907B2">
              <w:t>Atbildīgā institūcija</w:t>
            </w:r>
          </w:p>
        </w:tc>
        <w:tc>
          <w:tcPr>
            <w:tcW w:w="3679" w:type="pct"/>
            <w:gridSpan w:val="7"/>
            <w:hideMark/>
          </w:tcPr>
          <w:p w14:paraId="278BF3AA" w14:textId="26338E2C" w:rsidR="00487B6F" w:rsidRPr="000907B2" w:rsidRDefault="00DB4D0A" w:rsidP="00FF06AF">
            <w:pPr>
              <w:spacing w:line="276" w:lineRule="auto"/>
            </w:pPr>
            <w:r>
              <w:t>LM</w:t>
            </w:r>
          </w:p>
        </w:tc>
      </w:tr>
      <w:tr w:rsidR="00487B6F" w:rsidRPr="000907B2" w14:paraId="4C5103AA" w14:textId="77777777" w:rsidTr="00947FCE">
        <w:tblPrEx>
          <w:tblCellSpacing w:w="0" w:type="nil"/>
        </w:tblPrEx>
        <w:tc>
          <w:tcPr>
            <w:tcW w:w="183" w:type="pct"/>
            <w:hideMark/>
          </w:tcPr>
          <w:p w14:paraId="52B0C804" w14:textId="77777777" w:rsidR="00487B6F" w:rsidRPr="000907B2" w:rsidRDefault="00487B6F" w:rsidP="00FF06AF">
            <w:pPr>
              <w:spacing w:line="276" w:lineRule="auto"/>
              <w:jc w:val="center"/>
            </w:pPr>
            <w:r w:rsidRPr="000907B2">
              <w:t>3.</w:t>
            </w:r>
          </w:p>
        </w:tc>
        <w:tc>
          <w:tcPr>
            <w:tcW w:w="1078" w:type="pct"/>
            <w:gridSpan w:val="2"/>
            <w:hideMark/>
          </w:tcPr>
          <w:p w14:paraId="62F6173F" w14:textId="77777777" w:rsidR="00487B6F" w:rsidRPr="000907B2" w:rsidRDefault="00487B6F" w:rsidP="00FF06AF">
            <w:pPr>
              <w:spacing w:line="276" w:lineRule="auto"/>
            </w:pPr>
            <w:r w:rsidRPr="000907B2">
              <w:t>Cita informācija</w:t>
            </w:r>
          </w:p>
        </w:tc>
        <w:tc>
          <w:tcPr>
            <w:tcW w:w="3679" w:type="pct"/>
            <w:gridSpan w:val="7"/>
            <w:hideMark/>
          </w:tcPr>
          <w:p w14:paraId="15E6A4E8" w14:textId="5CE14010" w:rsidR="00487B6F" w:rsidRPr="000907B2" w:rsidRDefault="00235A69" w:rsidP="00FF06AF">
            <w:pPr>
              <w:spacing w:line="276" w:lineRule="auto"/>
            </w:pPr>
            <w:r>
              <w:t>Nav.</w:t>
            </w:r>
          </w:p>
        </w:tc>
      </w:tr>
    </w:tbl>
    <w:p w14:paraId="5B06711D" w14:textId="77777777" w:rsidR="00487B6F" w:rsidRPr="000907B2" w:rsidRDefault="00487B6F" w:rsidP="00FF06AF">
      <w:pPr>
        <w:pStyle w:val="Title"/>
        <w:spacing w:before="130" w:line="276" w:lineRule="auto"/>
        <w:ind w:firstLine="539"/>
        <w:jc w:val="both"/>
        <w:rPr>
          <w:sz w:val="24"/>
          <w:szCs w:val="24"/>
        </w:rPr>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9"/>
        <w:gridCol w:w="2267"/>
        <w:gridCol w:w="7228"/>
      </w:tblGrid>
      <w:tr w:rsidR="00487B6F" w:rsidRPr="000907B2" w14:paraId="09A6307E" w14:textId="77777777" w:rsidTr="00D77D3E">
        <w:trPr>
          <w:cantSplit/>
        </w:trPr>
        <w:tc>
          <w:tcPr>
            <w:tcW w:w="9924" w:type="dxa"/>
            <w:gridSpan w:val="3"/>
            <w:vAlign w:val="center"/>
            <w:hideMark/>
          </w:tcPr>
          <w:p w14:paraId="212E5601" w14:textId="77777777" w:rsidR="00487B6F" w:rsidRPr="000907B2" w:rsidRDefault="00487B6F" w:rsidP="00FF06AF">
            <w:pPr>
              <w:spacing w:line="276" w:lineRule="auto"/>
              <w:jc w:val="center"/>
              <w:rPr>
                <w:b/>
                <w:bCs/>
              </w:rPr>
            </w:pPr>
            <w:r w:rsidRPr="000907B2">
              <w:rPr>
                <w:b/>
                <w:bCs/>
              </w:rPr>
              <w:t>V. Tiesību akta projekta atbilstība Latvijas Republikas starptautiskajām saistībām</w:t>
            </w:r>
          </w:p>
        </w:tc>
      </w:tr>
      <w:tr w:rsidR="00487B6F" w:rsidRPr="000907B2" w14:paraId="3DBE15B6" w14:textId="77777777" w:rsidTr="00D77D3E">
        <w:trPr>
          <w:cantSplit/>
        </w:trPr>
        <w:tc>
          <w:tcPr>
            <w:tcW w:w="9924" w:type="dxa"/>
            <w:gridSpan w:val="3"/>
            <w:hideMark/>
          </w:tcPr>
          <w:p w14:paraId="479F1A3B" w14:textId="77777777" w:rsidR="00487B6F" w:rsidRPr="000907B2" w:rsidRDefault="00487B6F" w:rsidP="00FF06AF">
            <w:pPr>
              <w:spacing w:line="276" w:lineRule="auto"/>
              <w:jc w:val="center"/>
            </w:pPr>
            <w:r w:rsidRPr="000907B2">
              <w:t>Projekts šo jomu neskar</w:t>
            </w:r>
          </w:p>
        </w:tc>
      </w:tr>
      <w:tr w:rsidR="00487B6F" w:rsidRPr="000907B2" w14:paraId="1C2FE745" w14:textId="77777777" w:rsidTr="00D77D3E">
        <w:trPr>
          <w:cantSplit/>
        </w:trPr>
        <w:tc>
          <w:tcPr>
            <w:tcW w:w="9924" w:type="dxa"/>
            <w:gridSpan w:val="3"/>
            <w:vAlign w:val="center"/>
            <w:hideMark/>
          </w:tcPr>
          <w:p w14:paraId="461805CD" w14:textId="7C78A4C1" w:rsidR="00487B6F" w:rsidRPr="005949CB" w:rsidRDefault="00487B6F" w:rsidP="005949CB">
            <w:pPr>
              <w:spacing w:line="276" w:lineRule="auto"/>
              <w:jc w:val="center"/>
              <w:rPr>
                <w:b/>
                <w:bCs/>
                <w:highlight w:val="yellow"/>
              </w:rPr>
            </w:pPr>
            <w:r w:rsidRPr="000907B2">
              <w:rPr>
                <w:b/>
                <w:bCs/>
              </w:rPr>
              <w:t>VI. Sabiedrības līdzdalība un komunikācijas aktivitātes</w:t>
            </w:r>
          </w:p>
        </w:tc>
      </w:tr>
      <w:tr w:rsidR="00487B6F" w:rsidRPr="000907B2" w14:paraId="5E5948EF" w14:textId="77777777" w:rsidTr="00D77D3E">
        <w:trPr>
          <w:cantSplit/>
        </w:trPr>
        <w:tc>
          <w:tcPr>
            <w:tcW w:w="429" w:type="dxa"/>
            <w:hideMark/>
          </w:tcPr>
          <w:p w14:paraId="74C7FF0E" w14:textId="77777777" w:rsidR="00487B6F" w:rsidRPr="000907B2" w:rsidRDefault="00487B6F" w:rsidP="00FF06AF">
            <w:pPr>
              <w:spacing w:line="276" w:lineRule="auto"/>
              <w:jc w:val="center"/>
            </w:pPr>
            <w:r w:rsidRPr="000907B2">
              <w:lastRenderedPageBreak/>
              <w:t>1.</w:t>
            </w:r>
          </w:p>
        </w:tc>
        <w:tc>
          <w:tcPr>
            <w:tcW w:w="2267" w:type="dxa"/>
            <w:shd w:val="clear" w:color="auto" w:fill="auto"/>
            <w:hideMark/>
          </w:tcPr>
          <w:p w14:paraId="3790B6BF" w14:textId="77777777" w:rsidR="00487B6F" w:rsidRPr="000907B2" w:rsidRDefault="00487B6F" w:rsidP="00FF06AF">
            <w:pPr>
              <w:spacing w:line="276" w:lineRule="auto"/>
            </w:pPr>
            <w:r w:rsidRPr="000907B2">
              <w:t>Plānotās sabiedrības līdzdalības un komunikācijas aktivitātes saistībā ar projektu</w:t>
            </w:r>
          </w:p>
        </w:tc>
        <w:tc>
          <w:tcPr>
            <w:tcW w:w="7228" w:type="dxa"/>
            <w:shd w:val="clear" w:color="auto" w:fill="auto"/>
            <w:hideMark/>
          </w:tcPr>
          <w:p w14:paraId="5709137B" w14:textId="7853F8BF" w:rsidR="00487B6F" w:rsidRPr="00C70B2D" w:rsidRDefault="00EE4087" w:rsidP="00FF06AF">
            <w:pPr>
              <w:tabs>
                <w:tab w:val="left" w:pos="855"/>
              </w:tabs>
              <w:spacing w:line="276" w:lineRule="auto"/>
              <w:jc w:val="both"/>
              <w:rPr>
                <w:iCs/>
              </w:rPr>
            </w:pPr>
            <w:r w:rsidRPr="00C70B2D">
              <w:rPr>
                <w:iCs/>
              </w:rPr>
              <w:t>Sabiedrības līdzdalību noteikumu projektā nodrošina:</w:t>
            </w:r>
          </w:p>
          <w:p w14:paraId="52DE8EF5" w14:textId="7D973352" w:rsidR="00EE4087" w:rsidRPr="00C70B2D" w:rsidRDefault="00EE4087" w:rsidP="005324DA">
            <w:pPr>
              <w:pStyle w:val="ListParagraph"/>
              <w:numPr>
                <w:ilvl w:val="0"/>
                <w:numId w:val="45"/>
              </w:numPr>
              <w:ind w:left="384" w:right="252"/>
              <w:jc w:val="both"/>
              <w:rPr>
                <w:rFonts w:ascii="Times New Roman" w:hAnsi="Times New Roman"/>
                <w:iCs/>
                <w:sz w:val="24"/>
                <w:szCs w:val="24"/>
              </w:rPr>
            </w:pPr>
            <w:r w:rsidRPr="00C70B2D">
              <w:rPr>
                <w:rFonts w:ascii="Times New Roman" w:hAnsi="Times New Roman"/>
                <w:iCs/>
                <w:sz w:val="24"/>
                <w:szCs w:val="24"/>
              </w:rPr>
              <w:t>Fonda konsultatīvās darba grupas iesaiste (</w:t>
            </w:r>
            <w:r w:rsidR="005324DA">
              <w:rPr>
                <w:rFonts w:ascii="Times New Roman" w:hAnsi="Times New Roman"/>
                <w:iCs/>
                <w:sz w:val="24"/>
                <w:szCs w:val="24"/>
              </w:rPr>
              <w:t>05.06.</w:t>
            </w:r>
            <w:r w:rsidRPr="00C70B2D">
              <w:rPr>
                <w:rFonts w:ascii="Times New Roman" w:hAnsi="Times New Roman"/>
                <w:iCs/>
                <w:sz w:val="24"/>
                <w:szCs w:val="24"/>
              </w:rPr>
              <w:t>2018.);</w:t>
            </w:r>
          </w:p>
          <w:p w14:paraId="150DB604" w14:textId="6828DE4D" w:rsidR="00EC474E" w:rsidRDefault="00D340F2" w:rsidP="005324DA">
            <w:pPr>
              <w:pStyle w:val="ListParagraph"/>
              <w:numPr>
                <w:ilvl w:val="0"/>
                <w:numId w:val="45"/>
              </w:numPr>
              <w:ind w:left="384" w:right="252"/>
              <w:jc w:val="both"/>
              <w:rPr>
                <w:rFonts w:ascii="Times New Roman" w:hAnsi="Times New Roman"/>
                <w:iCs/>
                <w:sz w:val="24"/>
                <w:szCs w:val="24"/>
              </w:rPr>
            </w:pPr>
            <w:r w:rsidRPr="00C70B2D">
              <w:rPr>
                <w:rFonts w:ascii="Times New Roman" w:hAnsi="Times New Roman"/>
                <w:iCs/>
                <w:sz w:val="24"/>
                <w:szCs w:val="24"/>
              </w:rPr>
              <w:t>Ikgadējā Fonda darbības programmas novērtēšanas sanāksme (</w:t>
            </w:r>
            <w:r w:rsidR="005324DA">
              <w:rPr>
                <w:rFonts w:ascii="Times New Roman" w:hAnsi="Times New Roman"/>
                <w:iCs/>
                <w:sz w:val="24"/>
                <w:szCs w:val="24"/>
              </w:rPr>
              <w:t>01.12.2017</w:t>
            </w:r>
            <w:r w:rsidRPr="00C70B2D">
              <w:rPr>
                <w:rFonts w:ascii="Times New Roman" w:hAnsi="Times New Roman"/>
                <w:iCs/>
                <w:sz w:val="24"/>
                <w:szCs w:val="24"/>
              </w:rPr>
              <w:t>.)</w:t>
            </w:r>
            <w:r w:rsidR="005D0147">
              <w:rPr>
                <w:rFonts w:ascii="Times New Roman" w:hAnsi="Times New Roman"/>
                <w:iCs/>
                <w:sz w:val="24"/>
                <w:szCs w:val="24"/>
              </w:rPr>
              <w:t>.</w:t>
            </w:r>
          </w:p>
          <w:p w14:paraId="4A0C6785" w14:textId="68BE8D37" w:rsidR="005324DA" w:rsidRPr="00712FBD" w:rsidRDefault="005324DA" w:rsidP="005324DA">
            <w:pPr>
              <w:pStyle w:val="ListParagraph"/>
              <w:numPr>
                <w:ilvl w:val="0"/>
                <w:numId w:val="45"/>
              </w:numPr>
              <w:spacing w:after="0"/>
              <w:ind w:left="384" w:right="249"/>
              <w:jc w:val="both"/>
              <w:rPr>
                <w:rFonts w:ascii="Times New Roman" w:hAnsi="Times New Roman"/>
                <w:sz w:val="24"/>
                <w:szCs w:val="24"/>
              </w:rPr>
            </w:pPr>
            <w:r w:rsidRPr="00712FBD">
              <w:rPr>
                <w:rFonts w:ascii="Times New Roman" w:hAnsi="Times New Roman"/>
                <w:iCs/>
                <w:sz w:val="24"/>
                <w:szCs w:val="24"/>
              </w:rPr>
              <w:t>Darbības programmas darbību īstenošanas uzraudzības sanāksm</w:t>
            </w:r>
            <w:r>
              <w:rPr>
                <w:rFonts w:ascii="Times New Roman" w:hAnsi="Times New Roman"/>
                <w:iCs/>
                <w:sz w:val="24"/>
                <w:szCs w:val="24"/>
              </w:rPr>
              <w:t>ē</w:t>
            </w:r>
            <w:r w:rsidRPr="00712FBD">
              <w:rPr>
                <w:rFonts w:ascii="Times New Roman" w:hAnsi="Times New Roman"/>
                <w:iCs/>
                <w:sz w:val="24"/>
                <w:szCs w:val="24"/>
              </w:rPr>
              <w:t xml:space="preserve"> un sarakstē</w:t>
            </w:r>
            <w:r>
              <w:rPr>
                <w:rFonts w:ascii="Times New Roman" w:hAnsi="Times New Roman"/>
                <w:iCs/>
                <w:sz w:val="24"/>
                <w:szCs w:val="24"/>
              </w:rPr>
              <w:t xml:space="preserve"> nodrošinātā</w:t>
            </w:r>
            <w:r w:rsidRPr="00712FBD">
              <w:rPr>
                <w:rFonts w:ascii="Times New Roman" w:hAnsi="Times New Roman"/>
                <w:iCs/>
                <w:sz w:val="24"/>
                <w:szCs w:val="24"/>
              </w:rPr>
              <w:t xml:space="preserve"> Fonda sadarbības iestāde</w:t>
            </w:r>
            <w:r>
              <w:rPr>
                <w:rFonts w:ascii="Times New Roman" w:hAnsi="Times New Roman"/>
                <w:iCs/>
                <w:sz w:val="24"/>
                <w:szCs w:val="24"/>
              </w:rPr>
              <w:t>s</w:t>
            </w:r>
            <w:r w:rsidRPr="00712FBD">
              <w:rPr>
                <w:rFonts w:ascii="Times New Roman" w:hAnsi="Times New Roman"/>
                <w:iCs/>
                <w:sz w:val="24"/>
                <w:szCs w:val="24"/>
              </w:rPr>
              <w:t xml:space="preserve"> (Sabiedrības integrācijas fonds)</w:t>
            </w:r>
            <w:r>
              <w:rPr>
                <w:rFonts w:ascii="Times New Roman" w:hAnsi="Times New Roman"/>
                <w:iCs/>
                <w:sz w:val="24"/>
                <w:szCs w:val="24"/>
              </w:rPr>
              <w:t xml:space="preserve"> iesaiste (02.11.2018.)</w:t>
            </w:r>
            <w:r w:rsidRPr="00712FBD">
              <w:rPr>
                <w:rFonts w:ascii="Times New Roman" w:hAnsi="Times New Roman"/>
                <w:iCs/>
                <w:sz w:val="24"/>
                <w:szCs w:val="24"/>
              </w:rPr>
              <w:t>;</w:t>
            </w:r>
          </w:p>
          <w:p w14:paraId="42A24285" w14:textId="4E8D8E57" w:rsidR="005324DA" w:rsidRPr="005D0147" w:rsidRDefault="005324DA" w:rsidP="005324DA">
            <w:pPr>
              <w:pStyle w:val="ListParagraph"/>
              <w:numPr>
                <w:ilvl w:val="0"/>
                <w:numId w:val="45"/>
              </w:numPr>
              <w:ind w:left="384" w:right="252"/>
              <w:jc w:val="both"/>
              <w:rPr>
                <w:rFonts w:ascii="Times New Roman" w:hAnsi="Times New Roman"/>
                <w:iCs/>
                <w:sz w:val="24"/>
                <w:szCs w:val="24"/>
              </w:rPr>
            </w:pPr>
            <w:r>
              <w:rPr>
                <w:rFonts w:ascii="Times New Roman" w:hAnsi="Times New Roman"/>
                <w:sz w:val="24"/>
                <w:szCs w:val="24"/>
              </w:rPr>
              <w:t xml:space="preserve">Sarakstē nodrošinātā </w:t>
            </w:r>
            <w:r w:rsidRPr="00712FBD">
              <w:rPr>
                <w:rFonts w:ascii="Times New Roman" w:hAnsi="Times New Roman"/>
                <w:sz w:val="24"/>
                <w:szCs w:val="24"/>
              </w:rPr>
              <w:t>Latvijas Pašvaldību savienīb</w:t>
            </w:r>
            <w:r>
              <w:rPr>
                <w:rFonts w:ascii="Times New Roman" w:hAnsi="Times New Roman"/>
                <w:sz w:val="24"/>
                <w:szCs w:val="24"/>
              </w:rPr>
              <w:t>as (LPS) un aktīvāko</w:t>
            </w:r>
            <w:r w:rsidRPr="00712FBD">
              <w:rPr>
                <w:rFonts w:ascii="Times New Roman" w:hAnsi="Times New Roman"/>
                <w:sz w:val="24"/>
                <w:szCs w:val="24"/>
              </w:rPr>
              <w:t xml:space="preserve"> pašvaldīb</w:t>
            </w:r>
            <w:r>
              <w:rPr>
                <w:rFonts w:ascii="Times New Roman" w:hAnsi="Times New Roman"/>
                <w:sz w:val="24"/>
                <w:szCs w:val="24"/>
              </w:rPr>
              <w:t>u iesaiste (26.10. – 06.11.2018.).</w:t>
            </w:r>
          </w:p>
        </w:tc>
      </w:tr>
      <w:tr w:rsidR="00487B6F" w:rsidRPr="000907B2" w14:paraId="1928289C" w14:textId="77777777" w:rsidTr="00D77D3E">
        <w:trPr>
          <w:cantSplit/>
        </w:trPr>
        <w:tc>
          <w:tcPr>
            <w:tcW w:w="429" w:type="dxa"/>
            <w:shd w:val="clear" w:color="auto" w:fill="auto"/>
            <w:hideMark/>
          </w:tcPr>
          <w:p w14:paraId="224FF3EF" w14:textId="63FD549F" w:rsidR="00487B6F" w:rsidRPr="000907B2" w:rsidRDefault="00487B6F" w:rsidP="00FF06AF">
            <w:pPr>
              <w:spacing w:line="276" w:lineRule="auto"/>
              <w:jc w:val="center"/>
            </w:pPr>
            <w:r w:rsidRPr="000907B2">
              <w:t>2.</w:t>
            </w:r>
          </w:p>
        </w:tc>
        <w:tc>
          <w:tcPr>
            <w:tcW w:w="2267" w:type="dxa"/>
            <w:shd w:val="clear" w:color="auto" w:fill="auto"/>
            <w:hideMark/>
          </w:tcPr>
          <w:p w14:paraId="704DDC02" w14:textId="77777777" w:rsidR="00487B6F" w:rsidRPr="000907B2" w:rsidRDefault="00487B6F" w:rsidP="00FF06AF">
            <w:pPr>
              <w:spacing w:line="276" w:lineRule="auto"/>
            </w:pPr>
            <w:r w:rsidRPr="000907B2">
              <w:t>Sabiedrības līdzdalība projekta izstrādē</w:t>
            </w:r>
          </w:p>
        </w:tc>
        <w:tc>
          <w:tcPr>
            <w:tcW w:w="7228" w:type="dxa"/>
            <w:shd w:val="clear" w:color="auto" w:fill="auto"/>
          </w:tcPr>
          <w:p w14:paraId="0BA22F27" w14:textId="41D7DD0F" w:rsidR="00234048" w:rsidRPr="000907B2" w:rsidRDefault="009A33BF" w:rsidP="00FF06AF">
            <w:pPr>
              <w:pStyle w:val="ListParagraph"/>
              <w:numPr>
                <w:ilvl w:val="0"/>
                <w:numId w:val="51"/>
              </w:numPr>
              <w:ind w:left="397" w:right="252"/>
              <w:jc w:val="both"/>
              <w:rPr>
                <w:rFonts w:ascii="Times New Roman" w:hAnsi="Times New Roman"/>
                <w:sz w:val="24"/>
                <w:szCs w:val="24"/>
              </w:rPr>
            </w:pPr>
            <w:r w:rsidRPr="000907B2">
              <w:rPr>
                <w:rFonts w:ascii="Times New Roman" w:hAnsi="Times New Roman"/>
                <w:sz w:val="24"/>
                <w:szCs w:val="24"/>
              </w:rPr>
              <w:t>Fonda Konsultatīvā darba grupa</w:t>
            </w:r>
            <w:r w:rsidR="00B11BC4" w:rsidRPr="000907B2">
              <w:rPr>
                <w:rFonts w:ascii="Times New Roman" w:hAnsi="Times New Roman"/>
                <w:sz w:val="24"/>
                <w:szCs w:val="24"/>
              </w:rPr>
              <w:t xml:space="preserve"> sanāksmē pozitīvi novērtēja Fonda vadošā</w:t>
            </w:r>
            <w:r w:rsidR="00906126">
              <w:rPr>
                <w:rFonts w:ascii="Times New Roman" w:hAnsi="Times New Roman"/>
                <w:sz w:val="24"/>
                <w:szCs w:val="24"/>
              </w:rPr>
              <w:t>s</w:t>
            </w:r>
            <w:r w:rsidR="00B11BC4" w:rsidRPr="000907B2">
              <w:rPr>
                <w:rFonts w:ascii="Times New Roman" w:hAnsi="Times New Roman"/>
                <w:sz w:val="24"/>
                <w:szCs w:val="24"/>
              </w:rPr>
              <w:t xml:space="preserve"> iestādes uzsākto </w:t>
            </w:r>
            <w:r w:rsidR="004A69BB" w:rsidRPr="000907B2">
              <w:rPr>
                <w:rFonts w:ascii="Times New Roman" w:hAnsi="Times New Roman"/>
                <w:sz w:val="24"/>
                <w:szCs w:val="24"/>
              </w:rPr>
              <w:t xml:space="preserve">izvērtējumu saistībā ar atbalstāmo personu skaita samazinājumu un nepieciešamajiem pasākumiem izmaiņām Fonda atbalsta saturā, veidā un atbalstāmo personu lokā. </w:t>
            </w:r>
          </w:p>
          <w:p w14:paraId="34FD9BF5" w14:textId="52C03747" w:rsidR="00712FBD" w:rsidRDefault="009A33BF" w:rsidP="00712FBD">
            <w:pPr>
              <w:pStyle w:val="ListParagraph"/>
              <w:numPr>
                <w:ilvl w:val="0"/>
                <w:numId w:val="51"/>
              </w:numPr>
              <w:spacing w:after="0"/>
              <w:ind w:left="386" w:right="249"/>
              <w:jc w:val="both"/>
              <w:rPr>
                <w:rFonts w:ascii="Times New Roman" w:hAnsi="Times New Roman"/>
                <w:sz w:val="24"/>
                <w:szCs w:val="24"/>
              </w:rPr>
            </w:pPr>
            <w:r w:rsidRPr="000907B2">
              <w:rPr>
                <w:rFonts w:ascii="Times New Roman" w:hAnsi="Times New Roman"/>
                <w:sz w:val="24"/>
                <w:szCs w:val="24"/>
              </w:rPr>
              <w:t>Ikgadējā</w:t>
            </w:r>
            <w:r w:rsidR="00D340F2" w:rsidRPr="000907B2">
              <w:rPr>
                <w:rFonts w:ascii="Times New Roman" w:hAnsi="Times New Roman"/>
                <w:sz w:val="24"/>
                <w:szCs w:val="24"/>
              </w:rPr>
              <w:t>s</w:t>
            </w:r>
            <w:r w:rsidRPr="000907B2">
              <w:rPr>
                <w:rFonts w:ascii="Times New Roman" w:hAnsi="Times New Roman"/>
                <w:sz w:val="24"/>
                <w:szCs w:val="24"/>
              </w:rPr>
              <w:t xml:space="preserve"> Fonda darbības programmas novērtēšanas sanāksm</w:t>
            </w:r>
            <w:r w:rsidR="003942D5" w:rsidRPr="000907B2">
              <w:rPr>
                <w:rFonts w:ascii="Times New Roman" w:hAnsi="Times New Roman"/>
                <w:sz w:val="24"/>
                <w:szCs w:val="24"/>
              </w:rPr>
              <w:t>es dalībnieki rosināja paplašināt pamata materiālās palīdzības saņēmēju loku</w:t>
            </w:r>
            <w:r w:rsidRPr="000907B2">
              <w:rPr>
                <w:rFonts w:ascii="Times New Roman" w:hAnsi="Times New Roman"/>
                <w:sz w:val="24"/>
                <w:szCs w:val="24"/>
              </w:rPr>
              <w:t xml:space="preserve"> </w:t>
            </w:r>
            <w:r w:rsidR="003942D5" w:rsidRPr="000907B2">
              <w:rPr>
                <w:rFonts w:ascii="Times New Roman" w:hAnsi="Times New Roman"/>
                <w:sz w:val="24"/>
                <w:szCs w:val="24"/>
              </w:rPr>
              <w:t xml:space="preserve">un vienotas augstākas ģimenes vidējo ienākumu robežas noteikšanu atbalsta saņemšanai no Fonda. </w:t>
            </w:r>
          </w:p>
          <w:p w14:paraId="0941B52A" w14:textId="2FB88C37" w:rsidR="005D0147" w:rsidRPr="005D0147" w:rsidRDefault="005D0147" w:rsidP="00712FBD">
            <w:pPr>
              <w:pStyle w:val="ListParagraph"/>
              <w:numPr>
                <w:ilvl w:val="0"/>
                <w:numId w:val="51"/>
              </w:numPr>
              <w:spacing w:after="0"/>
              <w:ind w:left="386" w:right="249"/>
              <w:jc w:val="both"/>
              <w:rPr>
                <w:rFonts w:ascii="Times New Roman" w:hAnsi="Times New Roman"/>
                <w:sz w:val="24"/>
                <w:szCs w:val="24"/>
              </w:rPr>
            </w:pPr>
            <w:r>
              <w:rPr>
                <w:rFonts w:ascii="Times New Roman" w:hAnsi="Times New Roman"/>
                <w:iCs/>
                <w:sz w:val="24"/>
                <w:szCs w:val="24"/>
              </w:rPr>
              <w:t>I</w:t>
            </w:r>
            <w:r w:rsidRPr="00C70B2D">
              <w:rPr>
                <w:rFonts w:ascii="Times New Roman" w:hAnsi="Times New Roman"/>
                <w:iCs/>
                <w:sz w:val="24"/>
                <w:szCs w:val="24"/>
              </w:rPr>
              <w:t>nformācija</w:t>
            </w:r>
            <w:r>
              <w:rPr>
                <w:rFonts w:ascii="Times New Roman" w:hAnsi="Times New Roman"/>
                <w:iCs/>
                <w:sz w:val="24"/>
                <w:szCs w:val="24"/>
              </w:rPr>
              <w:t xml:space="preserve"> </w:t>
            </w:r>
            <w:r w:rsidRPr="00C70B2D">
              <w:rPr>
                <w:rFonts w:ascii="Times New Roman" w:hAnsi="Times New Roman"/>
                <w:iCs/>
                <w:sz w:val="24"/>
                <w:szCs w:val="24"/>
              </w:rPr>
              <w:t>par noteikumu projektu ievieto</w:t>
            </w:r>
            <w:r>
              <w:rPr>
                <w:rFonts w:ascii="Times New Roman" w:hAnsi="Times New Roman"/>
                <w:iCs/>
                <w:sz w:val="24"/>
                <w:szCs w:val="24"/>
              </w:rPr>
              <w:t>ta</w:t>
            </w:r>
            <w:r w:rsidRPr="00C70B2D">
              <w:rPr>
                <w:rFonts w:ascii="Times New Roman" w:hAnsi="Times New Roman"/>
                <w:iCs/>
                <w:sz w:val="24"/>
                <w:szCs w:val="24"/>
              </w:rPr>
              <w:t xml:space="preserve"> </w:t>
            </w:r>
            <w:r>
              <w:rPr>
                <w:rFonts w:ascii="Times New Roman" w:hAnsi="Times New Roman"/>
                <w:iCs/>
                <w:sz w:val="24"/>
                <w:szCs w:val="24"/>
              </w:rPr>
              <w:t>LM</w:t>
            </w:r>
            <w:r w:rsidRPr="00C70B2D">
              <w:rPr>
                <w:rFonts w:ascii="Times New Roman" w:hAnsi="Times New Roman"/>
                <w:iCs/>
                <w:sz w:val="24"/>
                <w:szCs w:val="24"/>
              </w:rPr>
              <w:t xml:space="preserve"> tīmekļa vietnē</w:t>
            </w:r>
            <w:r>
              <w:rPr>
                <w:rFonts w:ascii="Times New Roman" w:hAnsi="Times New Roman"/>
                <w:iCs/>
                <w:sz w:val="24"/>
                <w:szCs w:val="24"/>
              </w:rPr>
              <w:t xml:space="preserve"> </w:t>
            </w:r>
            <w:hyperlink r:id="rId8" w:history="1">
              <w:r w:rsidRPr="00D5756A">
                <w:rPr>
                  <w:rStyle w:val="Hyperlink"/>
                  <w:rFonts w:ascii="Times New Roman" w:hAnsi="Times New Roman"/>
                  <w:iCs/>
                  <w:sz w:val="24"/>
                  <w:szCs w:val="24"/>
                </w:rPr>
                <w:t>www.lm.gov.lv</w:t>
              </w:r>
            </w:hyperlink>
            <w:r>
              <w:rPr>
                <w:rFonts w:ascii="Times New Roman" w:hAnsi="Times New Roman"/>
                <w:iCs/>
                <w:sz w:val="24"/>
                <w:szCs w:val="24"/>
              </w:rPr>
              <w:t xml:space="preserve"> </w:t>
            </w:r>
            <w:r w:rsidRPr="00C70B2D">
              <w:rPr>
                <w:rFonts w:ascii="Times New Roman" w:hAnsi="Times New Roman"/>
                <w:iCs/>
                <w:sz w:val="24"/>
                <w:szCs w:val="24"/>
              </w:rPr>
              <w:t>2018. gada 29.</w:t>
            </w:r>
            <w:r w:rsidR="00E0446C">
              <w:rPr>
                <w:rFonts w:ascii="Times New Roman" w:hAnsi="Times New Roman"/>
                <w:iCs/>
                <w:sz w:val="24"/>
                <w:szCs w:val="24"/>
              </w:rPr>
              <w:t> </w:t>
            </w:r>
            <w:r w:rsidRPr="00C70B2D">
              <w:rPr>
                <w:rFonts w:ascii="Times New Roman" w:hAnsi="Times New Roman"/>
                <w:iCs/>
                <w:sz w:val="24"/>
                <w:szCs w:val="24"/>
              </w:rPr>
              <w:t>oktobrī, t.i., pirms noteikumu izsludināšanas Valsts sekretāru sanāksmē un aicinājums sadarbības partneriem un iedzīvotājiem izteikt viedokļus un priekšlikumus. Sabiedrības pārstāvji var līdzdarboties noteikumu izstrādē, sniedzot atzinumu par tiem arī pēc izsludināšanas Valsts sekretāru sanāksmē.</w:t>
            </w:r>
          </w:p>
          <w:p w14:paraId="106C4984" w14:textId="764B1BCD" w:rsidR="00712FBD" w:rsidRPr="00712FBD" w:rsidRDefault="00712FBD" w:rsidP="00712FBD">
            <w:pPr>
              <w:pStyle w:val="ListParagraph"/>
              <w:numPr>
                <w:ilvl w:val="0"/>
                <w:numId w:val="51"/>
              </w:numPr>
              <w:spacing w:after="0"/>
              <w:ind w:left="386" w:right="249"/>
              <w:jc w:val="both"/>
              <w:rPr>
                <w:rFonts w:ascii="Times New Roman" w:hAnsi="Times New Roman"/>
                <w:sz w:val="24"/>
                <w:szCs w:val="24"/>
              </w:rPr>
            </w:pPr>
            <w:r w:rsidRPr="00712FBD">
              <w:rPr>
                <w:rFonts w:ascii="Times New Roman" w:hAnsi="Times New Roman"/>
                <w:iCs/>
                <w:sz w:val="24"/>
                <w:szCs w:val="24"/>
              </w:rPr>
              <w:t>Noteikumu projekt</w:t>
            </w:r>
            <w:r>
              <w:rPr>
                <w:rFonts w:ascii="Times New Roman" w:hAnsi="Times New Roman"/>
                <w:iCs/>
                <w:sz w:val="24"/>
                <w:szCs w:val="24"/>
              </w:rPr>
              <w:t>s</w:t>
            </w:r>
            <w:r w:rsidRPr="00712FBD">
              <w:rPr>
                <w:rFonts w:ascii="Times New Roman" w:hAnsi="Times New Roman"/>
                <w:iCs/>
                <w:sz w:val="24"/>
                <w:szCs w:val="24"/>
              </w:rPr>
              <w:t xml:space="preserve"> apsprie</w:t>
            </w:r>
            <w:r>
              <w:rPr>
                <w:rFonts w:ascii="Times New Roman" w:hAnsi="Times New Roman"/>
                <w:iCs/>
                <w:sz w:val="24"/>
                <w:szCs w:val="24"/>
              </w:rPr>
              <w:t>sts</w:t>
            </w:r>
            <w:r w:rsidRPr="00712FBD">
              <w:rPr>
                <w:rFonts w:ascii="Times New Roman" w:hAnsi="Times New Roman"/>
                <w:iCs/>
                <w:sz w:val="24"/>
                <w:szCs w:val="24"/>
              </w:rPr>
              <w:t xml:space="preserve"> Darbības programmas darbību īstenošanas uzraudzības sanāksmē un sarakstē, piedaloties Fonda sadarbības iestādei (Sabiedrības integrācijas fonds);</w:t>
            </w:r>
          </w:p>
          <w:p w14:paraId="3D3AD371" w14:textId="499D1AD9" w:rsidR="00A62B86" w:rsidRPr="005949CB" w:rsidRDefault="00712FBD" w:rsidP="00712FBD">
            <w:pPr>
              <w:pStyle w:val="ListParagraph"/>
              <w:numPr>
                <w:ilvl w:val="0"/>
                <w:numId w:val="51"/>
              </w:numPr>
              <w:spacing w:after="0"/>
              <w:ind w:left="386" w:right="249"/>
              <w:jc w:val="both"/>
              <w:rPr>
                <w:rFonts w:ascii="Times New Roman" w:hAnsi="Times New Roman"/>
                <w:sz w:val="24"/>
                <w:szCs w:val="24"/>
              </w:rPr>
            </w:pPr>
            <w:r w:rsidRPr="00712FBD">
              <w:rPr>
                <w:rFonts w:ascii="Times New Roman" w:hAnsi="Times New Roman"/>
                <w:sz w:val="24"/>
                <w:szCs w:val="24"/>
              </w:rPr>
              <w:t>Noteikumu projekt</w:t>
            </w:r>
            <w:r>
              <w:rPr>
                <w:rFonts w:ascii="Times New Roman" w:hAnsi="Times New Roman"/>
                <w:sz w:val="24"/>
                <w:szCs w:val="24"/>
              </w:rPr>
              <w:t>s</w:t>
            </w:r>
            <w:r w:rsidRPr="00712FBD">
              <w:rPr>
                <w:rFonts w:ascii="Times New Roman" w:hAnsi="Times New Roman"/>
                <w:sz w:val="24"/>
                <w:szCs w:val="24"/>
              </w:rPr>
              <w:t xml:space="preserve"> apsprie</w:t>
            </w:r>
            <w:r>
              <w:rPr>
                <w:rFonts w:ascii="Times New Roman" w:hAnsi="Times New Roman"/>
                <w:sz w:val="24"/>
                <w:szCs w:val="24"/>
              </w:rPr>
              <w:t>sts</w:t>
            </w:r>
            <w:r w:rsidR="00E0446C" w:rsidRPr="00712FBD">
              <w:rPr>
                <w:rFonts w:ascii="Times New Roman" w:hAnsi="Times New Roman"/>
                <w:sz w:val="24"/>
                <w:szCs w:val="24"/>
              </w:rPr>
              <w:t>, un</w:t>
            </w:r>
            <w:r>
              <w:rPr>
                <w:rFonts w:ascii="Times New Roman" w:hAnsi="Times New Roman"/>
                <w:sz w:val="24"/>
                <w:szCs w:val="24"/>
              </w:rPr>
              <w:t xml:space="preserve"> viedoklis saskaņots sarakstē ar</w:t>
            </w:r>
            <w:r w:rsidR="00C70B2D" w:rsidRPr="00712FBD">
              <w:rPr>
                <w:rFonts w:ascii="Times New Roman" w:hAnsi="Times New Roman"/>
                <w:sz w:val="24"/>
                <w:szCs w:val="24"/>
              </w:rPr>
              <w:t xml:space="preserve"> Latvijas Pašvaldību savienīb</w:t>
            </w:r>
            <w:r>
              <w:rPr>
                <w:rFonts w:ascii="Times New Roman" w:hAnsi="Times New Roman"/>
                <w:sz w:val="24"/>
                <w:szCs w:val="24"/>
              </w:rPr>
              <w:t>u (LPS) un aktīvākajām</w:t>
            </w:r>
            <w:r w:rsidR="00C70B2D" w:rsidRPr="00712FBD">
              <w:rPr>
                <w:rFonts w:ascii="Times New Roman" w:hAnsi="Times New Roman"/>
                <w:sz w:val="24"/>
                <w:szCs w:val="24"/>
              </w:rPr>
              <w:t xml:space="preserve"> </w:t>
            </w:r>
            <w:r w:rsidR="00A62B86" w:rsidRPr="00712FBD">
              <w:rPr>
                <w:rFonts w:ascii="Times New Roman" w:hAnsi="Times New Roman"/>
                <w:sz w:val="24"/>
                <w:szCs w:val="24"/>
              </w:rPr>
              <w:t>pašvaldīb</w:t>
            </w:r>
            <w:r>
              <w:rPr>
                <w:rFonts w:ascii="Times New Roman" w:hAnsi="Times New Roman"/>
                <w:sz w:val="24"/>
                <w:szCs w:val="24"/>
              </w:rPr>
              <w:t>ām.</w:t>
            </w:r>
            <w:r w:rsidR="00A62B86" w:rsidRPr="00712FBD">
              <w:rPr>
                <w:rFonts w:ascii="Times New Roman" w:hAnsi="Times New Roman"/>
                <w:sz w:val="24"/>
                <w:szCs w:val="24"/>
              </w:rPr>
              <w:t xml:space="preserve"> </w:t>
            </w:r>
          </w:p>
        </w:tc>
      </w:tr>
      <w:tr w:rsidR="00487B6F" w:rsidRPr="000907B2" w14:paraId="2FACC7D4" w14:textId="77777777" w:rsidTr="00D77D3E">
        <w:trPr>
          <w:cantSplit/>
        </w:trPr>
        <w:tc>
          <w:tcPr>
            <w:tcW w:w="429" w:type="dxa"/>
            <w:shd w:val="clear" w:color="auto" w:fill="auto"/>
            <w:hideMark/>
          </w:tcPr>
          <w:p w14:paraId="34AAB985" w14:textId="7A5B9A08" w:rsidR="00487B6F" w:rsidRPr="000907B2" w:rsidRDefault="00487B6F" w:rsidP="00FF06AF">
            <w:pPr>
              <w:spacing w:line="276" w:lineRule="auto"/>
              <w:jc w:val="center"/>
            </w:pPr>
            <w:r w:rsidRPr="000907B2">
              <w:t>3.</w:t>
            </w:r>
          </w:p>
        </w:tc>
        <w:tc>
          <w:tcPr>
            <w:tcW w:w="2267" w:type="dxa"/>
            <w:shd w:val="clear" w:color="auto" w:fill="auto"/>
            <w:hideMark/>
          </w:tcPr>
          <w:p w14:paraId="149BFCC9" w14:textId="77777777" w:rsidR="00487B6F" w:rsidRPr="000907B2" w:rsidRDefault="00487B6F" w:rsidP="00FF06AF">
            <w:pPr>
              <w:spacing w:line="276" w:lineRule="auto"/>
            </w:pPr>
            <w:r w:rsidRPr="000907B2">
              <w:t>Sabiedrības līdzdalības rezultāti</w:t>
            </w:r>
          </w:p>
        </w:tc>
        <w:tc>
          <w:tcPr>
            <w:tcW w:w="7228" w:type="dxa"/>
            <w:shd w:val="clear" w:color="auto" w:fill="auto"/>
            <w:hideMark/>
          </w:tcPr>
          <w:p w14:paraId="712DB8C3" w14:textId="46924CFC" w:rsidR="007A684D" w:rsidRPr="000907B2" w:rsidRDefault="009A33BF" w:rsidP="00FF06AF">
            <w:pPr>
              <w:spacing w:line="276" w:lineRule="auto"/>
              <w:ind w:left="397" w:hanging="284"/>
              <w:jc w:val="both"/>
              <w:rPr>
                <w:iCs/>
              </w:rPr>
            </w:pPr>
            <w:r w:rsidRPr="000907B2">
              <w:rPr>
                <w:iCs/>
              </w:rPr>
              <w:t>1.</w:t>
            </w:r>
            <w:r w:rsidR="00054675" w:rsidRPr="000907B2">
              <w:rPr>
                <w:iCs/>
              </w:rPr>
              <w:t xml:space="preserve"> </w:t>
            </w:r>
            <w:r w:rsidRPr="000907B2">
              <w:rPr>
                <w:iCs/>
              </w:rPr>
              <w:t>Pamatojoties uz konsultatīvās darba grupas sanāksmē atbalst</w:t>
            </w:r>
            <w:r w:rsidR="007A684D" w:rsidRPr="000907B2">
              <w:rPr>
                <w:iCs/>
              </w:rPr>
              <w:t>īto pr</w:t>
            </w:r>
            <w:r w:rsidRPr="000907B2">
              <w:rPr>
                <w:iCs/>
              </w:rPr>
              <w:t>iekšlikumu</w:t>
            </w:r>
            <w:r w:rsidR="007A684D" w:rsidRPr="000907B2">
              <w:rPr>
                <w:iCs/>
              </w:rPr>
              <w:t xml:space="preserve"> attīstību</w:t>
            </w:r>
            <w:r w:rsidR="00712FBD">
              <w:rPr>
                <w:iCs/>
              </w:rPr>
              <w:t>,</w:t>
            </w:r>
            <w:r w:rsidR="007A684D" w:rsidRPr="000907B2">
              <w:rPr>
                <w:iCs/>
              </w:rPr>
              <w:t xml:space="preserve"> ikgadējā Fonda darbības programmas novērtēšanas s</w:t>
            </w:r>
            <w:r w:rsidRPr="000907B2">
              <w:rPr>
                <w:iCs/>
              </w:rPr>
              <w:t>anāksmē</w:t>
            </w:r>
            <w:r w:rsidR="007A684D" w:rsidRPr="000907B2">
              <w:rPr>
                <w:iCs/>
              </w:rPr>
              <w:t xml:space="preserve"> </w:t>
            </w:r>
            <w:r w:rsidR="00712FBD">
              <w:rPr>
                <w:iCs/>
              </w:rPr>
              <w:t xml:space="preserve">un sarakstē ar LPS </w:t>
            </w:r>
            <w:r w:rsidR="007A684D" w:rsidRPr="000907B2">
              <w:rPr>
                <w:iCs/>
              </w:rPr>
              <w:t>panākto vienošanos un viedokļu saskaņojumu sagatavots Noteikumu projekts;</w:t>
            </w:r>
          </w:p>
          <w:p w14:paraId="0B17E1F3" w14:textId="0C4ADA8A" w:rsidR="007A684D" w:rsidRPr="000907B2" w:rsidRDefault="007A684D" w:rsidP="00FF06AF">
            <w:pPr>
              <w:spacing w:line="276" w:lineRule="auto"/>
              <w:ind w:left="397" w:hanging="284"/>
              <w:jc w:val="both"/>
              <w:rPr>
                <w:iCs/>
              </w:rPr>
            </w:pPr>
            <w:r w:rsidRPr="000907B2">
              <w:rPr>
                <w:iCs/>
              </w:rPr>
              <w:t>2.</w:t>
            </w:r>
            <w:r w:rsidR="00054675" w:rsidRPr="000907B2">
              <w:rPr>
                <w:iCs/>
              </w:rPr>
              <w:t xml:space="preserve"> </w:t>
            </w:r>
            <w:r w:rsidR="00487B6F" w:rsidRPr="000907B2">
              <w:rPr>
                <w:iCs/>
              </w:rPr>
              <w:t xml:space="preserve">Par </w:t>
            </w:r>
            <w:r w:rsidRPr="000907B2">
              <w:rPr>
                <w:iCs/>
              </w:rPr>
              <w:t>N</w:t>
            </w:r>
            <w:r w:rsidR="00487B6F" w:rsidRPr="000907B2">
              <w:rPr>
                <w:iCs/>
              </w:rPr>
              <w:t>oteikumu projektu tā izstrādes stadijā sabiedrības viedoklis netika saņemts</w:t>
            </w:r>
            <w:r w:rsidRPr="000907B2">
              <w:rPr>
                <w:iCs/>
              </w:rPr>
              <w:t>;</w:t>
            </w:r>
          </w:p>
          <w:p w14:paraId="5FBAD661" w14:textId="77777777" w:rsidR="00487B6F" w:rsidRDefault="007A684D" w:rsidP="00FF06AF">
            <w:pPr>
              <w:spacing w:line="276" w:lineRule="auto"/>
              <w:ind w:left="397" w:hanging="284"/>
              <w:jc w:val="both"/>
              <w:rPr>
                <w:iCs/>
              </w:rPr>
            </w:pPr>
            <w:r w:rsidRPr="000907B2">
              <w:rPr>
                <w:iCs/>
              </w:rPr>
              <w:t>3.</w:t>
            </w:r>
            <w:r w:rsidR="00054675" w:rsidRPr="000907B2">
              <w:rPr>
                <w:iCs/>
              </w:rPr>
              <w:t xml:space="preserve"> </w:t>
            </w:r>
            <w:r w:rsidRPr="000907B2">
              <w:rPr>
                <w:iCs/>
              </w:rPr>
              <w:t>Noteikumu projekts oficiālās saskaņošanas ietvaros tiks saskaņots ar Latvijas Pašvaldību savienību.</w:t>
            </w:r>
          </w:p>
          <w:p w14:paraId="3F3D59DA" w14:textId="4A25761E" w:rsidR="005324DA" w:rsidRPr="000907B2" w:rsidRDefault="005324DA" w:rsidP="005324DA">
            <w:pPr>
              <w:spacing w:line="276" w:lineRule="auto"/>
              <w:ind w:left="113"/>
              <w:jc w:val="both"/>
            </w:pPr>
            <w:r>
              <w:rPr>
                <w:iCs/>
              </w:rPr>
              <w:t>Sabiedrības pārstāvju priekšlikumi ir ņemti vērā projekta izstrādes procesā.</w:t>
            </w:r>
          </w:p>
        </w:tc>
      </w:tr>
      <w:tr w:rsidR="00487B6F" w:rsidRPr="000907B2" w14:paraId="6B1F8061" w14:textId="77777777" w:rsidTr="00D77D3E">
        <w:trPr>
          <w:cantSplit/>
        </w:trPr>
        <w:tc>
          <w:tcPr>
            <w:tcW w:w="429" w:type="dxa"/>
            <w:shd w:val="clear" w:color="auto" w:fill="auto"/>
            <w:hideMark/>
          </w:tcPr>
          <w:p w14:paraId="127ADC5F" w14:textId="2E43EB63" w:rsidR="00487B6F" w:rsidRPr="000907B2" w:rsidRDefault="00487B6F" w:rsidP="00FF06AF">
            <w:pPr>
              <w:spacing w:line="276" w:lineRule="auto"/>
              <w:jc w:val="center"/>
            </w:pPr>
            <w:r w:rsidRPr="000907B2">
              <w:t>4.</w:t>
            </w:r>
          </w:p>
        </w:tc>
        <w:tc>
          <w:tcPr>
            <w:tcW w:w="2267" w:type="dxa"/>
            <w:shd w:val="clear" w:color="auto" w:fill="auto"/>
            <w:hideMark/>
          </w:tcPr>
          <w:p w14:paraId="0E64DF83" w14:textId="77777777" w:rsidR="00487B6F" w:rsidRPr="000907B2" w:rsidRDefault="00487B6F" w:rsidP="00FF06AF">
            <w:pPr>
              <w:spacing w:line="276" w:lineRule="auto"/>
            </w:pPr>
            <w:r w:rsidRPr="000907B2">
              <w:t>Cita informācija</w:t>
            </w:r>
          </w:p>
        </w:tc>
        <w:tc>
          <w:tcPr>
            <w:tcW w:w="7228" w:type="dxa"/>
            <w:shd w:val="clear" w:color="auto" w:fill="auto"/>
            <w:hideMark/>
          </w:tcPr>
          <w:p w14:paraId="4EDF6481" w14:textId="77777777" w:rsidR="00487B6F" w:rsidRPr="000907B2" w:rsidRDefault="00487B6F" w:rsidP="00FF06AF">
            <w:pPr>
              <w:spacing w:line="276" w:lineRule="auto"/>
            </w:pPr>
            <w:r w:rsidRPr="000907B2">
              <w:rPr>
                <w:iCs/>
              </w:rPr>
              <w:t>Nav.</w:t>
            </w:r>
          </w:p>
        </w:tc>
      </w:tr>
      <w:tr w:rsidR="00487B6F" w:rsidRPr="000907B2" w14:paraId="500892B3" w14:textId="77777777" w:rsidTr="00D77D3E">
        <w:trPr>
          <w:cantSplit/>
        </w:trPr>
        <w:tc>
          <w:tcPr>
            <w:tcW w:w="9924" w:type="dxa"/>
            <w:gridSpan w:val="3"/>
            <w:vAlign w:val="center"/>
            <w:hideMark/>
          </w:tcPr>
          <w:p w14:paraId="62D63DAA" w14:textId="77777777" w:rsidR="00487B6F" w:rsidRPr="000907B2" w:rsidRDefault="00487B6F" w:rsidP="00FF06AF">
            <w:pPr>
              <w:spacing w:line="276" w:lineRule="auto"/>
              <w:jc w:val="center"/>
              <w:rPr>
                <w:b/>
                <w:bCs/>
              </w:rPr>
            </w:pPr>
            <w:r w:rsidRPr="000907B2">
              <w:rPr>
                <w:b/>
                <w:bCs/>
              </w:rPr>
              <w:t>VII. Tiesību akta projekta izpildes nodrošināšana un tās ietekme uz institūcijām</w:t>
            </w:r>
          </w:p>
        </w:tc>
      </w:tr>
      <w:tr w:rsidR="003B32A7" w:rsidRPr="000907B2" w14:paraId="3C5BC48A" w14:textId="77777777" w:rsidTr="00D77D3E">
        <w:trPr>
          <w:cantSplit/>
        </w:trPr>
        <w:tc>
          <w:tcPr>
            <w:tcW w:w="429" w:type="dxa"/>
            <w:hideMark/>
          </w:tcPr>
          <w:p w14:paraId="73F0C51A" w14:textId="77777777" w:rsidR="003B32A7" w:rsidRPr="000907B2" w:rsidRDefault="003B32A7" w:rsidP="00FF06AF">
            <w:pPr>
              <w:spacing w:line="276" w:lineRule="auto"/>
              <w:jc w:val="center"/>
            </w:pPr>
            <w:r w:rsidRPr="000907B2">
              <w:t>1.</w:t>
            </w:r>
          </w:p>
        </w:tc>
        <w:tc>
          <w:tcPr>
            <w:tcW w:w="2267" w:type="dxa"/>
            <w:hideMark/>
          </w:tcPr>
          <w:p w14:paraId="76C65BBF" w14:textId="77777777" w:rsidR="003B32A7" w:rsidRPr="000907B2" w:rsidRDefault="003B32A7" w:rsidP="00FF06AF">
            <w:pPr>
              <w:spacing w:line="276" w:lineRule="auto"/>
            </w:pPr>
            <w:r w:rsidRPr="000907B2">
              <w:t>Projekta izpildē iesaistītās institūcijas</w:t>
            </w:r>
          </w:p>
        </w:tc>
        <w:tc>
          <w:tcPr>
            <w:tcW w:w="7228" w:type="dxa"/>
            <w:hideMark/>
          </w:tcPr>
          <w:p w14:paraId="424FDCA5" w14:textId="03A78648" w:rsidR="003B32A7" w:rsidRPr="000907B2" w:rsidRDefault="00F62431" w:rsidP="00FF06AF">
            <w:pPr>
              <w:spacing w:line="276" w:lineRule="auto"/>
              <w:jc w:val="both"/>
            </w:pPr>
            <w:r>
              <w:t>LM</w:t>
            </w:r>
          </w:p>
          <w:p w14:paraId="32BA9E68" w14:textId="34012862" w:rsidR="007A684D" w:rsidRPr="000907B2" w:rsidRDefault="007A684D" w:rsidP="00FF06AF">
            <w:pPr>
              <w:spacing w:line="276" w:lineRule="auto"/>
              <w:jc w:val="both"/>
            </w:pPr>
            <w:r w:rsidRPr="000907B2">
              <w:t>Sabiedrības integrācijas fonds</w:t>
            </w:r>
          </w:p>
        </w:tc>
      </w:tr>
      <w:tr w:rsidR="003B32A7" w:rsidRPr="000907B2" w14:paraId="5E60DE60" w14:textId="77777777" w:rsidTr="00D77D3E">
        <w:trPr>
          <w:cantSplit/>
        </w:trPr>
        <w:tc>
          <w:tcPr>
            <w:tcW w:w="429" w:type="dxa"/>
            <w:hideMark/>
          </w:tcPr>
          <w:p w14:paraId="278FA3EC" w14:textId="77777777" w:rsidR="003B32A7" w:rsidRPr="000907B2" w:rsidRDefault="003B32A7" w:rsidP="00FF06AF">
            <w:pPr>
              <w:spacing w:line="276" w:lineRule="auto"/>
              <w:jc w:val="center"/>
            </w:pPr>
            <w:r w:rsidRPr="000907B2">
              <w:lastRenderedPageBreak/>
              <w:t>2.</w:t>
            </w:r>
          </w:p>
        </w:tc>
        <w:tc>
          <w:tcPr>
            <w:tcW w:w="2267" w:type="dxa"/>
            <w:hideMark/>
          </w:tcPr>
          <w:p w14:paraId="4C905AA4" w14:textId="77777777" w:rsidR="003B32A7" w:rsidRPr="000907B2" w:rsidRDefault="003B32A7" w:rsidP="00FF06AF">
            <w:pPr>
              <w:spacing w:line="276" w:lineRule="auto"/>
            </w:pPr>
            <w:r w:rsidRPr="000907B2">
              <w:t>Projekta izpildes ietekme uz pārvaldes funkcijām un institucionālo struktūru.</w:t>
            </w:r>
            <w:r w:rsidRPr="000907B2">
              <w:br/>
              <w:t>Jaunu institūciju izveide, esošu institūciju likvidācija vai reorganizācija, to ietekme uz institūcijas cilvēkresursiem</w:t>
            </w:r>
          </w:p>
        </w:tc>
        <w:tc>
          <w:tcPr>
            <w:tcW w:w="7228" w:type="dxa"/>
            <w:hideMark/>
          </w:tcPr>
          <w:p w14:paraId="58F23179" w14:textId="1F13B075" w:rsidR="003B32A7" w:rsidRPr="000907B2" w:rsidRDefault="007A684D" w:rsidP="00FF06AF">
            <w:pPr>
              <w:pStyle w:val="ListParagraph"/>
              <w:shd w:val="clear" w:color="auto" w:fill="FFFFFF"/>
              <w:spacing w:after="0"/>
              <w:ind w:left="0" w:right="57"/>
              <w:contextualSpacing w:val="0"/>
              <w:jc w:val="both"/>
              <w:rPr>
                <w:rFonts w:ascii="Times New Roman" w:hAnsi="Times New Roman"/>
                <w:sz w:val="24"/>
                <w:szCs w:val="24"/>
              </w:rPr>
            </w:pPr>
            <w:r w:rsidRPr="000907B2">
              <w:rPr>
                <w:rFonts w:ascii="Times New Roman" w:hAnsi="Times New Roman"/>
                <w:sz w:val="24"/>
                <w:szCs w:val="24"/>
              </w:rPr>
              <w:t>Noteikumu projekts neparedz funkciju paplašināšanu vai sašaurināšanu, kā arī neietekmē pieejamos cilvēkresursus</w:t>
            </w:r>
            <w:r w:rsidR="00F62431">
              <w:rPr>
                <w:rFonts w:ascii="Times New Roman" w:hAnsi="Times New Roman"/>
                <w:sz w:val="24"/>
                <w:szCs w:val="24"/>
              </w:rPr>
              <w:t>, neparedz veidot jaunas institūcijas vai reorganizēt esošās.</w:t>
            </w:r>
          </w:p>
        </w:tc>
      </w:tr>
      <w:tr w:rsidR="00487B6F" w:rsidRPr="000907B2" w14:paraId="32949B84" w14:textId="77777777" w:rsidTr="00D77D3E">
        <w:trPr>
          <w:cantSplit/>
        </w:trPr>
        <w:tc>
          <w:tcPr>
            <w:tcW w:w="429" w:type="dxa"/>
            <w:hideMark/>
          </w:tcPr>
          <w:p w14:paraId="453FE689" w14:textId="77777777" w:rsidR="00487B6F" w:rsidRPr="000907B2" w:rsidRDefault="00487B6F" w:rsidP="00FF06AF">
            <w:pPr>
              <w:spacing w:line="276" w:lineRule="auto"/>
              <w:jc w:val="center"/>
            </w:pPr>
            <w:r w:rsidRPr="000907B2">
              <w:t>3.</w:t>
            </w:r>
          </w:p>
        </w:tc>
        <w:tc>
          <w:tcPr>
            <w:tcW w:w="2267" w:type="dxa"/>
            <w:hideMark/>
          </w:tcPr>
          <w:p w14:paraId="3F7BF18F" w14:textId="77777777" w:rsidR="00487B6F" w:rsidRPr="000907B2" w:rsidRDefault="00487B6F" w:rsidP="00FF06AF">
            <w:pPr>
              <w:spacing w:line="276" w:lineRule="auto"/>
            </w:pPr>
            <w:r w:rsidRPr="000907B2">
              <w:t>Cita informācija</w:t>
            </w:r>
          </w:p>
        </w:tc>
        <w:tc>
          <w:tcPr>
            <w:tcW w:w="7228" w:type="dxa"/>
            <w:hideMark/>
          </w:tcPr>
          <w:p w14:paraId="10EEC1FC" w14:textId="77777777" w:rsidR="00487B6F" w:rsidRPr="000907B2" w:rsidRDefault="00487B6F" w:rsidP="00FF06AF">
            <w:pPr>
              <w:spacing w:line="276" w:lineRule="auto"/>
            </w:pPr>
            <w:r w:rsidRPr="000907B2">
              <w:t>Nav.</w:t>
            </w:r>
          </w:p>
        </w:tc>
      </w:tr>
    </w:tbl>
    <w:p w14:paraId="6193CFDD" w14:textId="77777777" w:rsidR="009B3141" w:rsidRDefault="009B3141">
      <w:pPr>
        <w:spacing w:line="276" w:lineRule="auto"/>
        <w:ind w:firstLine="720"/>
      </w:pPr>
    </w:p>
    <w:p w14:paraId="66888AB5" w14:textId="77777777" w:rsidR="00E477C2" w:rsidRDefault="00E477C2">
      <w:pPr>
        <w:spacing w:line="276" w:lineRule="auto"/>
        <w:ind w:firstLine="720"/>
      </w:pPr>
    </w:p>
    <w:p w14:paraId="08F4B7DA" w14:textId="77777777" w:rsidR="0026758E" w:rsidRDefault="0026758E">
      <w:pPr>
        <w:spacing w:line="276" w:lineRule="auto"/>
        <w:ind w:firstLine="720"/>
      </w:pPr>
    </w:p>
    <w:p w14:paraId="67639581" w14:textId="77777777" w:rsidR="0026758E" w:rsidRDefault="0026758E">
      <w:pPr>
        <w:spacing w:line="276" w:lineRule="auto"/>
        <w:ind w:firstLine="720"/>
      </w:pPr>
    </w:p>
    <w:p w14:paraId="726B5AF0" w14:textId="77777777" w:rsidR="0026758E" w:rsidRDefault="0026758E">
      <w:pPr>
        <w:spacing w:line="276" w:lineRule="auto"/>
        <w:ind w:firstLine="720"/>
      </w:pPr>
    </w:p>
    <w:p w14:paraId="1F3E2676" w14:textId="77777777" w:rsidR="00E477C2" w:rsidRDefault="00E477C2">
      <w:pPr>
        <w:spacing w:line="276" w:lineRule="auto"/>
        <w:ind w:firstLine="720"/>
      </w:pPr>
    </w:p>
    <w:p w14:paraId="2E563524" w14:textId="77777777" w:rsidR="00E477C2" w:rsidRPr="000907B2" w:rsidRDefault="00E477C2">
      <w:pPr>
        <w:spacing w:line="276" w:lineRule="auto"/>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6758E" w14:paraId="7CABB940" w14:textId="77777777" w:rsidTr="0026758E">
        <w:tc>
          <w:tcPr>
            <w:tcW w:w="4530" w:type="dxa"/>
          </w:tcPr>
          <w:p w14:paraId="2D93DF3B" w14:textId="1D5D9061" w:rsidR="0026758E" w:rsidRDefault="0026758E">
            <w:pPr>
              <w:spacing w:line="276" w:lineRule="auto"/>
            </w:pPr>
            <w:r w:rsidRPr="000907B2">
              <w:t>Labklājības ministrs</w:t>
            </w:r>
          </w:p>
        </w:tc>
        <w:tc>
          <w:tcPr>
            <w:tcW w:w="4531" w:type="dxa"/>
          </w:tcPr>
          <w:p w14:paraId="1CE79E2C" w14:textId="277E927E" w:rsidR="0026758E" w:rsidRDefault="0026758E" w:rsidP="0026758E">
            <w:pPr>
              <w:spacing w:line="276" w:lineRule="auto"/>
              <w:jc w:val="right"/>
            </w:pPr>
            <w:r w:rsidRPr="000907B2">
              <w:t>J. Reirs</w:t>
            </w:r>
          </w:p>
        </w:tc>
      </w:tr>
    </w:tbl>
    <w:p w14:paraId="7E9A3097" w14:textId="77777777" w:rsidR="009B3141" w:rsidRPr="000907B2" w:rsidRDefault="009B3141">
      <w:pPr>
        <w:spacing w:line="276" w:lineRule="auto"/>
        <w:ind w:firstLine="720"/>
      </w:pPr>
    </w:p>
    <w:p w14:paraId="1318590D" w14:textId="77777777" w:rsidR="00947FCE" w:rsidRDefault="00947FCE">
      <w:pPr>
        <w:spacing w:line="276" w:lineRule="auto"/>
        <w:ind w:firstLine="720"/>
      </w:pPr>
    </w:p>
    <w:p w14:paraId="0977878C" w14:textId="77777777" w:rsidR="003A77CA" w:rsidRPr="000907B2" w:rsidRDefault="003A77CA">
      <w:pPr>
        <w:spacing w:line="276" w:lineRule="auto"/>
        <w:ind w:firstLine="720"/>
      </w:pPr>
    </w:p>
    <w:p w14:paraId="425F1C3C" w14:textId="77777777" w:rsidR="00E477C2" w:rsidRDefault="00E477C2">
      <w:pPr>
        <w:spacing w:line="276" w:lineRule="auto"/>
        <w:ind w:firstLine="720"/>
        <w:rPr>
          <w:sz w:val="20"/>
          <w:szCs w:val="20"/>
        </w:rPr>
      </w:pPr>
    </w:p>
    <w:p w14:paraId="55CAF792" w14:textId="77777777" w:rsidR="00E477C2" w:rsidRPr="000907B2" w:rsidRDefault="00E477C2">
      <w:pPr>
        <w:spacing w:line="276" w:lineRule="auto"/>
        <w:ind w:firstLine="720"/>
        <w:rPr>
          <w:sz w:val="20"/>
          <w:szCs w:val="20"/>
        </w:rPr>
      </w:pPr>
    </w:p>
    <w:p w14:paraId="40170663" w14:textId="77777777" w:rsidR="00D1113A" w:rsidRDefault="00D1113A">
      <w:pPr>
        <w:spacing w:line="276" w:lineRule="auto"/>
        <w:ind w:firstLine="720"/>
        <w:rPr>
          <w:sz w:val="20"/>
          <w:szCs w:val="20"/>
        </w:rPr>
      </w:pPr>
    </w:p>
    <w:p w14:paraId="3C41695D" w14:textId="77777777" w:rsidR="00E477C2" w:rsidRDefault="00E477C2">
      <w:pPr>
        <w:spacing w:line="276" w:lineRule="auto"/>
        <w:ind w:firstLine="720"/>
        <w:rPr>
          <w:sz w:val="20"/>
          <w:szCs w:val="20"/>
        </w:rPr>
      </w:pPr>
    </w:p>
    <w:p w14:paraId="3473F2F9" w14:textId="77777777" w:rsidR="00E477C2" w:rsidRDefault="00E477C2">
      <w:pPr>
        <w:spacing w:line="276" w:lineRule="auto"/>
        <w:ind w:firstLine="720"/>
        <w:rPr>
          <w:sz w:val="20"/>
          <w:szCs w:val="20"/>
        </w:rPr>
      </w:pPr>
    </w:p>
    <w:p w14:paraId="5F3CFA4B" w14:textId="77777777" w:rsidR="00E477C2" w:rsidRDefault="00E477C2">
      <w:pPr>
        <w:spacing w:line="276" w:lineRule="auto"/>
        <w:ind w:firstLine="720"/>
        <w:rPr>
          <w:sz w:val="20"/>
          <w:szCs w:val="20"/>
        </w:rPr>
      </w:pPr>
    </w:p>
    <w:p w14:paraId="415B0628" w14:textId="77777777" w:rsidR="00E477C2" w:rsidRDefault="00E477C2">
      <w:pPr>
        <w:spacing w:line="276" w:lineRule="auto"/>
        <w:ind w:firstLine="720"/>
        <w:rPr>
          <w:sz w:val="20"/>
          <w:szCs w:val="20"/>
        </w:rPr>
      </w:pPr>
    </w:p>
    <w:p w14:paraId="5C08107C" w14:textId="77777777" w:rsidR="00E477C2" w:rsidRDefault="00E477C2">
      <w:pPr>
        <w:spacing w:line="276" w:lineRule="auto"/>
        <w:ind w:firstLine="720"/>
        <w:rPr>
          <w:sz w:val="20"/>
          <w:szCs w:val="20"/>
        </w:rPr>
      </w:pPr>
    </w:p>
    <w:p w14:paraId="3C6D4ABA" w14:textId="77777777" w:rsidR="00E477C2" w:rsidRDefault="00E477C2">
      <w:pPr>
        <w:spacing w:line="276" w:lineRule="auto"/>
        <w:ind w:firstLine="720"/>
        <w:rPr>
          <w:sz w:val="20"/>
          <w:szCs w:val="20"/>
        </w:rPr>
      </w:pPr>
    </w:p>
    <w:p w14:paraId="47D887B4" w14:textId="77777777" w:rsidR="00E477C2" w:rsidRDefault="00E477C2">
      <w:pPr>
        <w:spacing w:line="276" w:lineRule="auto"/>
        <w:ind w:firstLine="720"/>
        <w:rPr>
          <w:sz w:val="20"/>
          <w:szCs w:val="20"/>
        </w:rPr>
      </w:pPr>
    </w:p>
    <w:p w14:paraId="58DADED4" w14:textId="77777777" w:rsidR="00E477C2" w:rsidRDefault="00E477C2" w:rsidP="00D77D3E">
      <w:pPr>
        <w:spacing w:line="276" w:lineRule="auto"/>
        <w:rPr>
          <w:sz w:val="20"/>
          <w:szCs w:val="20"/>
        </w:rPr>
      </w:pPr>
      <w:bookmarkStart w:id="0" w:name="_GoBack"/>
      <w:bookmarkEnd w:id="0"/>
    </w:p>
    <w:p w14:paraId="5FA34E12" w14:textId="77777777" w:rsidR="00E477C2" w:rsidRDefault="00E477C2">
      <w:pPr>
        <w:spacing w:line="276" w:lineRule="auto"/>
        <w:ind w:firstLine="720"/>
        <w:rPr>
          <w:sz w:val="20"/>
          <w:szCs w:val="20"/>
        </w:rPr>
      </w:pPr>
    </w:p>
    <w:p w14:paraId="16F6E754" w14:textId="77777777" w:rsidR="00E477C2" w:rsidRPr="000907B2" w:rsidRDefault="00E477C2">
      <w:pPr>
        <w:spacing w:line="276" w:lineRule="auto"/>
        <w:ind w:firstLine="720"/>
        <w:rPr>
          <w:sz w:val="20"/>
          <w:szCs w:val="20"/>
        </w:rPr>
      </w:pPr>
    </w:p>
    <w:p w14:paraId="218EE059" w14:textId="77777777" w:rsidR="00E26FD9" w:rsidRPr="000907B2" w:rsidRDefault="00E26FD9">
      <w:pPr>
        <w:spacing w:line="276" w:lineRule="auto"/>
        <w:ind w:firstLine="720"/>
        <w:rPr>
          <w:sz w:val="20"/>
          <w:szCs w:val="20"/>
        </w:rPr>
      </w:pPr>
    </w:p>
    <w:p w14:paraId="4E5CDA95" w14:textId="53F5CD7E" w:rsidR="003B7D11" w:rsidRPr="007F5AA0" w:rsidRDefault="003B7D11">
      <w:pPr>
        <w:spacing w:line="276" w:lineRule="auto"/>
        <w:rPr>
          <w:sz w:val="20"/>
          <w:szCs w:val="20"/>
        </w:rPr>
      </w:pPr>
      <w:r w:rsidRPr="007F5AA0">
        <w:rPr>
          <w:sz w:val="20"/>
          <w:szCs w:val="20"/>
        </w:rPr>
        <w:fldChar w:fldCharType="begin"/>
      </w:r>
      <w:r w:rsidRPr="007F5AA0">
        <w:rPr>
          <w:sz w:val="20"/>
          <w:szCs w:val="20"/>
        </w:rPr>
        <w:instrText xml:space="preserve"> TIME \@ "dd.MM.yyyy H:mm" </w:instrText>
      </w:r>
      <w:r w:rsidRPr="007F5AA0">
        <w:rPr>
          <w:sz w:val="20"/>
          <w:szCs w:val="20"/>
        </w:rPr>
        <w:fldChar w:fldCharType="separate"/>
      </w:r>
      <w:r w:rsidR="008A4FA0">
        <w:rPr>
          <w:noProof/>
          <w:sz w:val="20"/>
          <w:szCs w:val="20"/>
        </w:rPr>
        <w:t>12.12.2018 14:46</w:t>
      </w:r>
      <w:r w:rsidRPr="007F5AA0">
        <w:rPr>
          <w:sz w:val="20"/>
          <w:szCs w:val="20"/>
        </w:rPr>
        <w:fldChar w:fldCharType="end"/>
      </w:r>
      <w:r w:rsidR="006A609A">
        <w:rPr>
          <w:sz w:val="20"/>
          <w:szCs w:val="20"/>
        </w:rPr>
        <w:t>.</w:t>
      </w:r>
    </w:p>
    <w:p w14:paraId="5B3A5F11" w14:textId="7A32DC8F" w:rsidR="00134B13" w:rsidRPr="007F5AA0" w:rsidRDefault="00D77D3E">
      <w:pPr>
        <w:spacing w:line="276" w:lineRule="auto"/>
        <w:jc w:val="both"/>
        <w:rPr>
          <w:sz w:val="20"/>
          <w:szCs w:val="20"/>
        </w:rPr>
      </w:pPr>
      <w:r>
        <w:rPr>
          <w:sz w:val="20"/>
          <w:szCs w:val="20"/>
        </w:rPr>
        <w:t>3175</w:t>
      </w:r>
    </w:p>
    <w:p w14:paraId="536F331B" w14:textId="2A888C0D" w:rsidR="009F5A5E" w:rsidRPr="007F5AA0" w:rsidRDefault="009B3141">
      <w:pPr>
        <w:spacing w:line="276" w:lineRule="auto"/>
        <w:rPr>
          <w:sz w:val="20"/>
          <w:szCs w:val="20"/>
        </w:rPr>
      </w:pPr>
      <w:r w:rsidRPr="007F5AA0">
        <w:rPr>
          <w:sz w:val="20"/>
          <w:szCs w:val="20"/>
        </w:rPr>
        <w:t>Z.Kaljo</w:t>
      </w:r>
    </w:p>
    <w:p w14:paraId="1E19C17E" w14:textId="257B1CE1" w:rsidR="009F5A5E" w:rsidRPr="007F5AA0" w:rsidRDefault="009F5A5E">
      <w:pPr>
        <w:spacing w:line="276" w:lineRule="auto"/>
        <w:rPr>
          <w:sz w:val="20"/>
          <w:szCs w:val="20"/>
        </w:rPr>
      </w:pPr>
      <w:r w:rsidRPr="007F5AA0">
        <w:rPr>
          <w:sz w:val="20"/>
          <w:szCs w:val="20"/>
        </w:rPr>
        <w:t>Tāl.</w:t>
      </w:r>
      <w:r w:rsidR="009B3141" w:rsidRPr="007F5AA0">
        <w:rPr>
          <w:sz w:val="20"/>
          <w:szCs w:val="20"/>
        </w:rPr>
        <w:t>67201653</w:t>
      </w:r>
      <w:r w:rsidR="00E477C2">
        <w:rPr>
          <w:sz w:val="20"/>
          <w:szCs w:val="20"/>
        </w:rPr>
        <w:t xml:space="preserve">, </w:t>
      </w:r>
      <w:hyperlink r:id="rId9" w:history="1">
        <w:r w:rsidR="009B3141" w:rsidRPr="007F5AA0">
          <w:rPr>
            <w:rStyle w:val="Hyperlink"/>
            <w:sz w:val="20"/>
            <w:szCs w:val="20"/>
          </w:rPr>
          <w:t>Zane.Kaljo@lm.gov.lv</w:t>
        </w:r>
      </w:hyperlink>
    </w:p>
    <w:p w14:paraId="1FDC0325" w14:textId="48A2D377" w:rsidR="009F5A5E" w:rsidRPr="007F5AA0" w:rsidRDefault="007F5AA0">
      <w:pPr>
        <w:spacing w:line="276" w:lineRule="auto"/>
        <w:rPr>
          <w:sz w:val="20"/>
          <w:szCs w:val="20"/>
        </w:rPr>
      </w:pPr>
      <w:r w:rsidRPr="007F5AA0">
        <w:rPr>
          <w:sz w:val="20"/>
          <w:szCs w:val="20"/>
        </w:rPr>
        <w:t>L.Grafa</w:t>
      </w:r>
    </w:p>
    <w:p w14:paraId="7C364285" w14:textId="177604A2" w:rsidR="007F5AA0" w:rsidRPr="007F5AA0" w:rsidRDefault="007F5AA0" w:rsidP="007F5AA0">
      <w:pPr>
        <w:spacing w:line="276" w:lineRule="auto"/>
        <w:rPr>
          <w:sz w:val="20"/>
          <w:szCs w:val="20"/>
        </w:rPr>
      </w:pPr>
      <w:proofErr w:type="spellStart"/>
      <w:r w:rsidRPr="007F5AA0">
        <w:rPr>
          <w:sz w:val="20"/>
          <w:szCs w:val="20"/>
        </w:rPr>
        <w:t>Tāl</w:t>
      </w:r>
      <w:proofErr w:type="spellEnd"/>
      <w:r w:rsidRPr="007F5AA0">
        <w:rPr>
          <w:sz w:val="20"/>
          <w:szCs w:val="20"/>
        </w:rPr>
        <w:t>. 67021679</w:t>
      </w:r>
      <w:r w:rsidR="00E477C2">
        <w:rPr>
          <w:sz w:val="20"/>
          <w:szCs w:val="20"/>
        </w:rPr>
        <w:t xml:space="preserve">, </w:t>
      </w:r>
      <w:hyperlink r:id="rId10" w:history="1">
        <w:r w:rsidRPr="009F577B">
          <w:rPr>
            <w:rStyle w:val="Hyperlink"/>
            <w:sz w:val="20"/>
            <w:szCs w:val="20"/>
          </w:rPr>
          <w:t>Lauma.Grafa@lm.gov.lv</w:t>
        </w:r>
      </w:hyperlink>
      <w:r>
        <w:rPr>
          <w:sz w:val="20"/>
          <w:szCs w:val="20"/>
        </w:rPr>
        <w:t xml:space="preserve"> </w:t>
      </w:r>
    </w:p>
    <w:sectPr w:rsidR="007F5AA0" w:rsidRPr="007F5AA0" w:rsidSect="00E0446C">
      <w:headerReference w:type="even" r:id="rId11"/>
      <w:headerReference w:type="default" r:id="rId12"/>
      <w:footerReference w:type="default" r:id="rId13"/>
      <w:footerReference w:type="first" r:id="rId14"/>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9DE3B" w14:textId="77777777" w:rsidR="00287190" w:rsidRDefault="00287190">
      <w:r>
        <w:separator/>
      </w:r>
    </w:p>
  </w:endnote>
  <w:endnote w:type="continuationSeparator" w:id="0">
    <w:p w14:paraId="18633C24" w14:textId="77777777" w:rsidR="00287190" w:rsidRDefault="0028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5B67" w14:textId="77777777" w:rsidR="000907B2" w:rsidRDefault="000907B2" w:rsidP="00B370AB">
    <w:pPr>
      <w:pStyle w:val="Footer"/>
      <w:jc w:val="both"/>
      <w:rPr>
        <w:sz w:val="20"/>
        <w:szCs w:val="20"/>
      </w:rPr>
    </w:pPr>
  </w:p>
  <w:p w14:paraId="68C697CE" w14:textId="3B5959C8" w:rsidR="000907B2" w:rsidRPr="00F96165" w:rsidRDefault="000907B2" w:rsidP="0041616F">
    <w:pPr>
      <w:pStyle w:val="Footer"/>
      <w:jc w:val="center"/>
    </w:pPr>
    <w:r>
      <w:rPr>
        <w:bCs/>
        <w:sz w:val="20"/>
        <w:szCs w:val="20"/>
        <w:lang w:eastAsia="ar-SA"/>
      </w:rPr>
      <w:fldChar w:fldCharType="begin"/>
    </w:r>
    <w:r>
      <w:rPr>
        <w:bCs/>
        <w:sz w:val="20"/>
        <w:szCs w:val="20"/>
        <w:lang w:eastAsia="ar-SA"/>
      </w:rPr>
      <w:instrText xml:space="preserve"> FILENAME \* MERGEFORMAT </w:instrText>
    </w:r>
    <w:r>
      <w:rPr>
        <w:bCs/>
        <w:sz w:val="20"/>
        <w:szCs w:val="20"/>
        <w:lang w:eastAsia="ar-SA"/>
      </w:rPr>
      <w:fldChar w:fldCharType="separate"/>
    </w:r>
    <w:r w:rsidR="00B52687">
      <w:rPr>
        <w:bCs/>
        <w:noProof/>
        <w:sz w:val="20"/>
        <w:szCs w:val="20"/>
        <w:lang w:eastAsia="ar-SA"/>
      </w:rPr>
      <w:t>LMAnot_</w:t>
    </w:r>
    <w:r w:rsidR="00E477C2">
      <w:rPr>
        <w:bCs/>
        <w:noProof/>
        <w:sz w:val="20"/>
        <w:szCs w:val="20"/>
        <w:lang w:eastAsia="ar-SA"/>
      </w:rPr>
      <w:t>121220</w:t>
    </w:r>
    <w:r w:rsidR="00B52687">
      <w:rPr>
        <w:bCs/>
        <w:noProof/>
        <w:sz w:val="20"/>
        <w:szCs w:val="20"/>
        <w:lang w:eastAsia="ar-SA"/>
      </w:rPr>
      <w:t>18_MKN727</w:t>
    </w:r>
    <w:r>
      <w:rPr>
        <w:bCs/>
        <w:sz w:val="20"/>
        <w:szCs w:val="20"/>
        <w:lang w:eastAsia="ar-SA"/>
      </w:rPr>
      <w:fldChar w:fldCharType="end"/>
    </w:r>
    <w:proofErr w:type="spellStart"/>
    <w:r w:rsidR="009C49BF">
      <w:rPr>
        <w:bCs/>
        <w:sz w:val="20"/>
        <w:szCs w:val="20"/>
        <w:lang w:eastAsia="ar-SA"/>
      </w:rPr>
      <w:t>groz</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62CB" w14:textId="01E03645" w:rsidR="000907B2" w:rsidRPr="0041616F" w:rsidRDefault="0041616F" w:rsidP="0041616F">
    <w:pPr>
      <w:pStyle w:val="Footer"/>
      <w:jc w:val="center"/>
    </w:pPr>
    <w:r>
      <w:rPr>
        <w:bCs/>
        <w:sz w:val="20"/>
        <w:szCs w:val="20"/>
        <w:lang w:eastAsia="ar-SA"/>
      </w:rPr>
      <w:fldChar w:fldCharType="begin"/>
    </w:r>
    <w:r>
      <w:rPr>
        <w:bCs/>
        <w:sz w:val="20"/>
        <w:szCs w:val="20"/>
        <w:lang w:eastAsia="ar-SA"/>
      </w:rPr>
      <w:instrText xml:space="preserve"> FILENAME \* MERGEFORMAT </w:instrText>
    </w:r>
    <w:r>
      <w:rPr>
        <w:bCs/>
        <w:sz w:val="20"/>
        <w:szCs w:val="20"/>
        <w:lang w:eastAsia="ar-SA"/>
      </w:rPr>
      <w:fldChar w:fldCharType="separate"/>
    </w:r>
    <w:r w:rsidR="00884674">
      <w:rPr>
        <w:bCs/>
        <w:noProof/>
        <w:sz w:val="20"/>
        <w:szCs w:val="20"/>
        <w:lang w:eastAsia="ar-SA"/>
      </w:rPr>
      <w:t>LMAnot_</w:t>
    </w:r>
    <w:r w:rsidR="009C49BF">
      <w:rPr>
        <w:bCs/>
        <w:noProof/>
        <w:sz w:val="20"/>
        <w:szCs w:val="20"/>
        <w:lang w:eastAsia="ar-SA"/>
      </w:rPr>
      <w:t>121220</w:t>
    </w:r>
    <w:r w:rsidR="00B52687">
      <w:rPr>
        <w:bCs/>
        <w:noProof/>
        <w:sz w:val="20"/>
        <w:szCs w:val="20"/>
        <w:lang w:eastAsia="ar-SA"/>
      </w:rPr>
      <w:t>18_MKN727</w:t>
    </w:r>
    <w:r>
      <w:rPr>
        <w:bCs/>
        <w:sz w:val="20"/>
        <w:szCs w:val="20"/>
        <w:lang w:eastAsia="ar-SA"/>
      </w:rPr>
      <w:fldChar w:fldCharType="end"/>
    </w:r>
    <w:proofErr w:type="spellStart"/>
    <w:r w:rsidR="009C49BF">
      <w:rPr>
        <w:bCs/>
        <w:sz w:val="20"/>
        <w:szCs w:val="20"/>
        <w:lang w:eastAsia="ar-SA"/>
      </w:rPr>
      <w:t>groz</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8251" w14:textId="77777777" w:rsidR="00287190" w:rsidRDefault="00287190">
      <w:r>
        <w:separator/>
      </w:r>
    </w:p>
  </w:footnote>
  <w:footnote w:type="continuationSeparator" w:id="0">
    <w:p w14:paraId="28A8B706" w14:textId="77777777" w:rsidR="00287190" w:rsidRDefault="00287190">
      <w:r>
        <w:continuationSeparator/>
      </w:r>
    </w:p>
  </w:footnote>
  <w:footnote w:id="1">
    <w:p w14:paraId="5B587DAE" w14:textId="084A6D09" w:rsidR="000907B2" w:rsidRDefault="000907B2" w:rsidP="00487B6F">
      <w:pPr>
        <w:pStyle w:val="FootnoteText"/>
      </w:pPr>
      <w:r>
        <w:rPr>
          <w:rStyle w:val="FootnoteReference"/>
        </w:rPr>
        <w:footnoteRef/>
      </w:r>
      <w:r>
        <w:t xml:space="preserve"> </w:t>
      </w:r>
      <w:r w:rsidRPr="00EA109D">
        <w:t>Pārskati par sociālajiem pakalpojumiem un sociālo palīdzību novada/republikas pilsētas pašvaldībā 201</w:t>
      </w:r>
      <w:r>
        <w:t>3. un 2017</w:t>
      </w:r>
      <w:r w:rsidRPr="00EA109D">
        <w:t xml:space="preserve">. gadā. </w:t>
      </w:r>
      <w:proofErr w:type="spellStart"/>
      <w:r w:rsidRPr="00EA109D">
        <w:t>Pieejams:</w:t>
      </w:r>
      <w:hyperlink r:id="rId1" w:history="1">
        <w:r w:rsidRPr="0037089E">
          <w:rPr>
            <w:rStyle w:val="Hyperlink"/>
          </w:rPr>
          <w:t>http</w:t>
        </w:r>
        <w:proofErr w:type="spellEnd"/>
        <w:r w:rsidRPr="0037089E">
          <w:rPr>
            <w:rStyle w:val="Hyperlink"/>
          </w:rPr>
          <w:t>://</w:t>
        </w:r>
        <w:proofErr w:type="spellStart"/>
        <w:r w:rsidRPr="0037089E">
          <w:rPr>
            <w:rStyle w:val="Hyperlink"/>
          </w:rPr>
          <w:t>www.lm.gov.lv</w:t>
        </w:r>
        <w:proofErr w:type="spellEnd"/>
        <w:r w:rsidRPr="0037089E">
          <w:rPr>
            <w:rStyle w:val="Hyperlink"/>
          </w:rPr>
          <w:t>/</w:t>
        </w:r>
        <w:proofErr w:type="spellStart"/>
        <w:r w:rsidRPr="0037089E">
          <w:rPr>
            <w:rStyle w:val="Hyperlink"/>
          </w:rPr>
          <w:t>text</w:t>
        </w:r>
        <w:proofErr w:type="spellEnd"/>
        <w:r w:rsidRPr="0037089E">
          <w:rPr>
            <w:rStyle w:val="Hyperlink"/>
          </w:rPr>
          <w:t>/1382</w:t>
        </w:r>
      </w:hyperlink>
      <w:r>
        <w:t xml:space="preserve"> </w:t>
      </w:r>
    </w:p>
  </w:footnote>
  <w:footnote w:id="2">
    <w:p w14:paraId="681BE91E" w14:textId="478826ED" w:rsidR="000907B2" w:rsidRDefault="000907B2">
      <w:pPr>
        <w:pStyle w:val="FootnoteText"/>
      </w:pPr>
      <w:r>
        <w:rPr>
          <w:rStyle w:val="FootnoteReference"/>
        </w:rPr>
        <w:footnoteRef/>
      </w:r>
      <w:r>
        <w:t xml:space="preserve"> </w:t>
      </w:r>
      <w:r w:rsidRPr="00E841A7">
        <w:t>Ministru kabineta 2010.</w:t>
      </w:r>
      <w:r>
        <w:t> </w:t>
      </w:r>
      <w:r w:rsidRPr="00E841A7">
        <w:t>gada 30.</w:t>
      </w:r>
      <w:r>
        <w:t> </w:t>
      </w:r>
      <w:r w:rsidRPr="00E841A7">
        <w:t>marta noteikumi Nr.299 “Noteikumi par ģimenes vai atsevišķi dzīvojošas personas atzīšanu par trūcīgu”</w:t>
      </w:r>
      <w:r>
        <w:t xml:space="preserve"> </w:t>
      </w:r>
      <w:r w:rsidRPr="00E841A7">
        <w:t>Pieejams:https://likumi.lv/ta/id/207462-noteikumi-par-gimenes-vai-atseviski-dzivojosas-personas-atzisanu-par-trucigu</w:t>
      </w:r>
    </w:p>
  </w:footnote>
  <w:footnote w:id="3">
    <w:p w14:paraId="199AC558" w14:textId="40DFFF20" w:rsidR="000907B2" w:rsidRDefault="000907B2">
      <w:pPr>
        <w:pStyle w:val="FootnoteText"/>
      </w:pPr>
      <w:r>
        <w:rPr>
          <w:rStyle w:val="FootnoteReference"/>
        </w:rPr>
        <w:footnoteRef/>
      </w:r>
      <w:r>
        <w:t xml:space="preserve"> </w:t>
      </w:r>
      <w:r w:rsidRPr="00E841A7">
        <w:t>Ministru kabineta 201</w:t>
      </w:r>
      <w:r>
        <w:t>4</w:t>
      </w:r>
      <w:r w:rsidRPr="00E841A7">
        <w:t>.</w:t>
      </w:r>
      <w:r>
        <w:t> </w:t>
      </w:r>
      <w:r w:rsidRPr="00E841A7">
        <w:t xml:space="preserve">gada </w:t>
      </w:r>
      <w:r>
        <w:t>25</w:t>
      </w:r>
      <w:r w:rsidRPr="00E841A7">
        <w:t>.</w:t>
      </w:r>
      <w:r>
        <w:t> novembra</w:t>
      </w:r>
      <w:r w:rsidRPr="00E841A7">
        <w:t xml:space="preserve"> noteikumi Nr.</w:t>
      </w:r>
      <w:r>
        <w:t>727</w:t>
      </w:r>
      <w:r w:rsidRPr="00E841A7">
        <w:t xml:space="preserve"> “</w:t>
      </w:r>
      <w:r w:rsidRPr="002B457B">
        <w:rPr>
          <w:bCs/>
        </w:rPr>
        <w:t>„Darbības programmas ”Pārtikas un pamata materiālās palīdzības sniegšana vistrūcīgākajām personām 2014.-2020. gada plānošanas periodā” īstenošanas noteikumi””</w:t>
      </w:r>
      <w:r>
        <w:rPr>
          <w:bCs/>
        </w:rPr>
        <w:t> </w:t>
      </w:r>
      <w:r w:rsidRPr="00E841A7">
        <w:t>Pieejams:</w:t>
      </w:r>
      <w:r w:rsidRPr="00197FE2">
        <w:t>https://likumi.lv/ta/id/270789-darbibas-programmas-partikas-un-pamata-materialas-palidzibas-sniegsana-vistrucigakajam-personam-2014-2020-gada-planosanas</w:t>
      </w:r>
    </w:p>
  </w:footnote>
  <w:footnote w:id="4">
    <w:p w14:paraId="1F20C2CA" w14:textId="72ED4340" w:rsidR="000907B2" w:rsidRDefault="000907B2" w:rsidP="00F01847">
      <w:pPr>
        <w:pStyle w:val="FootnoteText"/>
      </w:pPr>
      <w:r>
        <w:rPr>
          <w:rStyle w:val="FootnoteReference"/>
        </w:rPr>
        <w:footnoteRef/>
      </w:r>
      <w:r>
        <w:t xml:space="preserve"> </w:t>
      </w:r>
      <w:r w:rsidRPr="003942D5">
        <w:t>CSP</w:t>
      </w:r>
      <w:r w:rsidRPr="00365CAA">
        <w:t>,</w:t>
      </w:r>
      <w:r w:rsidRPr="003942D5">
        <w:t xml:space="preserve"> </w:t>
      </w:r>
      <w:r w:rsidRPr="00365CAA">
        <w:t>Nabadzības riskam Latvijā pakļauti 22,1 % iedzīvotāju.</w:t>
      </w:r>
      <w:r w:rsidRPr="003942D5">
        <w:t xml:space="preserve"> skatīts 25.10.2018.</w:t>
      </w:r>
      <w:r w:rsidRPr="000E4E15">
        <w:t xml:space="preserve"> Pieejams:</w:t>
      </w:r>
      <w:hyperlink r:id="rId2" w:history="1">
        <w:r w:rsidRPr="008634C1">
          <w:rPr>
            <w:rStyle w:val="Hyperlink"/>
          </w:rPr>
          <w:t>https://www.csb.gov.lv/lv/statistika/statistikas-temas/socialie-procesi/nabadziba/meklet-tema/2372-monetara-nabadziba-un-ienakumu-nevienlidziba</w:t>
        </w:r>
      </w:hyperlink>
    </w:p>
  </w:footnote>
  <w:footnote w:id="5">
    <w:p w14:paraId="31DD9F52" w14:textId="5F436A7B" w:rsidR="000907B2" w:rsidRDefault="000907B2" w:rsidP="00803015">
      <w:pPr>
        <w:pStyle w:val="FootnoteText"/>
      </w:pPr>
      <w:r>
        <w:rPr>
          <w:rStyle w:val="FootnoteReference"/>
        </w:rPr>
        <w:footnoteRef/>
      </w:r>
      <w:r>
        <w:t xml:space="preserve"> </w:t>
      </w:r>
      <w:r w:rsidRPr="00FB2BF6">
        <w:t>CSP datubāze</w:t>
      </w:r>
      <w:r>
        <w:t xml:space="preserve">, Monetārā nabadzība un ienākumu nevienlīdzība, </w:t>
      </w:r>
      <w:r w:rsidRPr="00FB2BF6">
        <w:t>Pieejams:</w:t>
      </w:r>
      <w:r w:rsidRPr="00E05AC3">
        <w:t xml:space="preserve"> </w:t>
      </w:r>
      <w:hyperlink r:id="rId3" w:history="1">
        <w:r w:rsidRPr="00696D5A">
          <w:rPr>
            <w:rStyle w:val="Hyperlink"/>
          </w:rPr>
          <w:t>http://data1.csb.gov.lv/pxweb/lv/sociala/sociala__nabadz_nevienl__monetara_nab/?tablelist=true&amp;rxid=a39c3f49-e95e-43e7-b4f0-dce111b48ba1</w:t>
        </w:r>
      </w:hyperlink>
    </w:p>
  </w:footnote>
  <w:footnote w:id="6">
    <w:p w14:paraId="553E6A13" w14:textId="77777777" w:rsidR="000907B2" w:rsidRDefault="000907B2" w:rsidP="003942D5">
      <w:pPr>
        <w:pStyle w:val="FootnoteText"/>
      </w:pPr>
      <w:r>
        <w:rPr>
          <w:rStyle w:val="FootnoteReference"/>
        </w:rPr>
        <w:footnoteRef/>
      </w:r>
      <w:r>
        <w:t xml:space="preserve"> Eurostat, </w:t>
      </w:r>
      <w:proofErr w:type="spellStart"/>
      <w:r w:rsidRPr="00365CAA">
        <w:rPr>
          <w:i/>
        </w:rPr>
        <w:t>Actual</w:t>
      </w:r>
      <w:proofErr w:type="spellEnd"/>
      <w:r w:rsidRPr="00365CAA">
        <w:rPr>
          <w:i/>
        </w:rPr>
        <w:t xml:space="preserve"> </w:t>
      </w:r>
      <w:proofErr w:type="spellStart"/>
      <w:r w:rsidRPr="00365CAA">
        <w:rPr>
          <w:i/>
        </w:rPr>
        <w:t>individual</w:t>
      </w:r>
      <w:proofErr w:type="spellEnd"/>
      <w:r w:rsidRPr="00365CAA">
        <w:rPr>
          <w:i/>
        </w:rPr>
        <w:t xml:space="preserve"> </w:t>
      </w:r>
      <w:proofErr w:type="spellStart"/>
      <w:r w:rsidRPr="00365CAA">
        <w:rPr>
          <w:i/>
        </w:rPr>
        <w:t>consumption</w:t>
      </w:r>
      <w:proofErr w:type="spellEnd"/>
      <w:r w:rsidRPr="003942D5">
        <w:rPr>
          <w:i/>
        </w:rPr>
        <w:t>,</w:t>
      </w:r>
      <w:r>
        <w:t xml:space="preserve"> Pieejams: </w:t>
      </w:r>
      <w:hyperlink r:id="rId4" w:history="1">
        <w:r w:rsidRPr="00696D5A">
          <w:rPr>
            <w:rStyle w:val="Hyperlink"/>
          </w:rPr>
          <w:t>https://ec.europa.eu/eurostat/statistics-explained/index.php?title=Glossary:Actual_individual_consumption_(AIC)</w:t>
        </w:r>
      </w:hyperlink>
      <w:r>
        <w:t xml:space="preserve"> un</w:t>
      </w:r>
    </w:p>
    <w:p w14:paraId="4FE7BFE4" w14:textId="5EC84BF6" w:rsidR="000907B2" w:rsidRDefault="00D77D3E" w:rsidP="003942D5">
      <w:pPr>
        <w:pStyle w:val="FootnoteText"/>
      </w:pPr>
      <w:hyperlink r:id="rId5" w:history="1">
        <w:r w:rsidR="000907B2" w:rsidRPr="00696D5A">
          <w:rPr>
            <w:rStyle w:val="Hyperlink"/>
          </w:rPr>
          <w:t>https://ec.europa.eu/eurostat/web/purchasing-power-parities/statistics-illustrated</w:t>
        </w:r>
      </w:hyperlink>
    </w:p>
  </w:footnote>
  <w:footnote w:id="7">
    <w:p w14:paraId="77AFF8A6" w14:textId="26BB3BEB" w:rsidR="000907B2" w:rsidRDefault="000907B2">
      <w:pPr>
        <w:pStyle w:val="FootnoteText"/>
      </w:pPr>
      <w:r>
        <w:rPr>
          <w:rStyle w:val="FootnoteReference"/>
        </w:rPr>
        <w:footnoteRef/>
      </w:r>
      <w:r>
        <w:t xml:space="preserve"> Eurostat, </w:t>
      </w:r>
      <w:proofErr w:type="spellStart"/>
      <w:r w:rsidRPr="00FF06AF">
        <w:rPr>
          <w:i/>
        </w:rPr>
        <w:t>European</w:t>
      </w:r>
      <w:proofErr w:type="spellEnd"/>
      <w:r w:rsidRPr="00FF06AF">
        <w:rPr>
          <w:i/>
        </w:rPr>
        <w:t xml:space="preserve"> </w:t>
      </w:r>
      <w:proofErr w:type="spellStart"/>
      <w:r w:rsidRPr="00FF06AF">
        <w:rPr>
          <w:i/>
        </w:rPr>
        <w:t>Union</w:t>
      </w:r>
      <w:proofErr w:type="spellEnd"/>
      <w:r w:rsidRPr="00FF06AF">
        <w:rPr>
          <w:i/>
        </w:rPr>
        <w:t xml:space="preserve"> </w:t>
      </w:r>
      <w:proofErr w:type="spellStart"/>
      <w:r w:rsidRPr="00FF06AF">
        <w:rPr>
          <w:i/>
        </w:rPr>
        <w:t>Statistics</w:t>
      </w:r>
      <w:proofErr w:type="spellEnd"/>
      <w:r w:rsidRPr="00FF06AF">
        <w:rPr>
          <w:i/>
        </w:rPr>
        <w:t xml:space="preserve"> </w:t>
      </w:r>
      <w:proofErr w:type="spellStart"/>
      <w:r w:rsidRPr="00FF06AF">
        <w:rPr>
          <w:i/>
        </w:rPr>
        <w:t>on</w:t>
      </w:r>
      <w:proofErr w:type="spellEnd"/>
      <w:r w:rsidRPr="00FF06AF">
        <w:rPr>
          <w:i/>
        </w:rPr>
        <w:t xml:space="preserve"> </w:t>
      </w:r>
      <w:proofErr w:type="spellStart"/>
      <w:r w:rsidRPr="00FF06AF">
        <w:rPr>
          <w:i/>
        </w:rPr>
        <w:t>Income</w:t>
      </w:r>
      <w:proofErr w:type="spellEnd"/>
      <w:r w:rsidRPr="00FF06AF">
        <w:rPr>
          <w:i/>
        </w:rPr>
        <w:t xml:space="preserve"> </w:t>
      </w:r>
      <w:proofErr w:type="spellStart"/>
      <w:r w:rsidRPr="00FF06AF">
        <w:rPr>
          <w:i/>
        </w:rPr>
        <w:t>and</w:t>
      </w:r>
      <w:proofErr w:type="spellEnd"/>
      <w:r w:rsidRPr="00FF06AF">
        <w:rPr>
          <w:i/>
        </w:rPr>
        <w:t xml:space="preserve"> </w:t>
      </w:r>
      <w:proofErr w:type="spellStart"/>
      <w:r w:rsidRPr="00FF06AF">
        <w:rPr>
          <w:i/>
        </w:rPr>
        <w:t>Living</w:t>
      </w:r>
      <w:proofErr w:type="spellEnd"/>
      <w:r w:rsidRPr="00FF06AF">
        <w:rPr>
          <w:i/>
        </w:rPr>
        <w:t xml:space="preserve"> </w:t>
      </w:r>
      <w:proofErr w:type="spellStart"/>
      <w:r w:rsidRPr="00FF06AF">
        <w:rPr>
          <w:i/>
        </w:rPr>
        <w:t>Conditions</w:t>
      </w:r>
      <w:proofErr w:type="spellEnd"/>
      <w:r>
        <w:t>, Pieejams:</w:t>
      </w:r>
      <w:r w:rsidRPr="00494D7F">
        <w:t xml:space="preserve"> </w:t>
      </w:r>
      <w:hyperlink r:id="rId6" w:history="1">
        <w:r w:rsidRPr="00696D5A">
          <w:rPr>
            <w:rStyle w:val="Hyperlink"/>
          </w:rPr>
          <w:t>https://ec.europa.eu/eurostat/web/microdata/european-union-statistics-on-income-and-living-conditions</w:t>
        </w:r>
      </w:hyperlink>
    </w:p>
    <w:p w14:paraId="76057CF6" w14:textId="77777777" w:rsidR="000907B2" w:rsidRDefault="000907B2">
      <w:pPr>
        <w:pStyle w:val="FootnoteText"/>
      </w:pPr>
    </w:p>
  </w:footnote>
  <w:footnote w:id="8">
    <w:p w14:paraId="242C2FF5" w14:textId="77777777" w:rsidR="00947FCE" w:rsidRPr="00A826BF" w:rsidRDefault="00947FCE" w:rsidP="004B6541">
      <w:pPr>
        <w:pStyle w:val="FootnoteText"/>
      </w:pPr>
      <w:r w:rsidRPr="00A826BF">
        <w:rPr>
          <w:rStyle w:val="FootnoteReference"/>
        </w:rPr>
        <w:footnoteRef/>
      </w:r>
      <w:r w:rsidRPr="00A826BF">
        <w:t xml:space="preserve"> 1994. gada 19. maija likums “Par pašvaldībām” 15. panta 7) punkts</w:t>
      </w:r>
    </w:p>
  </w:footnote>
  <w:footnote w:id="9">
    <w:p w14:paraId="4E3880A0" w14:textId="77777777" w:rsidR="00947FCE" w:rsidRPr="00A826BF" w:rsidRDefault="00947FCE" w:rsidP="000E4E15">
      <w:pPr>
        <w:pStyle w:val="FootnoteText"/>
        <w:ind w:left="142" w:hanging="142"/>
      </w:pPr>
      <w:r w:rsidRPr="00A826BF">
        <w:rPr>
          <w:rStyle w:val="FootnoteReference"/>
        </w:rPr>
        <w:footnoteRef/>
      </w:r>
      <w:r w:rsidRPr="00A826BF">
        <w:t>Ministru kabineta 2010. gada 30. marta noteikumi Nr.299 “Noteikumi par ģimenes vai atsevišķi dzīvojošas personas atzīšanu par trūcīgu” Pieejams:https://likumi.lv/ta/id/207462-noteikumi-par-gimenes-vai-atseviski-dzivojosas-personas-atzisanu-par-trucigu</w:t>
      </w:r>
    </w:p>
  </w:footnote>
  <w:footnote w:id="10">
    <w:p w14:paraId="0F47DBD7" w14:textId="77777777" w:rsidR="00401BFE" w:rsidRDefault="00401BFE" w:rsidP="009D39BD">
      <w:pPr>
        <w:pStyle w:val="FootnoteText"/>
      </w:pPr>
      <w:r>
        <w:rPr>
          <w:rStyle w:val="FootnoteReference"/>
        </w:rPr>
        <w:footnoteRef/>
      </w:r>
      <w:r>
        <w:t xml:space="preserve"> </w:t>
      </w:r>
      <w:r w:rsidRPr="00EA109D">
        <w:t>Pārskati par sociālajiem pakalpojumiem un sociālo palīdzību novada/republikas pilsētas pašvaldībā 201</w:t>
      </w:r>
      <w:r>
        <w:t xml:space="preserve">5., </w:t>
      </w:r>
    </w:p>
    <w:p w14:paraId="52C98692" w14:textId="77777777" w:rsidR="00401BFE" w:rsidRDefault="00401BFE" w:rsidP="009D39BD">
      <w:pPr>
        <w:pStyle w:val="FootnoteText"/>
      </w:pPr>
      <w:r>
        <w:t xml:space="preserve"> 2016</w:t>
      </w:r>
      <w:r w:rsidRPr="00EA109D">
        <w:t xml:space="preserve">. </w:t>
      </w:r>
      <w:r>
        <w:t xml:space="preserve">un </w:t>
      </w:r>
      <w:proofErr w:type="gramStart"/>
      <w:r>
        <w:t>2017.</w:t>
      </w:r>
      <w:r w:rsidRPr="00EA109D">
        <w:t>gadā</w:t>
      </w:r>
      <w:proofErr w:type="gramEnd"/>
      <w:r w:rsidRPr="00EA109D">
        <w:t xml:space="preserve">. Pieejams: </w:t>
      </w:r>
      <w:hyperlink r:id="rId7" w:history="1">
        <w:r w:rsidRPr="006B1525">
          <w:rPr>
            <w:rStyle w:val="Hyperlink"/>
          </w:rPr>
          <w:t>http://www.lm.gov.lv/text/2715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2AC7" w14:textId="77777777" w:rsidR="000907B2" w:rsidRDefault="000907B2"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46C">
      <w:rPr>
        <w:rStyle w:val="PageNumber"/>
        <w:noProof/>
      </w:rPr>
      <w:t>2</w:t>
    </w:r>
    <w:r>
      <w:rPr>
        <w:rStyle w:val="PageNumber"/>
      </w:rPr>
      <w:fldChar w:fldCharType="end"/>
    </w:r>
  </w:p>
  <w:p w14:paraId="022EF7F4" w14:textId="77777777" w:rsidR="000907B2" w:rsidRDefault="00090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CF3F" w14:textId="77777777" w:rsidR="000907B2" w:rsidRDefault="000907B2"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D3E">
      <w:rPr>
        <w:rStyle w:val="PageNumber"/>
        <w:noProof/>
      </w:rPr>
      <w:t>11</w:t>
    </w:r>
    <w:r>
      <w:rPr>
        <w:rStyle w:val="PageNumber"/>
      </w:rPr>
      <w:fldChar w:fldCharType="end"/>
    </w:r>
  </w:p>
  <w:p w14:paraId="193593D5" w14:textId="77777777" w:rsidR="000907B2" w:rsidRDefault="00090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28"/>
    <w:multiLevelType w:val="hybridMultilevel"/>
    <w:tmpl w:val="A3BE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942FAC"/>
    <w:multiLevelType w:val="hybridMultilevel"/>
    <w:tmpl w:val="0D3895A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3656F96"/>
    <w:multiLevelType w:val="hybridMultilevel"/>
    <w:tmpl w:val="92AC6C0E"/>
    <w:lvl w:ilvl="0" w:tplc="04260001">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 w15:restartNumberingAfterBreak="0">
    <w:nsid w:val="03DB0669"/>
    <w:multiLevelType w:val="hybridMultilevel"/>
    <w:tmpl w:val="5CE886EC"/>
    <w:lvl w:ilvl="0" w:tplc="A18CE2D4">
      <w:start w:val="1"/>
      <w:numFmt w:val="decimal"/>
      <w:lvlText w:val="%1."/>
      <w:lvlJc w:val="left"/>
      <w:pPr>
        <w:ind w:left="927" w:hanging="360"/>
      </w:pPr>
      <w:rPr>
        <w:rFonts w:ascii="Times New Roman" w:hAnsi="Times New Roman" w:cs="Times New Roman"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4793C9F"/>
    <w:multiLevelType w:val="multilevel"/>
    <w:tmpl w:val="B3E4B470"/>
    <w:lvl w:ilvl="0">
      <w:start w:val="1"/>
      <w:numFmt w:val="decimal"/>
      <w:lvlText w:val="%1."/>
      <w:lvlJc w:val="left"/>
      <w:pPr>
        <w:ind w:left="501" w:hanging="360"/>
      </w:pPr>
      <w:rPr>
        <w:rFonts w:ascii="Times New Roman" w:hAnsi="Times New Roman" w:cs="Times New Roman" w:hint="default"/>
        <w:sz w:val="24"/>
        <w:szCs w:val="24"/>
      </w:r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5" w15:restartNumberingAfterBreak="0">
    <w:nsid w:val="04FC7635"/>
    <w:multiLevelType w:val="hybridMultilevel"/>
    <w:tmpl w:val="99664AC6"/>
    <w:lvl w:ilvl="0" w:tplc="EA92876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51C454C"/>
    <w:multiLevelType w:val="hybridMultilevel"/>
    <w:tmpl w:val="2E0CE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645A4C"/>
    <w:multiLevelType w:val="hybridMultilevel"/>
    <w:tmpl w:val="AD46FDEA"/>
    <w:lvl w:ilvl="0" w:tplc="C5807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9390F70"/>
    <w:multiLevelType w:val="hybridMultilevel"/>
    <w:tmpl w:val="F11E97E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0A3B37B1"/>
    <w:multiLevelType w:val="hybridMultilevel"/>
    <w:tmpl w:val="889EAA2A"/>
    <w:lvl w:ilvl="0" w:tplc="BC161BB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E34768"/>
    <w:multiLevelType w:val="hybridMultilevel"/>
    <w:tmpl w:val="38160DB4"/>
    <w:lvl w:ilvl="0" w:tplc="3B16165C">
      <w:numFmt w:val="bullet"/>
      <w:lvlText w:val="-"/>
      <w:lvlJc w:val="left"/>
      <w:pPr>
        <w:ind w:left="331" w:hanging="360"/>
      </w:pPr>
      <w:rPr>
        <w:rFonts w:ascii="Times New Roman" w:eastAsia="Times New Roman" w:hAnsi="Times New Roman" w:cs="Times New Roman" w:hint="default"/>
      </w:rPr>
    </w:lvl>
    <w:lvl w:ilvl="1" w:tplc="04260003" w:tentative="1">
      <w:start w:val="1"/>
      <w:numFmt w:val="bullet"/>
      <w:lvlText w:val="o"/>
      <w:lvlJc w:val="left"/>
      <w:pPr>
        <w:ind w:left="1051" w:hanging="360"/>
      </w:pPr>
      <w:rPr>
        <w:rFonts w:ascii="Courier New" w:hAnsi="Courier New" w:cs="Courier New" w:hint="default"/>
      </w:rPr>
    </w:lvl>
    <w:lvl w:ilvl="2" w:tplc="04260005" w:tentative="1">
      <w:start w:val="1"/>
      <w:numFmt w:val="bullet"/>
      <w:lvlText w:val=""/>
      <w:lvlJc w:val="left"/>
      <w:pPr>
        <w:ind w:left="1771" w:hanging="360"/>
      </w:pPr>
      <w:rPr>
        <w:rFonts w:ascii="Wingdings" w:hAnsi="Wingdings" w:hint="default"/>
      </w:rPr>
    </w:lvl>
    <w:lvl w:ilvl="3" w:tplc="04260001" w:tentative="1">
      <w:start w:val="1"/>
      <w:numFmt w:val="bullet"/>
      <w:lvlText w:val=""/>
      <w:lvlJc w:val="left"/>
      <w:pPr>
        <w:ind w:left="2491" w:hanging="360"/>
      </w:pPr>
      <w:rPr>
        <w:rFonts w:ascii="Symbol" w:hAnsi="Symbol" w:hint="default"/>
      </w:rPr>
    </w:lvl>
    <w:lvl w:ilvl="4" w:tplc="04260003" w:tentative="1">
      <w:start w:val="1"/>
      <w:numFmt w:val="bullet"/>
      <w:lvlText w:val="o"/>
      <w:lvlJc w:val="left"/>
      <w:pPr>
        <w:ind w:left="3211" w:hanging="360"/>
      </w:pPr>
      <w:rPr>
        <w:rFonts w:ascii="Courier New" w:hAnsi="Courier New" w:cs="Courier New" w:hint="default"/>
      </w:rPr>
    </w:lvl>
    <w:lvl w:ilvl="5" w:tplc="04260005" w:tentative="1">
      <w:start w:val="1"/>
      <w:numFmt w:val="bullet"/>
      <w:lvlText w:val=""/>
      <w:lvlJc w:val="left"/>
      <w:pPr>
        <w:ind w:left="3931" w:hanging="360"/>
      </w:pPr>
      <w:rPr>
        <w:rFonts w:ascii="Wingdings" w:hAnsi="Wingdings" w:hint="default"/>
      </w:rPr>
    </w:lvl>
    <w:lvl w:ilvl="6" w:tplc="04260001" w:tentative="1">
      <w:start w:val="1"/>
      <w:numFmt w:val="bullet"/>
      <w:lvlText w:val=""/>
      <w:lvlJc w:val="left"/>
      <w:pPr>
        <w:ind w:left="4651" w:hanging="360"/>
      </w:pPr>
      <w:rPr>
        <w:rFonts w:ascii="Symbol" w:hAnsi="Symbol" w:hint="default"/>
      </w:rPr>
    </w:lvl>
    <w:lvl w:ilvl="7" w:tplc="04260003" w:tentative="1">
      <w:start w:val="1"/>
      <w:numFmt w:val="bullet"/>
      <w:lvlText w:val="o"/>
      <w:lvlJc w:val="left"/>
      <w:pPr>
        <w:ind w:left="5371" w:hanging="360"/>
      </w:pPr>
      <w:rPr>
        <w:rFonts w:ascii="Courier New" w:hAnsi="Courier New" w:cs="Courier New" w:hint="default"/>
      </w:rPr>
    </w:lvl>
    <w:lvl w:ilvl="8" w:tplc="04260005" w:tentative="1">
      <w:start w:val="1"/>
      <w:numFmt w:val="bullet"/>
      <w:lvlText w:val=""/>
      <w:lvlJc w:val="left"/>
      <w:pPr>
        <w:ind w:left="6091" w:hanging="360"/>
      </w:pPr>
      <w:rPr>
        <w:rFonts w:ascii="Wingdings" w:hAnsi="Wingdings" w:hint="default"/>
      </w:rPr>
    </w:lvl>
  </w:abstractNum>
  <w:abstractNum w:abstractNumId="11" w15:restartNumberingAfterBreak="0">
    <w:nsid w:val="0EBD262C"/>
    <w:multiLevelType w:val="hybridMultilevel"/>
    <w:tmpl w:val="D124DFD2"/>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0558D5"/>
    <w:multiLevelType w:val="hybridMultilevel"/>
    <w:tmpl w:val="6AF6BBF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18D029BD"/>
    <w:multiLevelType w:val="hybridMultilevel"/>
    <w:tmpl w:val="510CBCBA"/>
    <w:lvl w:ilvl="0" w:tplc="C4CC5436">
      <w:start w:val="1"/>
      <w:numFmt w:val="decimal"/>
      <w:lvlText w:val="(%1)"/>
      <w:lvlJc w:val="left"/>
      <w:pPr>
        <w:ind w:left="6031"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19E21C18"/>
    <w:multiLevelType w:val="multilevel"/>
    <w:tmpl w:val="F76A1DF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B07409"/>
    <w:multiLevelType w:val="multilevel"/>
    <w:tmpl w:val="B3E4B47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7C56BC"/>
    <w:multiLevelType w:val="hybridMultilevel"/>
    <w:tmpl w:val="456A503E"/>
    <w:lvl w:ilvl="0" w:tplc="192C06F6">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20A098A"/>
    <w:multiLevelType w:val="hybridMultilevel"/>
    <w:tmpl w:val="83722C34"/>
    <w:lvl w:ilvl="0" w:tplc="0426000F">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18" w15:restartNumberingAfterBreak="0">
    <w:nsid w:val="2ECA2759"/>
    <w:multiLevelType w:val="multilevel"/>
    <w:tmpl w:val="F2E87316"/>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666" w:hanging="720"/>
      </w:pPr>
      <w:rPr>
        <w:rFonts w:hint="default"/>
        <w:b/>
      </w:rPr>
    </w:lvl>
    <w:lvl w:ilvl="3">
      <w:start w:val="1"/>
      <w:numFmt w:val="decimal"/>
      <w:lvlText w:val="%1.%2.%3.%4."/>
      <w:lvlJc w:val="left"/>
      <w:pPr>
        <w:ind w:left="2139" w:hanging="720"/>
      </w:pPr>
      <w:rPr>
        <w:rFonts w:hint="default"/>
        <w:b/>
      </w:rPr>
    </w:lvl>
    <w:lvl w:ilvl="4">
      <w:start w:val="1"/>
      <w:numFmt w:val="decimal"/>
      <w:lvlText w:val="%1.%2.%3.%4.%5."/>
      <w:lvlJc w:val="left"/>
      <w:pPr>
        <w:ind w:left="2972" w:hanging="1080"/>
      </w:pPr>
      <w:rPr>
        <w:rFonts w:hint="default"/>
        <w:b/>
      </w:rPr>
    </w:lvl>
    <w:lvl w:ilvl="5">
      <w:start w:val="1"/>
      <w:numFmt w:val="decimal"/>
      <w:lvlText w:val="%1.%2.%3.%4.%5.%6."/>
      <w:lvlJc w:val="left"/>
      <w:pPr>
        <w:ind w:left="3445" w:hanging="1080"/>
      </w:pPr>
      <w:rPr>
        <w:rFonts w:hint="default"/>
        <w:b/>
      </w:rPr>
    </w:lvl>
    <w:lvl w:ilvl="6">
      <w:start w:val="1"/>
      <w:numFmt w:val="decimal"/>
      <w:lvlText w:val="%1.%2.%3.%4.%5.%6.%7."/>
      <w:lvlJc w:val="left"/>
      <w:pPr>
        <w:ind w:left="4278" w:hanging="1440"/>
      </w:pPr>
      <w:rPr>
        <w:rFonts w:hint="default"/>
        <w:b/>
      </w:rPr>
    </w:lvl>
    <w:lvl w:ilvl="7">
      <w:start w:val="1"/>
      <w:numFmt w:val="decimal"/>
      <w:lvlText w:val="%1.%2.%3.%4.%5.%6.%7.%8."/>
      <w:lvlJc w:val="left"/>
      <w:pPr>
        <w:ind w:left="4751" w:hanging="1440"/>
      </w:pPr>
      <w:rPr>
        <w:rFonts w:hint="default"/>
        <w:b/>
      </w:rPr>
    </w:lvl>
    <w:lvl w:ilvl="8">
      <w:start w:val="1"/>
      <w:numFmt w:val="decimal"/>
      <w:lvlText w:val="%1.%2.%3.%4.%5.%6.%7.%8.%9."/>
      <w:lvlJc w:val="left"/>
      <w:pPr>
        <w:ind w:left="5584" w:hanging="1800"/>
      </w:pPr>
      <w:rPr>
        <w:rFonts w:hint="default"/>
        <w:b/>
      </w:rPr>
    </w:lvl>
  </w:abstractNum>
  <w:abstractNum w:abstractNumId="19" w15:restartNumberingAfterBreak="0">
    <w:nsid w:val="300E3FBB"/>
    <w:multiLevelType w:val="hybridMultilevel"/>
    <w:tmpl w:val="C218C6E4"/>
    <w:lvl w:ilvl="0" w:tplc="9BCE999E">
      <w:start w:val="1"/>
      <w:numFmt w:val="bullet"/>
      <w:lvlText w:val="-"/>
      <w:lvlJc w:val="left"/>
      <w:pPr>
        <w:ind w:left="720" w:hanging="360"/>
      </w:pPr>
      <w:rPr>
        <w:rFonts w:ascii="Times New Roman" w:eastAsia="Times New Roman"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5860A5"/>
    <w:multiLevelType w:val="multilevel"/>
    <w:tmpl w:val="BE88D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F12D03"/>
    <w:multiLevelType w:val="hybridMultilevel"/>
    <w:tmpl w:val="163C45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C67EC3"/>
    <w:multiLevelType w:val="hybridMultilevel"/>
    <w:tmpl w:val="2DE2BFB6"/>
    <w:lvl w:ilvl="0" w:tplc="B2CE168A">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84C07CF"/>
    <w:multiLevelType w:val="multilevel"/>
    <w:tmpl w:val="6EBA7692"/>
    <w:lvl w:ilvl="0">
      <w:start w:val="1"/>
      <w:numFmt w:val="decimal"/>
      <w:lvlText w:val="%1."/>
      <w:lvlJc w:val="left"/>
      <w:pPr>
        <w:ind w:left="502" w:hanging="360"/>
      </w:pPr>
      <w:rPr>
        <w:b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15:restartNumberingAfterBreak="0">
    <w:nsid w:val="3938650B"/>
    <w:multiLevelType w:val="hybridMultilevel"/>
    <w:tmpl w:val="D40AF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9B936FD"/>
    <w:multiLevelType w:val="hybridMultilevel"/>
    <w:tmpl w:val="741E2386"/>
    <w:lvl w:ilvl="0" w:tplc="05D6455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B42849"/>
    <w:multiLevelType w:val="hybridMultilevel"/>
    <w:tmpl w:val="9FC4D39C"/>
    <w:lvl w:ilvl="0" w:tplc="BCAED85A">
      <w:start w:val="1"/>
      <w:numFmt w:val="bullet"/>
      <w:lvlText w:val=""/>
      <w:lvlJc w:val="left"/>
      <w:pPr>
        <w:ind w:left="360" w:hanging="360"/>
      </w:pPr>
      <w:rPr>
        <w:rFonts w:ascii="Symbol" w:hAnsi="Symbol"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09729D7"/>
    <w:multiLevelType w:val="hybridMultilevel"/>
    <w:tmpl w:val="45880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10B7E41"/>
    <w:multiLevelType w:val="hybridMultilevel"/>
    <w:tmpl w:val="9828A5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45051BFB"/>
    <w:multiLevelType w:val="hybridMultilevel"/>
    <w:tmpl w:val="0D888E94"/>
    <w:lvl w:ilvl="0" w:tplc="70E44B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E47CBF"/>
    <w:multiLevelType w:val="multilevel"/>
    <w:tmpl w:val="970AD6BE"/>
    <w:lvl w:ilvl="0">
      <w:start w:val="7"/>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6C6F42"/>
    <w:multiLevelType w:val="hybridMultilevel"/>
    <w:tmpl w:val="09C291A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15:restartNumberingAfterBreak="0">
    <w:nsid w:val="4F8D2AF5"/>
    <w:multiLevelType w:val="hybridMultilevel"/>
    <w:tmpl w:val="6B4A9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147FFB"/>
    <w:multiLevelType w:val="hybridMultilevel"/>
    <w:tmpl w:val="DA0EDE70"/>
    <w:lvl w:ilvl="0" w:tplc="BA5AB46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4D3801"/>
    <w:multiLevelType w:val="hybridMultilevel"/>
    <w:tmpl w:val="08643CE8"/>
    <w:lvl w:ilvl="0" w:tplc="1992396A">
      <w:numFmt w:val="bullet"/>
      <w:lvlText w:val="-"/>
      <w:lvlJc w:val="left"/>
      <w:pPr>
        <w:ind w:left="331" w:hanging="360"/>
      </w:pPr>
      <w:rPr>
        <w:rFonts w:ascii="Times New Roman" w:eastAsia="Times New Roman" w:hAnsi="Times New Roman" w:cs="Times New Roman" w:hint="default"/>
        <w:i w:val="0"/>
      </w:rPr>
    </w:lvl>
    <w:lvl w:ilvl="1" w:tplc="04260003" w:tentative="1">
      <w:start w:val="1"/>
      <w:numFmt w:val="bullet"/>
      <w:lvlText w:val="o"/>
      <w:lvlJc w:val="left"/>
      <w:pPr>
        <w:ind w:left="1051" w:hanging="360"/>
      </w:pPr>
      <w:rPr>
        <w:rFonts w:ascii="Courier New" w:hAnsi="Courier New" w:cs="Courier New" w:hint="default"/>
      </w:rPr>
    </w:lvl>
    <w:lvl w:ilvl="2" w:tplc="04260005" w:tentative="1">
      <w:start w:val="1"/>
      <w:numFmt w:val="bullet"/>
      <w:lvlText w:val=""/>
      <w:lvlJc w:val="left"/>
      <w:pPr>
        <w:ind w:left="1771" w:hanging="360"/>
      </w:pPr>
      <w:rPr>
        <w:rFonts w:ascii="Wingdings" w:hAnsi="Wingdings" w:hint="default"/>
      </w:rPr>
    </w:lvl>
    <w:lvl w:ilvl="3" w:tplc="04260001" w:tentative="1">
      <w:start w:val="1"/>
      <w:numFmt w:val="bullet"/>
      <w:lvlText w:val=""/>
      <w:lvlJc w:val="left"/>
      <w:pPr>
        <w:ind w:left="2491" w:hanging="360"/>
      </w:pPr>
      <w:rPr>
        <w:rFonts w:ascii="Symbol" w:hAnsi="Symbol" w:hint="default"/>
      </w:rPr>
    </w:lvl>
    <w:lvl w:ilvl="4" w:tplc="04260003" w:tentative="1">
      <w:start w:val="1"/>
      <w:numFmt w:val="bullet"/>
      <w:lvlText w:val="o"/>
      <w:lvlJc w:val="left"/>
      <w:pPr>
        <w:ind w:left="3211" w:hanging="360"/>
      </w:pPr>
      <w:rPr>
        <w:rFonts w:ascii="Courier New" w:hAnsi="Courier New" w:cs="Courier New" w:hint="default"/>
      </w:rPr>
    </w:lvl>
    <w:lvl w:ilvl="5" w:tplc="04260005" w:tentative="1">
      <w:start w:val="1"/>
      <w:numFmt w:val="bullet"/>
      <w:lvlText w:val=""/>
      <w:lvlJc w:val="left"/>
      <w:pPr>
        <w:ind w:left="3931" w:hanging="360"/>
      </w:pPr>
      <w:rPr>
        <w:rFonts w:ascii="Wingdings" w:hAnsi="Wingdings" w:hint="default"/>
      </w:rPr>
    </w:lvl>
    <w:lvl w:ilvl="6" w:tplc="04260001" w:tentative="1">
      <w:start w:val="1"/>
      <w:numFmt w:val="bullet"/>
      <w:lvlText w:val=""/>
      <w:lvlJc w:val="left"/>
      <w:pPr>
        <w:ind w:left="4651" w:hanging="360"/>
      </w:pPr>
      <w:rPr>
        <w:rFonts w:ascii="Symbol" w:hAnsi="Symbol" w:hint="default"/>
      </w:rPr>
    </w:lvl>
    <w:lvl w:ilvl="7" w:tplc="04260003" w:tentative="1">
      <w:start w:val="1"/>
      <w:numFmt w:val="bullet"/>
      <w:lvlText w:val="o"/>
      <w:lvlJc w:val="left"/>
      <w:pPr>
        <w:ind w:left="5371" w:hanging="360"/>
      </w:pPr>
      <w:rPr>
        <w:rFonts w:ascii="Courier New" w:hAnsi="Courier New" w:cs="Courier New" w:hint="default"/>
      </w:rPr>
    </w:lvl>
    <w:lvl w:ilvl="8" w:tplc="04260005" w:tentative="1">
      <w:start w:val="1"/>
      <w:numFmt w:val="bullet"/>
      <w:lvlText w:val=""/>
      <w:lvlJc w:val="left"/>
      <w:pPr>
        <w:ind w:left="6091" w:hanging="360"/>
      </w:pPr>
      <w:rPr>
        <w:rFonts w:ascii="Wingdings" w:hAnsi="Wingdings" w:hint="default"/>
      </w:rPr>
    </w:lvl>
  </w:abstractNum>
  <w:abstractNum w:abstractNumId="35" w15:restartNumberingAfterBreak="0">
    <w:nsid w:val="5EDE31A3"/>
    <w:multiLevelType w:val="multilevel"/>
    <w:tmpl w:val="0000450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834" w:hanging="720"/>
      </w:pPr>
    </w:lvl>
    <w:lvl w:ilvl="3">
      <w:start w:val="1"/>
      <w:numFmt w:val="decimal"/>
      <w:lvlText w:val="%1.%2.%3.%4."/>
      <w:lvlJc w:val="left"/>
      <w:pPr>
        <w:ind w:left="891" w:hanging="720"/>
      </w:pPr>
    </w:lvl>
    <w:lvl w:ilvl="4">
      <w:start w:val="1"/>
      <w:numFmt w:val="decimal"/>
      <w:lvlText w:val="%1.%2.%3.%4.%5."/>
      <w:lvlJc w:val="left"/>
      <w:pPr>
        <w:ind w:left="1308" w:hanging="1080"/>
      </w:pPr>
    </w:lvl>
    <w:lvl w:ilvl="5">
      <w:start w:val="1"/>
      <w:numFmt w:val="decimal"/>
      <w:lvlText w:val="%1.%2.%3.%4.%5.%6."/>
      <w:lvlJc w:val="left"/>
      <w:pPr>
        <w:ind w:left="1365" w:hanging="1080"/>
      </w:pPr>
    </w:lvl>
    <w:lvl w:ilvl="6">
      <w:start w:val="1"/>
      <w:numFmt w:val="decimal"/>
      <w:lvlText w:val="%1.%2.%3.%4.%5.%6.%7."/>
      <w:lvlJc w:val="left"/>
      <w:pPr>
        <w:ind w:left="1782" w:hanging="1440"/>
      </w:pPr>
    </w:lvl>
    <w:lvl w:ilvl="7">
      <w:start w:val="1"/>
      <w:numFmt w:val="decimal"/>
      <w:lvlText w:val="%1.%2.%3.%4.%5.%6.%7.%8."/>
      <w:lvlJc w:val="left"/>
      <w:pPr>
        <w:ind w:left="1839" w:hanging="1440"/>
      </w:pPr>
    </w:lvl>
    <w:lvl w:ilvl="8">
      <w:start w:val="1"/>
      <w:numFmt w:val="decimal"/>
      <w:lvlText w:val="%1.%2.%3.%4.%5.%6.%7.%8.%9."/>
      <w:lvlJc w:val="left"/>
      <w:pPr>
        <w:ind w:left="2256" w:hanging="1800"/>
      </w:pPr>
    </w:lvl>
  </w:abstractNum>
  <w:abstractNum w:abstractNumId="36" w15:restartNumberingAfterBreak="0">
    <w:nsid w:val="60DB0403"/>
    <w:multiLevelType w:val="hybridMultilevel"/>
    <w:tmpl w:val="D6DAE93A"/>
    <w:lvl w:ilvl="0" w:tplc="F536B144">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2A1945"/>
    <w:multiLevelType w:val="hybridMultilevel"/>
    <w:tmpl w:val="CFA46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C7074D"/>
    <w:multiLevelType w:val="hybridMultilevel"/>
    <w:tmpl w:val="30E07B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D">
      <w:start w:val="1"/>
      <w:numFmt w:val="bullet"/>
      <w:lvlText w:val=""/>
      <w:lvlJc w:val="left"/>
      <w:pPr>
        <w:ind w:left="644" w:hanging="360"/>
      </w:pPr>
      <w:rPr>
        <w:rFonts w:ascii="Wingdings" w:hAnsi="Wingding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D80A2B"/>
    <w:multiLevelType w:val="multilevel"/>
    <w:tmpl w:val="3CA041A2"/>
    <w:lvl w:ilvl="0">
      <w:start w:val="3"/>
      <w:numFmt w:val="decimal"/>
      <w:lvlText w:val="%1."/>
      <w:lvlJc w:val="left"/>
      <w:pPr>
        <w:ind w:left="644" w:hanging="360"/>
      </w:pPr>
      <w:rPr>
        <w:rFonts w:ascii="Times New Roman" w:hAnsi="Times New Roman" w:cs="Times New Roman" w:hint="default"/>
        <w:b/>
        <w:sz w:val="24"/>
        <w:szCs w:val="24"/>
      </w:rPr>
    </w:lvl>
    <w:lvl w:ilvl="1">
      <w:start w:val="1"/>
      <w:numFmt w:val="decimal"/>
      <w:lvlText w:val="%1.%2."/>
      <w:lvlJc w:val="left"/>
      <w:pPr>
        <w:ind w:left="749" w:hanging="360"/>
      </w:pPr>
      <w:rPr>
        <w:rFonts w:ascii="Times New Roman" w:hAnsi="Times New Roman" w:cs="Times New Roman" w:hint="default"/>
        <w:b/>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40" w15:restartNumberingAfterBreak="0">
    <w:nsid w:val="6C752546"/>
    <w:multiLevelType w:val="hybridMultilevel"/>
    <w:tmpl w:val="53066E12"/>
    <w:lvl w:ilvl="0" w:tplc="05D6455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C7294B"/>
    <w:multiLevelType w:val="hybridMultilevel"/>
    <w:tmpl w:val="47842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208771F"/>
    <w:multiLevelType w:val="hybridMultilevel"/>
    <w:tmpl w:val="4D761C86"/>
    <w:lvl w:ilvl="0" w:tplc="32B80916">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43" w15:restartNumberingAfterBreak="0">
    <w:nsid w:val="74965CFB"/>
    <w:multiLevelType w:val="hybridMultilevel"/>
    <w:tmpl w:val="9E1E77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C60572"/>
    <w:multiLevelType w:val="multilevel"/>
    <w:tmpl w:val="F7B6C222"/>
    <w:lvl w:ilvl="0">
      <w:start w:val="1"/>
      <w:numFmt w:val="decimal"/>
      <w:lvlText w:val="%1."/>
      <w:lvlJc w:val="left"/>
      <w:pPr>
        <w:ind w:left="1080" w:hanging="72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76711796"/>
    <w:multiLevelType w:val="hybridMultilevel"/>
    <w:tmpl w:val="E6EEC6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A31DB4"/>
    <w:multiLevelType w:val="hybridMultilevel"/>
    <w:tmpl w:val="17625F6E"/>
    <w:lvl w:ilvl="0" w:tplc="FCCE0640">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7901C30"/>
    <w:multiLevelType w:val="hybridMultilevel"/>
    <w:tmpl w:val="87A0AFD4"/>
    <w:lvl w:ilvl="0" w:tplc="0426000D">
      <w:start w:val="1"/>
      <w:numFmt w:val="bullet"/>
      <w:lvlText w:val=""/>
      <w:lvlJc w:val="left"/>
      <w:pPr>
        <w:ind w:left="780" w:hanging="42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D21456"/>
    <w:multiLevelType w:val="multilevel"/>
    <w:tmpl w:val="3FE8300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C97049"/>
    <w:multiLevelType w:val="hybridMultilevel"/>
    <w:tmpl w:val="FBC8BE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E3D3611"/>
    <w:multiLevelType w:val="hybridMultilevel"/>
    <w:tmpl w:val="9E92F84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EDE5CBB"/>
    <w:multiLevelType w:val="hybridMultilevel"/>
    <w:tmpl w:val="65C6EFF0"/>
    <w:lvl w:ilvl="0" w:tplc="32B80916">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39"/>
  </w:num>
  <w:num w:numId="2">
    <w:abstractNumId w:val="14"/>
  </w:num>
  <w:num w:numId="3">
    <w:abstractNumId w:val="18"/>
  </w:num>
  <w:num w:numId="4">
    <w:abstractNumId w:val="20"/>
  </w:num>
  <w:num w:numId="5">
    <w:abstractNumId w:val="0"/>
  </w:num>
  <w:num w:numId="6">
    <w:abstractNumId w:val="47"/>
  </w:num>
  <w:num w:numId="7">
    <w:abstractNumId w:val="38"/>
  </w:num>
  <w:num w:numId="8">
    <w:abstractNumId w:val="1"/>
  </w:num>
  <w:num w:numId="9">
    <w:abstractNumId w:val="11"/>
  </w:num>
  <w:num w:numId="10">
    <w:abstractNumId w:val="8"/>
  </w:num>
  <w:num w:numId="11">
    <w:abstractNumId w:val="49"/>
  </w:num>
  <w:num w:numId="12">
    <w:abstractNumId w:val="43"/>
  </w:num>
  <w:num w:numId="13">
    <w:abstractNumId w:val="19"/>
  </w:num>
  <w:num w:numId="14">
    <w:abstractNumId w:val="48"/>
  </w:num>
  <w:num w:numId="15">
    <w:abstractNumId w:val="4"/>
  </w:num>
  <w:num w:numId="16">
    <w:abstractNumId w:val="21"/>
  </w:num>
  <w:num w:numId="17">
    <w:abstractNumId w:val="23"/>
  </w:num>
  <w:num w:numId="18">
    <w:abstractNumId w:val="5"/>
  </w:num>
  <w:num w:numId="19">
    <w:abstractNumId w:val="33"/>
  </w:num>
  <w:num w:numId="20">
    <w:abstractNumId w:val="30"/>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36"/>
  </w:num>
  <w:num w:numId="25">
    <w:abstractNumId w:val="2"/>
  </w:num>
  <w:num w:numId="26">
    <w:abstractNumId w:val="24"/>
  </w:num>
  <w:num w:numId="27">
    <w:abstractNumId w:val="31"/>
  </w:num>
  <w:num w:numId="28">
    <w:abstractNumId w:val="45"/>
  </w:num>
  <w:num w:numId="29">
    <w:abstractNumId w:val="50"/>
  </w:num>
  <w:num w:numId="30">
    <w:abstractNumId w:val="46"/>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32"/>
  </w:num>
  <w:num w:numId="36">
    <w:abstractNumId w:val="41"/>
  </w:num>
  <w:num w:numId="37">
    <w:abstractNumId w:val="28"/>
  </w:num>
  <w:num w:numId="38">
    <w:abstractNumId w:val="16"/>
  </w:num>
  <w:num w:numId="39">
    <w:abstractNumId w:val="22"/>
  </w:num>
  <w:num w:numId="40">
    <w:abstractNumId w:val="34"/>
  </w:num>
  <w:num w:numId="41">
    <w:abstractNumId w:val="10"/>
  </w:num>
  <w:num w:numId="42">
    <w:abstractNumId w:val="29"/>
  </w:num>
  <w:num w:numId="43">
    <w:abstractNumId w:val="3"/>
  </w:num>
  <w:num w:numId="44">
    <w:abstractNumId w:val="37"/>
  </w:num>
  <w:num w:numId="45">
    <w:abstractNumId w:val="40"/>
  </w:num>
  <w:num w:numId="46">
    <w:abstractNumId w:val="9"/>
  </w:num>
  <w:num w:numId="47">
    <w:abstractNumId w:val="25"/>
  </w:num>
  <w:num w:numId="48">
    <w:abstractNumId w:val="6"/>
  </w:num>
  <w:num w:numId="49">
    <w:abstractNumId w:val="51"/>
  </w:num>
  <w:num w:numId="50">
    <w:abstractNumId w:val="17"/>
  </w:num>
  <w:num w:numId="51">
    <w:abstractNumId w:val="7"/>
  </w:num>
  <w:num w:numId="52">
    <w:abstractNumId w:val="26"/>
  </w:num>
  <w:num w:numId="5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5"/>
    <w:rsid w:val="00000186"/>
    <w:rsid w:val="000003CB"/>
    <w:rsid w:val="000010EF"/>
    <w:rsid w:val="00003724"/>
    <w:rsid w:val="00004277"/>
    <w:rsid w:val="000046B2"/>
    <w:rsid w:val="000049FD"/>
    <w:rsid w:val="00004BE3"/>
    <w:rsid w:val="00010C24"/>
    <w:rsid w:val="0001203B"/>
    <w:rsid w:val="00012BCF"/>
    <w:rsid w:val="00014889"/>
    <w:rsid w:val="0001555F"/>
    <w:rsid w:val="00015C39"/>
    <w:rsid w:val="000162FD"/>
    <w:rsid w:val="000179FA"/>
    <w:rsid w:val="00017E5D"/>
    <w:rsid w:val="00020B4F"/>
    <w:rsid w:val="0002117E"/>
    <w:rsid w:val="000232EB"/>
    <w:rsid w:val="000251D9"/>
    <w:rsid w:val="000260C1"/>
    <w:rsid w:val="000264C9"/>
    <w:rsid w:val="000272D7"/>
    <w:rsid w:val="00027414"/>
    <w:rsid w:val="000279CC"/>
    <w:rsid w:val="0003124C"/>
    <w:rsid w:val="00031FE4"/>
    <w:rsid w:val="00032166"/>
    <w:rsid w:val="00032FCA"/>
    <w:rsid w:val="000344C0"/>
    <w:rsid w:val="00034970"/>
    <w:rsid w:val="00035116"/>
    <w:rsid w:val="00036081"/>
    <w:rsid w:val="00036245"/>
    <w:rsid w:val="00036804"/>
    <w:rsid w:val="000368D3"/>
    <w:rsid w:val="000371BA"/>
    <w:rsid w:val="0003757E"/>
    <w:rsid w:val="00037BB3"/>
    <w:rsid w:val="00042D67"/>
    <w:rsid w:val="00043389"/>
    <w:rsid w:val="000448A6"/>
    <w:rsid w:val="00044D68"/>
    <w:rsid w:val="000450B6"/>
    <w:rsid w:val="00046760"/>
    <w:rsid w:val="00046EAC"/>
    <w:rsid w:val="000476FC"/>
    <w:rsid w:val="000479B0"/>
    <w:rsid w:val="00047A2F"/>
    <w:rsid w:val="0005009C"/>
    <w:rsid w:val="000509A8"/>
    <w:rsid w:val="00051DFE"/>
    <w:rsid w:val="00052CEB"/>
    <w:rsid w:val="000541CB"/>
    <w:rsid w:val="00054675"/>
    <w:rsid w:val="00056345"/>
    <w:rsid w:val="00056C34"/>
    <w:rsid w:val="00057176"/>
    <w:rsid w:val="0006002A"/>
    <w:rsid w:val="000601A9"/>
    <w:rsid w:val="0006076A"/>
    <w:rsid w:val="00060968"/>
    <w:rsid w:val="00061004"/>
    <w:rsid w:val="00062FB2"/>
    <w:rsid w:val="000652F4"/>
    <w:rsid w:val="00065FDF"/>
    <w:rsid w:val="00067067"/>
    <w:rsid w:val="0007050B"/>
    <w:rsid w:val="000713E1"/>
    <w:rsid w:val="000736E1"/>
    <w:rsid w:val="00073EED"/>
    <w:rsid w:val="00076D11"/>
    <w:rsid w:val="00076F4B"/>
    <w:rsid w:val="00080296"/>
    <w:rsid w:val="000827F3"/>
    <w:rsid w:val="000829C1"/>
    <w:rsid w:val="00082DB1"/>
    <w:rsid w:val="0008362C"/>
    <w:rsid w:val="00084CB0"/>
    <w:rsid w:val="000902BF"/>
    <w:rsid w:val="000904CC"/>
    <w:rsid w:val="000907B2"/>
    <w:rsid w:val="0009279B"/>
    <w:rsid w:val="00092A3D"/>
    <w:rsid w:val="00093744"/>
    <w:rsid w:val="000937D2"/>
    <w:rsid w:val="0009450F"/>
    <w:rsid w:val="000951F3"/>
    <w:rsid w:val="00095D94"/>
    <w:rsid w:val="0009784B"/>
    <w:rsid w:val="000A1073"/>
    <w:rsid w:val="000A1D01"/>
    <w:rsid w:val="000A1D1F"/>
    <w:rsid w:val="000A35D2"/>
    <w:rsid w:val="000A38B2"/>
    <w:rsid w:val="000A4827"/>
    <w:rsid w:val="000A4A8D"/>
    <w:rsid w:val="000A5509"/>
    <w:rsid w:val="000A7827"/>
    <w:rsid w:val="000B2B50"/>
    <w:rsid w:val="000B67FC"/>
    <w:rsid w:val="000B6A7F"/>
    <w:rsid w:val="000B78EC"/>
    <w:rsid w:val="000C1623"/>
    <w:rsid w:val="000C1D63"/>
    <w:rsid w:val="000C23D3"/>
    <w:rsid w:val="000C29B0"/>
    <w:rsid w:val="000C4D05"/>
    <w:rsid w:val="000C4DFE"/>
    <w:rsid w:val="000C608E"/>
    <w:rsid w:val="000C70AC"/>
    <w:rsid w:val="000D0DA0"/>
    <w:rsid w:val="000D0EC0"/>
    <w:rsid w:val="000D1449"/>
    <w:rsid w:val="000D53DD"/>
    <w:rsid w:val="000D62DD"/>
    <w:rsid w:val="000D709C"/>
    <w:rsid w:val="000D740B"/>
    <w:rsid w:val="000D7C1A"/>
    <w:rsid w:val="000E0762"/>
    <w:rsid w:val="000E0C7D"/>
    <w:rsid w:val="000E1F9F"/>
    <w:rsid w:val="000E384F"/>
    <w:rsid w:val="000E3F26"/>
    <w:rsid w:val="000E421B"/>
    <w:rsid w:val="000E4E15"/>
    <w:rsid w:val="000E678C"/>
    <w:rsid w:val="000F2ADA"/>
    <w:rsid w:val="000F2C0D"/>
    <w:rsid w:val="000F305C"/>
    <w:rsid w:val="000F3932"/>
    <w:rsid w:val="000F40BD"/>
    <w:rsid w:val="000F4E87"/>
    <w:rsid w:val="000F5F6B"/>
    <w:rsid w:val="000F5FAE"/>
    <w:rsid w:val="0010003E"/>
    <w:rsid w:val="001000FA"/>
    <w:rsid w:val="00102682"/>
    <w:rsid w:val="00104C47"/>
    <w:rsid w:val="0010559C"/>
    <w:rsid w:val="0010720E"/>
    <w:rsid w:val="00111137"/>
    <w:rsid w:val="001121F2"/>
    <w:rsid w:val="00112DEA"/>
    <w:rsid w:val="001141FC"/>
    <w:rsid w:val="001149F8"/>
    <w:rsid w:val="00115437"/>
    <w:rsid w:val="00116098"/>
    <w:rsid w:val="0012151E"/>
    <w:rsid w:val="0012268B"/>
    <w:rsid w:val="00122F3D"/>
    <w:rsid w:val="00124853"/>
    <w:rsid w:val="00125907"/>
    <w:rsid w:val="00125B86"/>
    <w:rsid w:val="00126C64"/>
    <w:rsid w:val="00126F3E"/>
    <w:rsid w:val="001272CE"/>
    <w:rsid w:val="00130C31"/>
    <w:rsid w:val="00131478"/>
    <w:rsid w:val="0013206C"/>
    <w:rsid w:val="00133BF5"/>
    <w:rsid w:val="001349F4"/>
    <w:rsid w:val="00134B13"/>
    <w:rsid w:val="00134B34"/>
    <w:rsid w:val="001350F4"/>
    <w:rsid w:val="00136093"/>
    <w:rsid w:val="001377FA"/>
    <w:rsid w:val="001401BD"/>
    <w:rsid w:val="00140FCC"/>
    <w:rsid w:val="00140FE6"/>
    <w:rsid w:val="00141C78"/>
    <w:rsid w:val="00142012"/>
    <w:rsid w:val="00143584"/>
    <w:rsid w:val="001435A8"/>
    <w:rsid w:val="001443DF"/>
    <w:rsid w:val="00144759"/>
    <w:rsid w:val="00144C2C"/>
    <w:rsid w:val="00147461"/>
    <w:rsid w:val="00147E93"/>
    <w:rsid w:val="00152425"/>
    <w:rsid w:val="00152E95"/>
    <w:rsid w:val="0015554F"/>
    <w:rsid w:val="001559A5"/>
    <w:rsid w:val="00156285"/>
    <w:rsid w:val="00160901"/>
    <w:rsid w:val="00160D17"/>
    <w:rsid w:val="00167021"/>
    <w:rsid w:val="00167401"/>
    <w:rsid w:val="00170E63"/>
    <w:rsid w:val="00171437"/>
    <w:rsid w:val="001730D2"/>
    <w:rsid w:val="0017347A"/>
    <w:rsid w:val="00174A87"/>
    <w:rsid w:val="00175BDF"/>
    <w:rsid w:val="00176664"/>
    <w:rsid w:val="00180EE4"/>
    <w:rsid w:val="00181FF1"/>
    <w:rsid w:val="0018200B"/>
    <w:rsid w:val="0018309A"/>
    <w:rsid w:val="00183CF3"/>
    <w:rsid w:val="00184012"/>
    <w:rsid w:val="00184125"/>
    <w:rsid w:val="00184B14"/>
    <w:rsid w:val="00184EB5"/>
    <w:rsid w:val="00185E65"/>
    <w:rsid w:val="001869A8"/>
    <w:rsid w:val="0018705E"/>
    <w:rsid w:val="0018742F"/>
    <w:rsid w:val="00187C77"/>
    <w:rsid w:val="00191899"/>
    <w:rsid w:val="00191E0E"/>
    <w:rsid w:val="00194614"/>
    <w:rsid w:val="00196738"/>
    <w:rsid w:val="00196EF2"/>
    <w:rsid w:val="001978E1"/>
    <w:rsid w:val="00197FE2"/>
    <w:rsid w:val="001A0496"/>
    <w:rsid w:val="001A262E"/>
    <w:rsid w:val="001A354E"/>
    <w:rsid w:val="001A360B"/>
    <w:rsid w:val="001A3673"/>
    <w:rsid w:val="001A4E2D"/>
    <w:rsid w:val="001A51E6"/>
    <w:rsid w:val="001B3809"/>
    <w:rsid w:val="001B42A2"/>
    <w:rsid w:val="001B6A2D"/>
    <w:rsid w:val="001B7328"/>
    <w:rsid w:val="001B7922"/>
    <w:rsid w:val="001C0089"/>
    <w:rsid w:val="001C0D90"/>
    <w:rsid w:val="001C13D7"/>
    <w:rsid w:val="001C2D55"/>
    <w:rsid w:val="001C4A67"/>
    <w:rsid w:val="001C509E"/>
    <w:rsid w:val="001C67A6"/>
    <w:rsid w:val="001D0050"/>
    <w:rsid w:val="001D0AEA"/>
    <w:rsid w:val="001D0B42"/>
    <w:rsid w:val="001D1950"/>
    <w:rsid w:val="001D1952"/>
    <w:rsid w:val="001D1C3C"/>
    <w:rsid w:val="001D27FC"/>
    <w:rsid w:val="001D3BDF"/>
    <w:rsid w:val="001D42CD"/>
    <w:rsid w:val="001D5567"/>
    <w:rsid w:val="001D76B1"/>
    <w:rsid w:val="001D7806"/>
    <w:rsid w:val="001D7AD1"/>
    <w:rsid w:val="001E1307"/>
    <w:rsid w:val="001E184A"/>
    <w:rsid w:val="001E19A9"/>
    <w:rsid w:val="001E2D7E"/>
    <w:rsid w:val="001E32B4"/>
    <w:rsid w:val="001E50B0"/>
    <w:rsid w:val="001E5828"/>
    <w:rsid w:val="001E5C57"/>
    <w:rsid w:val="001F2420"/>
    <w:rsid w:val="001F25D9"/>
    <w:rsid w:val="001F3077"/>
    <w:rsid w:val="001F40FF"/>
    <w:rsid w:val="001F59DB"/>
    <w:rsid w:val="001F5D7D"/>
    <w:rsid w:val="001F6C96"/>
    <w:rsid w:val="00200652"/>
    <w:rsid w:val="00201973"/>
    <w:rsid w:val="0020489F"/>
    <w:rsid w:val="00205A93"/>
    <w:rsid w:val="00205DBE"/>
    <w:rsid w:val="00206FB6"/>
    <w:rsid w:val="002075C5"/>
    <w:rsid w:val="00211ACF"/>
    <w:rsid w:val="002142DC"/>
    <w:rsid w:val="00214B96"/>
    <w:rsid w:val="002157A8"/>
    <w:rsid w:val="00215A6B"/>
    <w:rsid w:val="0021616E"/>
    <w:rsid w:val="00216591"/>
    <w:rsid w:val="002175D9"/>
    <w:rsid w:val="0021789A"/>
    <w:rsid w:val="00223647"/>
    <w:rsid w:val="00223A63"/>
    <w:rsid w:val="00224061"/>
    <w:rsid w:val="002242CB"/>
    <w:rsid w:val="0022698A"/>
    <w:rsid w:val="00226F75"/>
    <w:rsid w:val="00227DEA"/>
    <w:rsid w:val="00227FDF"/>
    <w:rsid w:val="00230358"/>
    <w:rsid w:val="00230730"/>
    <w:rsid w:val="00230EAC"/>
    <w:rsid w:val="00231FB8"/>
    <w:rsid w:val="0023232C"/>
    <w:rsid w:val="00232C33"/>
    <w:rsid w:val="00232C58"/>
    <w:rsid w:val="00232DCB"/>
    <w:rsid w:val="00234048"/>
    <w:rsid w:val="0023478C"/>
    <w:rsid w:val="00234C48"/>
    <w:rsid w:val="002354DF"/>
    <w:rsid w:val="00235A69"/>
    <w:rsid w:val="00236797"/>
    <w:rsid w:val="00237649"/>
    <w:rsid w:val="00242D7D"/>
    <w:rsid w:val="002432E7"/>
    <w:rsid w:val="002448FD"/>
    <w:rsid w:val="00246A7C"/>
    <w:rsid w:val="00247529"/>
    <w:rsid w:val="00247DF0"/>
    <w:rsid w:val="002500CB"/>
    <w:rsid w:val="00250408"/>
    <w:rsid w:val="0025171C"/>
    <w:rsid w:val="00252213"/>
    <w:rsid w:val="00252F69"/>
    <w:rsid w:val="00257250"/>
    <w:rsid w:val="00257DD4"/>
    <w:rsid w:val="002607A6"/>
    <w:rsid w:val="00261071"/>
    <w:rsid w:val="00261EF0"/>
    <w:rsid w:val="00261F5F"/>
    <w:rsid w:val="00262EBA"/>
    <w:rsid w:val="00263CEB"/>
    <w:rsid w:val="002640D9"/>
    <w:rsid w:val="002650BA"/>
    <w:rsid w:val="002654CD"/>
    <w:rsid w:val="002662E3"/>
    <w:rsid w:val="0026758E"/>
    <w:rsid w:val="002700EF"/>
    <w:rsid w:val="00270E4A"/>
    <w:rsid w:val="00271F7F"/>
    <w:rsid w:val="00273F99"/>
    <w:rsid w:val="002747BA"/>
    <w:rsid w:val="0027527C"/>
    <w:rsid w:val="00275E90"/>
    <w:rsid w:val="00276E78"/>
    <w:rsid w:val="00277E18"/>
    <w:rsid w:val="00280120"/>
    <w:rsid w:val="0028162B"/>
    <w:rsid w:val="00284191"/>
    <w:rsid w:val="00286F60"/>
    <w:rsid w:val="00287190"/>
    <w:rsid w:val="00290EEF"/>
    <w:rsid w:val="002914FF"/>
    <w:rsid w:val="00291783"/>
    <w:rsid w:val="00291AC6"/>
    <w:rsid w:val="00292D80"/>
    <w:rsid w:val="00293013"/>
    <w:rsid w:val="002930C8"/>
    <w:rsid w:val="002937C6"/>
    <w:rsid w:val="00294074"/>
    <w:rsid w:val="0029408F"/>
    <w:rsid w:val="00294671"/>
    <w:rsid w:val="00294E7C"/>
    <w:rsid w:val="00295C52"/>
    <w:rsid w:val="00296A90"/>
    <w:rsid w:val="002A1B5B"/>
    <w:rsid w:val="002A2700"/>
    <w:rsid w:val="002A4530"/>
    <w:rsid w:val="002A583E"/>
    <w:rsid w:val="002A62F4"/>
    <w:rsid w:val="002A6FD7"/>
    <w:rsid w:val="002B0A9D"/>
    <w:rsid w:val="002B167B"/>
    <w:rsid w:val="002B1867"/>
    <w:rsid w:val="002B264A"/>
    <w:rsid w:val="002B333B"/>
    <w:rsid w:val="002B457B"/>
    <w:rsid w:val="002B4ECF"/>
    <w:rsid w:val="002B615F"/>
    <w:rsid w:val="002B6A76"/>
    <w:rsid w:val="002B6ABC"/>
    <w:rsid w:val="002C1139"/>
    <w:rsid w:val="002C234A"/>
    <w:rsid w:val="002C5F4C"/>
    <w:rsid w:val="002C6ABF"/>
    <w:rsid w:val="002C7C67"/>
    <w:rsid w:val="002C7EAA"/>
    <w:rsid w:val="002D175B"/>
    <w:rsid w:val="002D1A84"/>
    <w:rsid w:val="002D2124"/>
    <w:rsid w:val="002D35DB"/>
    <w:rsid w:val="002D37AB"/>
    <w:rsid w:val="002D529C"/>
    <w:rsid w:val="002D5363"/>
    <w:rsid w:val="002D78E9"/>
    <w:rsid w:val="002E11C5"/>
    <w:rsid w:val="002E1265"/>
    <w:rsid w:val="002E1514"/>
    <w:rsid w:val="002E224D"/>
    <w:rsid w:val="002E2ABC"/>
    <w:rsid w:val="002E3B40"/>
    <w:rsid w:val="002E50C4"/>
    <w:rsid w:val="002E5400"/>
    <w:rsid w:val="002E605C"/>
    <w:rsid w:val="002E6C28"/>
    <w:rsid w:val="002E721A"/>
    <w:rsid w:val="002F062E"/>
    <w:rsid w:val="002F06AC"/>
    <w:rsid w:val="002F1F3D"/>
    <w:rsid w:val="002F2FD3"/>
    <w:rsid w:val="002F42A2"/>
    <w:rsid w:val="002F482A"/>
    <w:rsid w:val="00301FF8"/>
    <w:rsid w:val="00302138"/>
    <w:rsid w:val="003023A0"/>
    <w:rsid w:val="003027C8"/>
    <w:rsid w:val="00302CB3"/>
    <w:rsid w:val="003042AF"/>
    <w:rsid w:val="0030494C"/>
    <w:rsid w:val="00304D08"/>
    <w:rsid w:val="003053F0"/>
    <w:rsid w:val="003068BD"/>
    <w:rsid w:val="00307F36"/>
    <w:rsid w:val="0031035D"/>
    <w:rsid w:val="003116BA"/>
    <w:rsid w:val="003125A1"/>
    <w:rsid w:val="0031341B"/>
    <w:rsid w:val="00314565"/>
    <w:rsid w:val="0031524C"/>
    <w:rsid w:val="00316BC4"/>
    <w:rsid w:val="003175E6"/>
    <w:rsid w:val="003201D7"/>
    <w:rsid w:val="00322167"/>
    <w:rsid w:val="00323B18"/>
    <w:rsid w:val="00323B2B"/>
    <w:rsid w:val="00324BB1"/>
    <w:rsid w:val="003251E6"/>
    <w:rsid w:val="00327684"/>
    <w:rsid w:val="00330A50"/>
    <w:rsid w:val="00330B59"/>
    <w:rsid w:val="00330E6E"/>
    <w:rsid w:val="00331033"/>
    <w:rsid w:val="00334F02"/>
    <w:rsid w:val="0033776D"/>
    <w:rsid w:val="00337E07"/>
    <w:rsid w:val="003408CE"/>
    <w:rsid w:val="00340DB2"/>
    <w:rsid w:val="003412D7"/>
    <w:rsid w:val="0034331F"/>
    <w:rsid w:val="00345AC3"/>
    <w:rsid w:val="00346A87"/>
    <w:rsid w:val="00350F7B"/>
    <w:rsid w:val="003521F3"/>
    <w:rsid w:val="003524CD"/>
    <w:rsid w:val="0035261B"/>
    <w:rsid w:val="003529E8"/>
    <w:rsid w:val="003532CC"/>
    <w:rsid w:val="003536D1"/>
    <w:rsid w:val="003539EE"/>
    <w:rsid w:val="00354249"/>
    <w:rsid w:val="00354D6D"/>
    <w:rsid w:val="00356D5B"/>
    <w:rsid w:val="00357C5A"/>
    <w:rsid w:val="00357E36"/>
    <w:rsid w:val="003626E2"/>
    <w:rsid w:val="00363534"/>
    <w:rsid w:val="00363857"/>
    <w:rsid w:val="0036402F"/>
    <w:rsid w:val="00364178"/>
    <w:rsid w:val="00364388"/>
    <w:rsid w:val="003658BA"/>
    <w:rsid w:val="00365CAA"/>
    <w:rsid w:val="003668DA"/>
    <w:rsid w:val="003670FB"/>
    <w:rsid w:val="003675BC"/>
    <w:rsid w:val="003675F1"/>
    <w:rsid w:val="003679AE"/>
    <w:rsid w:val="003706C0"/>
    <w:rsid w:val="00370933"/>
    <w:rsid w:val="00372BBA"/>
    <w:rsid w:val="0037326D"/>
    <w:rsid w:val="00373934"/>
    <w:rsid w:val="00374332"/>
    <w:rsid w:val="00375296"/>
    <w:rsid w:val="0037630A"/>
    <w:rsid w:val="00376F8D"/>
    <w:rsid w:val="003803BC"/>
    <w:rsid w:val="003804C1"/>
    <w:rsid w:val="00380F5C"/>
    <w:rsid w:val="003819E0"/>
    <w:rsid w:val="00383D22"/>
    <w:rsid w:val="0038455F"/>
    <w:rsid w:val="003857EF"/>
    <w:rsid w:val="00385EC9"/>
    <w:rsid w:val="0038652B"/>
    <w:rsid w:val="00386C06"/>
    <w:rsid w:val="00386CC2"/>
    <w:rsid w:val="00391C74"/>
    <w:rsid w:val="0039354F"/>
    <w:rsid w:val="003942D5"/>
    <w:rsid w:val="0039443B"/>
    <w:rsid w:val="003948D6"/>
    <w:rsid w:val="00394A97"/>
    <w:rsid w:val="003962C4"/>
    <w:rsid w:val="00396DA2"/>
    <w:rsid w:val="003A2C83"/>
    <w:rsid w:val="003A6E33"/>
    <w:rsid w:val="003A774C"/>
    <w:rsid w:val="003A77CA"/>
    <w:rsid w:val="003A7CD2"/>
    <w:rsid w:val="003B212C"/>
    <w:rsid w:val="003B306A"/>
    <w:rsid w:val="003B32A7"/>
    <w:rsid w:val="003B36C0"/>
    <w:rsid w:val="003B4106"/>
    <w:rsid w:val="003B5452"/>
    <w:rsid w:val="003B59A0"/>
    <w:rsid w:val="003B5ADB"/>
    <w:rsid w:val="003B5D70"/>
    <w:rsid w:val="003B629D"/>
    <w:rsid w:val="003B6467"/>
    <w:rsid w:val="003B7898"/>
    <w:rsid w:val="003B7D11"/>
    <w:rsid w:val="003C0FC2"/>
    <w:rsid w:val="003C16D5"/>
    <w:rsid w:val="003C361A"/>
    <w:rsid w:val="003C4869"/>
    <w:rsid w:val="003C650F"/>
    <w:rsid w:val="003C66CE"/>
    <w:rsid w:val="003C6948"/>
    <w:rsid w:val="003C6985"/>
    <w:rsid w:val="003D0A12"/>
    <w:rsid w:val="003D164C"/>
    <w:rsid w:val="003D2E74"/>
    <w:rsid w:val="003D329B"/>
    <w:rsid w:val="003D367E"/>
    <w:rsid w:val="003D44D0"/>
    <w:rsid w:val="003D536E"/>
    <w:rsid w:val="003D5E86"/>
    <w:rsid w:val="003D6AB9"/>
    <w:rsid w:val="003D7396"/>
    <w:rsid w:val="003E07C8"/>
    <w:rsid w:val="003E1947"/>
    <w:rsid w:val="003E412C"/>
    <w:rsid w:val="003E5101"/>
    <w:rsid w:val="003E619B"/>
    <w:rsid w:val="003E63A1"/>
    <w:rsid w:val="003E6618"/>
    <w:rsid w:val="003F1078"/>
    <w:rsid w:val="003F1E2F"/>
    <w:rsid w:val="003F27FC"/>
    <w:rsid w:val="003F2A68"/>
    <w:rsid w:val="003F2D05"/>
    <w:rsid w:val="003F31D2"/>
    <w:rsid w:val="003F489F"/>
    <w:rsid w:val="003F49D7"/>
    <w:rsid w:val="003F4BB4"/>
    <w:rsid w:val="003F5050"/>
    <w:rsid w:val="003F7EB1"/>
    <w:rsid w:val="00400423"/>
    <w:rsid w:val="00401BFE"/>
    <w:rsid w:val="00402D13"/>
    <w:rsid w:val="004041F2"/>
    <w:rsid w:val="00404BBC"/>
    <w:rsid w:val="0040663A"/>
    <w:rsid w:val="00410E77"/>
    <w:rsid w:val="004111DD"/>
    <w:rsid w:val="0041151B"/>
    <w:rsid w:val="00413919"/>
    <w:rsid w:val="00413C5F"/>
    <w:rsid w:val="00413DA5"/>
    <w:rsid w:val="0041616F"/>
    <w:rsid w:val="0041662A"/>
    <w:rsid w:val="00417F39"/>
    <w:rsid w:val="00420520"/>
    <w:rsid w:val="00421529"/>
    <w:rsid w:val="00422841"/>
    <w:rsid w:val="00424246"/>
    <w:rsid w:val="00425DFD"/>
    <w:rsid w:val="00426662"/>
    <w:rsid w:val="004302F9"/>
    <w:rsid w:val="00430A23"/>
    <w:rsid w:val="0043259A"/>
    <w:rsid w:val="00433352"/>
    <w:rsid w:val="004365EC"/>
    <w:rsid w:val="004373E9"/>
    <w:rsid w:val="004374DE"/>
    <w:rsid w:val="00437D93"/>
    <w:rsid w:val="00440A1F"/>
    <w:rsid w:val="00441361"/>
    <w:rsid w:val="00441E67"/>
    <w:rsid w:val="0044216A"/>
    <w:rsid w:val="004429DA"/>
    <w:rsid w:val="00443853"/>
    <w:rsid w:val="00443E52"/>
    <w:rsid w:val="00446C72"/>
    <w:rsid w:val="00447838"/>
    <w:rsid w:val="00447FA7"/>
    <w:rsid w:val="004506E8"/>
    <w:rsid w:val="004513E4"/>
    <w:rsid w:val="00452E08"/>
    <w:rsid w:val="00453716"/>
    <w:rsid w:val="00454F86"/>
    <w:rsid w:val="004551D6"/>
    <w:rsid w:val="00456442"/>
    <w:rsid w:val="0045648D"/>
    <w:rsid w:val="004570AE"/>
    <w:rsid w:val="004615A2"/>
    <w:rsid w:val="00461821"/>
    <w:rsid w:val="00461B31"/>
    <w:rsid w:val="004638EB"/>
    <w:rsid w:val="00463FE3"/>
    <w:rsid w:val="00465A9E"/>
    <w:rsid w:val="00466487"/>
    <w:rsid w:val="00466776"/>
    <w:rsid w:val="00467E20"/>
    <w:rsid w:val="0047038B"/>
    <w:rsid w:val="004707DB"/>
    <w:rsid w:val="00473F06"/>
    <w:rsid w:val="0047603C"/>
    <w:rsid w:val="0048071D"/>
    <w:rsid w:val="004811B1"/>
    <w:rsid w:val="00484660"/>
    <w:rsid w:val="00484F0F"/>
    <w:rsid w:val="00484F8D"/>
    <w:rsid w:val="00485069"/>
    <w:rsid w:val="0048523A"/>
    <w:rsid w:val="00485B50"/>
    <w:rsid w:val="0048663C"/>
    <w:rsid w:val="00486B0B"/>
    <w:rsid w:val="00487B6F"/>
    <w:rsid w:val="00490CF9"/>
    <w:rsid w:val="00491216"/>
    <w:rsid w:val="00491392"/>
    <w:rsid w:val="00492E35"/>
    <w:rsid w:val="00493119"/>
    <w:rsid w:val="00494320"/>
    <w:rsid w:val="00494652"/>
    <w:rsid w:val="00494D7F"/>
    <w:rsid w:val="00496FDE"/>
    <w:rsid w:val="004A0240"/>
    <w:rsid w:val="004A1651"/>
    <w:rsid w:val="004A69BB"/>
    <w:rsid w:val="004A7568"/>
    <w:rsid w:val="004B0C0C"/>
    <w:rsid w:val="004B1AE5"/>
    <w:rsid w:val="004B27DC"/>
    <w:rsid w:val="004B2C33"/>
    <w:rsid w:val="004B2F3F"/>
    <w:rsid w:val="004B4C1B"/>
    <w:rsid w:val="004B6518"/>
    <w:rsid w:val="004B6541"/>
    <w:rsid w:val="004C07EB"/>
    <w:rsid w:val="004C129A"/>
    <w:rsid w:val="004C22FE"/>
    <w:rsid w:val="004C289C"/>
    <w:rsid w:val="004C3D0C"/>
    <w:rsid w:val="004C4FE3"/>
    <w:rsid w:val="004C5574"/>
    <w:rsid w:val="004D044A"/>
    <w:rsid w:val="004D2D92"/>
    <w:rsid w:val="004D39AB"/>
    <w:rsid w:val="004D4815"/>
    <w:rsid w:val="004D51B8"/>
    <w:rsid w:val="004D6A07"/>
    <w:rsid w:val="004D71C0"/>
    <w:rsid w:val="004E0FE8"/>
    <w:rsid w:val="004E1B32"/>
    <w:rsid w:val="004E1C7C"/>
    <w:rsid w:val="004E24B8"/>
    <w:rsid w:val="004E27CE"/>
    <w:rsid w:val="004E3377"/>
    <w:rsid w:val="004E34D2"/>
    <w:rsid w:val="004E3D80"/>
    <w:rsid w:val="004E3EF8"/>
    <w:rsid w:val="004E65EB"/>
    <w:rsid w:val="004E772A"/>
    <w:rsid w:val="004F0953"/>
    <w:rsid w:val="004F1D5A"/>
    <w:rsid w:val="004F1DE6"/>
    <w:rsid w:val="004F2C3E"/>
    <w:rsid w:val="004F42E2"/>
    <w:rsid w:val="004F4524"/>
    <w:rsid w:val="004F4F50"/>
    <w:rsid w:val="00500860"/>
    <w:rsid w:val="00502F62"/>
    <w:rsid w:val="00502FAE"/>
    <w:rsid w:val="00503DD7"/>
    <w:rsid w:val="00504640"/>
    <w:rsid w:val="00505FAE"/>
    <w:rsid w:val="0050641F"/>
    <w:rsid w:val="00510F83"/>
    <w:rsid w:val="0051235A"/>
    <w:rsid w:val="005123AF"/>
    <w:rsid w:val="005131D9"/>
    <w:rsid w:val="0051686C"/>
    <w:rsid w:val="00516A1D"/>
    <w:rsid w:val="00520165"/>
    <w:rsid w:val="0052064B"/>
    <w:rsid w:val="0052272B"/>
    <w:rsid w:val="00524303"/>
    <w:rsid w:val="00524443"/>
    <w:rsid w:val="00524C52"/>
    <w:rsid w:val="0052554F"/>
    <w:rsid w:val="0052683A"/>
    <w:rsid w:val="005269A3"/>
    <w:rsid w:val="00526AAF"/>
    <w:rsid w:val="00526DD0"/>
    <w:rsid w:val="00527714"/>
    <w:rsid w:val="00530882"/>
    <w:rsid w:val="00530CD1"/>
    <w:rsid w:val="005324DA"/>
    <w:rsid w:val="0053295A"/>
    <w:rsid w:val="0053299C"/>
    <w:rsid w:val="00537432"/>
    <w:rsid w:val="00542C64"/>
    <w:rsid w:val="005438FE"/>
    <w:rsid w:val="005439E6"/>
    <w:rsid w:val="00546228"/>
    <w:rsid w:val="00546425"/>
    <w:rsid w:val="0054664E"/>
    <w:rsid w:val="00551014"/>
    <w:rsid w:val="00551EF6"/>
    <w:rsid w:val="00552B24"/>
    <w:rsid w:val="00552F6F"/>
    <w:rsid w:val="00552FC1"/>
    <w:rsid w:val="00555E7F"/>
    <w:rsid w:val="00555F29"/>
    <w:rsid w:val="00556139"/>
    <w:rsid w:val="00556E5C"/>
    <w:rsid w:val="00561FA5"/>
    <w:rsid w:val="00562A32"/>
    <w:rsid w:val="00565220"/>
    <w:rsid w:val="0056713F"/>
    <w:rsid w:val="005674DC"/>
    <w:rsid w:val="0057031B"/>
    <w:rsid w:val="0057037E"/>
    <w:rsid w:val="00571268"/>
    <w:rsid w:val="005720CD"/>
    <w:rsid w:val="00572343"/>
    <w:rsid w:val="005727D7"/>
    <w:rsid w:val="00572F13"/>
    <w:rsid w:val="00573CCB"/>
    <w:rsid w:val="00575052"/>
    <w:rsid w:val="00575812"/>
    <w:rsid w:val="005774A7"/>
    <w:rsid w:val="00577DC2"/>
    <w:rsid w:val="005805BC"/>
    <w:rsid w:val="005816D7"/>
    <w:rsid w:val="00582B65"/>
    <w:rsid w:val="0058386D"/>
    <w:rsid w:val="00587020"/>
    <w:rsid w:val="005919CE"/>
    <w:rsid w:val="00591B70"/>
    <w:rsid w:val="0059313D"/>
    <w:rsid w:val="005949CB"/>
    <w:rsid w:val="005955D0"/>
    <w:rsid w:val="00596450"/>
    <w:rsid w:val="0059781B"/>
    <w:rsid w:val="00597923"/>
    <w:rsid w:val="005A06ED"/>
    <w:rsid w:val="005A193A"/>
    <w:rsid w:val="005A2892"/>
    <w:rsid w:val="005A4C43"/>
    <w:rsid w:val="005A5741"/>
    <w:rsid w:val="005A7AA2"/>
    <w:rsid w:val="005A7D98"/>
    <w:rsid w:val="005B3D35"/>
    <w:rsid w:val="005B4397"/>
    <w:rsid w:val="005B50C2"/>
    <w:rsid w:val="005B7B1E"/>
    <w:rsid w:val="005B7E07"/>
    <w:rsid w:val="005B7FE4"/>
    <w:rsid w:val="005C01A9"/>
    <w:rsid w:val="005C0B7B"/>
    <w:rsid w:val="005C12AD"/>
    <w:rsid w:val="005C1AD8"/>
    <w:rsid w:val="005C1C3F"/>
    <w:rsid w:val="005C20E5"/>
    <w:rsid w:val="005C23CC"/>
    <w:rsid w:val="005C2725"/>
    <w:rsid w:val="005C3A67"/>
    <w:rsid w:val="005C56C0"/>
    <w:rsid w:val="005C7308"/>
    <w:rsid w:val="005C7D74"/>
    <w:rsid w:val="005D0147"/>
    <w:rsid w:val="005D1A6A"/>
    <w:rsid w:val="005D585F"/>
    <w:rsid w:val="005D6371"/>
    <w:rsid w:val="005D6D0B"/>
    <w:rsid w:val="005D721F"/>
    <w:rsid w:val="005E03A8"/>
    <w:rsid w:val="005E1597"/>
    <w:rsid w:val="005E344B"/>
    <w:rsid w:val="005E56BA"/>
    <w:rsid w:val="005F128A"/>
    <w:rsid w:val="005F1649"/>
    <w:rsid w:val="005F1E99"/>
    <w:rsid w:val="005F23F9"/>
    <w:rsid w:val="005F2445"/>
    <w:rsid w:val="005F36A1"/>
    <w:rsid w:val="005F3ABB"/>
    <w:rsid w:val="005F3CF6"/>
    <w:rsid w:val="005F5484"/>
    <w:rsid w:val="005F6E36"/>
    <w:rsid w:val="005F703D"/>
    <w:rsid w:val="005F7552"/>
    <w:rsid w:val="006013A1"/>
    <w:rsid w:val="00603936"/>
    <w:rsid w:val="00603A97"/>
    <w:rsid w:val="00605089"/>
    <w:rsid w:val="00606886"/>
    <w:rsid w:val="00606F3D"/>
    <w:rsid w:val="006072C8"/>
    <w:rsid w:val="00610130"/>
    <w:rsid w:val="00610790"/>
    <w:rsid w:val="00611828"/>
    <w:rsid w:val="00611B34"/>
    <w:rsid w:val="006135A0"/>
    <w:rsid w:val="0061393B"/>
    <w:rsid w:val="0061475F"/>
    <w:rsid w:val="00614AAD"/>
    <w:rsid w:val="00614F38"/>
    <w:rsid w:val="00617341"/>
    <w:rsid w:val="00620CE1"/>
    <w:rsid w:val="00621B75"/>
    <w:rsid w:val="00622B16"/>
    <w:rsid w:val="00623392"/>
    <w:rsid w:val="0062529F"/>
    <w:rsid w:val="00626053"/>
    <w:rsid w:val="00626D1A"/>
    <w:rsid w:val="00627371"/>
    <w:rsid w:val="0062749E"/>
    <w:rsid w:val="00627593"/>
    <w:rsid w:val="006300EE"/>
    <w:rsid w:val="006309E9"/>
    <w:rsid w:val="00630B60"/>
    <w:rsid w:val="00631C59"/>
    <w:rsid w:val="00631C8A"/>
    <w:rsid w:val="00632558"/>
    <w:rsid w:val="006346B4"/>
    <w:rsid w:val="00634A1B"/>
    <w:rsid w:val="00634DB9"/>
    <w:rsid w:val="0063566C"/>
    <w:rsid w:val="0063621D"/>
    <w:rsid w:val="006364F3"/>
    <w:rsid w:val="00641621"/>
    <w:rsid w:val="0064295C"/>
    <w:rsid w:val="006437E9"/>
    <w:rsid w:val="00643C2F"/>
    <w:rsid w:val="006462CD"/>
    <w:rsid w:val="00646EEF"/>
    <w:rsid w:val="00652EBD"/>
    <w:rsid w:val="006539B1"/>
    <w:rsid w:val="00653B3B"/>
    <w:rsid w:val="00653D7B"/>
    <w:rsid w:val="00655A75"/>
    <w:rsid w:val="006577ED"/>
    <w:rsid w:val="00665040"/>
    <w:rsid w:val="00665429"/>
    <w:rsid w:val="00665574"/>
    <w:rsid w:val="00665E6D"/>
    <w:rsid w:val="00666E50"/>
    <w:rsid w:val="00667051"/>
    <w:rsid w:val="00667716"/>
    <w:rsid w:val="0067045B"/>
    <w:rsid w:val="006716F6"/>
    <w:rsid w:val="00672129"/>
    <w:rsid w:val="0067300A"/>
    <w:rsid w:val="006745B7"/>
    <w:rsid w:val="00680E17"/>
    <w:rsid w:val="006814CC"/>
    <w:rsid w:val="00681C17"/>
    <w:rsid w:val="00681D55"/>
    <w:rsid w:val="00681EF1"/>
    <w:rsid w:val="006826A6"/>
    <w:rsid w:val="006843B4"/>
    <w:rsid w:val="00684571"/>
    <w:rsid w:val="0068598D"/>
    <w:rsid w:val="0068651F"/>
    <w:rsid w:val="006870B0"/>
    <w:rsid w:val="0069030A"/>
    <w:rsid w:val="00691F33"/>
    <w:rsid w:val="0069252C"/>
    <w:rsid w:val="00692939"/>
    <w:rsid w:val="00693F47"/>
    <w:rsid w:val="00694A74"/>
    <w:rsid w:val="00694DC1"/>
    <w:rsid w:val="00695209"/>
    <w:rsid w:val="00695242"/>
    <w:rsid w:val="00695D0B"/>
    <w:rsid w:val="006978FC"/>
    <w:rsid w:val="006A0299"/>
    <w:rsid w:val="006A0595"/>
    <w:rsid w:val="006A0C6E"/>
    <w:rsid w:val="006A1718"/>
    <w:rsid w:val="006A261A"/>
    <w:rsid w:val="006A2786"/>
    <w:rsid w:val="006A27E7"/>
    <w:rsid w:val="006A3479"/>
    <w:rsid w:val="006A43A6"/>
    <w:rsid w:val="006A4903"/>
    <w:rsid w:val="006A609A"/>
    <w:rsid w:val="006A694C"/>
    <w:rsid w:val="006A6AD8"/>
    <w:rsid w:val="006A7824"/>
    <w:rsid w:val="006A7826"/>
    <w:rsid w:val="006A7D0B"/>
    <w:rsid w:val="006B05E5"/>
    <w:rsid w:val="006B1842"/>
    <w:rsid w:val="006B1EA1"/>
    <w:rsid w:val="006B5C11"/>
    <w:rsid w:val="006B6496"/>
    <w:rsid w:val="006B70AB"/>
    <w:rsid w:val="006B73F1"/>
    <w:rsid w:val="006B7AAD"/>
    <w:rsid w:val="006C0077"/>
    <w:rsid w:val="006C0CCD"/>
    <w:rsid w:val="006C1DF6"/>
    <w:rsid w:val="006C215F"/>
    <w:rsid w:val="006C2F16"/>
    <w:rsid w:val="006C4A58"/>
    <w:rsid w:val="006D0230"/>
    <w:rsid w:val="006D03FF"/>
    <w:rsid w:val="006D1046"/>
    <w:rsid w:val="006D3874"/>
    <w:rsid w:val="006D3A0C"/>
    <w:rsid w:val="006D58CF"/>
    <w:rsid w:val="006D6455"/>
    <w:rsid w:val="006D7ACC"/>
    <w:rsid w:val="006E0BBE"/>
    <w:rsid w:val="006E23BC"/>
    <w:rsid w:val="006E258A"/>
    <w:rsid w:val="006E3120"/>
    <w:rsid w:val="006E3312"/>
    <w:rsid w:val="006E3369"/>
    <w:rsid w:val="006E4BC8"/>
    <w:rsid w:val="006E668F"/>
    <w:rsid w:val="006F120D"/>
    <w:rsid w:val="006F1D11"/>
    <w:rsid w:val="006F2C2C"/>
    <w:rsid w:val="006F40D5"/>
    <w:rsid w:val="006F4B62"/>
    <w:rsid w:val="006F76E1"/>
    <w:rsid w:val="00700EAF"/>
    <w:rsid w:val="0070315C"/>
    <w:rsid w:val="00703FD6"/>
    <w:rsid w:val="00704C57"/>
    <w:rsid w:val="00705263"/>
    <w:rsid w:val="00707863"/>
    <w:rsid w:val="0071113B"/>
    <w:rsid w:val="0071151B"/>
    <w:rsid w:val="0071178B"/>
    <w:rsid w:val="00711C5D"/>
    <w:rsid w:val="00712FBD"/>
    <w:rsid w:val="00713059"/>
    <w:rsid w:val="00714465"/>
    <w:rsid w:val="0071557F"/>
    <w:rsid w:val="00715FE2"/>
    <w:rsid w:val="00716DE7"/>
    <w:rsid w:val="007204CA"/>
    <w:rsid w:val="0072078B"/>
    <w:rsid w:val="0072181A"/>
    <w:rsid w:val="007218D4"/>
    <w:rsid w:val="00722AE8"/>
    <w:rsid w:val="00724239"/>
    <w:rsid w:val="00724BC7"/>
    <w:rsid w:val="007259D5"/>
    <w:rsid w:val="00726958"/>
    <w:rsid w:val="00730409"/>
    <w:rsid w:val="00732734"/>
    <w:rsid w:val="007337A1"/>
    <w:rsid w:val="0073415E"/>
    <w:rsid w:val="00734A90"/>
    <w:rsid w:val="00734D90"/>
    <w:rsid w:val="00735B9C"/>
    <w:rsid w:val="0073684E"/>
    <w:rsid w:val="00737143"/>
    <w:rsid w:val="0074072C"/>
    <w:rsid w:val="0074118D"/>
    <w:rsid w:val="00741AC9"/>
    <w:rsid w:val="00742310"/>
    <w:rsid w:val="0074308C"/>
    <w:rsid w:val="00743C4D"/>
    <w:rsid w:val="007450F9"/>
    <w:rsid w:val="00746479"/>
    <w:rsid w:val="00746A9C"/>
    <w:rsid w:val="0074722B"/>
    <w:rsid w:val="007474B9"/>
    <w:rsid w:val="007500F0"/>
    <w:rsid w:val="00750273"/>
    <w:rsid w:val="007513BD"/>
    <w:rsid w:val="007522E3"/>
    <w:rsid w:val="007529BA"/>
    <w:rsid w:val="00753269"/>
    <w:rsid w:val="00755242"/>
    <w:rsid w:val="0076033E"/>
    <w:rsid w:val="0076105D"/>
    <w:rsid w:val="00762A81"/>
    <w:rsid w:val="007648F5"/>
    <w:rsid w:val="007663EE"/>
    <w:rsid w:val="00766D37"/>
    <w:rsid w:val="007676EF"/>
    <w:rsid w:val="00767873"/>
    <w:rsid w:val="00773110"/>
    <w:rsid w:val="007747A5"/>
    <w:rsid w:val="00774C0D"/>
    <w:rsid w:val="00775436"/>
    <w:rsid w:val="0077652F"/>
    <w:rsid w:val="0078039C"/>
    <w:rsid w:val="00780539"/>
    <w:rsid w:val="00781BA3"/>
    <w:rsid w:val="007821D3"/>
    <w:rsid w:val="007827C4"/>
    <w:rsid w:val="00783E57"/>
    <w:rsid w:val="00784868"/>
    <w:rsid w:val="00784FA2"/>
    <w:rsid w:val="00785DED"/>
    <w:rsid w:val="007873B6"/>
    <w:rsid w:val="00787771"/>
    <w:rsid w:val="00787CD7"/>
    <w:rsid w:val="00790C04"/>
    <w:rsid w:val="00790EFB"/>
    <w:rsid w:val="00792B1A"/>
    <w:rsid w:val="00794B21"/>
    <w:rsid w:val="00794DC7"/>
    <w:rsid w:val="00795FAC"/>
    <w:rsid w:val="007974A9"/>
    <w:rsid w:val="00797B5D"/>
    <w:rsid w:val="007A0939"/>
    <w:rsid w:val="007A138C"/>
    <w:rsid w:val="007A2C82"/>
    <w:rsid w:val="007A322F"/>
    <w:rsid w:val="007A54D2"/>
    <w:rsid w:val="007A6706"/>
    <w:rsid w:val="007A684D"/>
    <w:rsid w:val="007A6A56"/>
    <w:rsid w:val="007A6F6F"/>
    <w:rsid w:val="007A6FEA"/>
    <w:rsid w:val="007A7792"/>
    <w:rsid w:val="007B0E2A"/>
    <w:rsid w:val="007B37AB"/>
    <w:rsid w:val="007B4CF9"/>
    <w:rsid w:val="007B614D"/>
    <w:rsid w:val="007B76F6"/>
    <w:rsid w:val="007C02BE"/>
    <w:rsid w:val="007C0E0C"/>
    <w:rsid w:val="007C26E2"/>
    <w:rsid w:val="007C2CC8"/>
    <w:rsid w:val="007C3224"/>
    <w:rsid w:val="007C37CD"/>
    <w:rsid w:val="007C3D03"/>
    <w:rsid w:val="007C4B9C"/>
    <w:rsid w:val="007C59AD"/>
    <w:rsid w:val="007C5EAB"/>
    <w:rsid w:val="007C60DF"/>
    <w:rsid w:val="007C6887"/>
    <w:rsid w:val="007C6CD2"/>
    <w:rsid w:val="007C74B4"/>
    <w:rsid w:val="007C7628"/>
    <w:rsid w:val="007D1033"/>
    <w:rsid w:val="007D3181"/>
    <w:rsid w:val="007D59CD"/>
    <w:rsid w:val="007D5CD5"/>
    <w:rsid w:val="007D6967"/>
    <w:rsid w:val="007D69C2"/>
    <w:rsid w:val="007E6348"/>
    <w:rsid w:val="007E7678"/>
    <w:rsid w:val="007E7854"/>
    <w:rsid w:val="007F0699"/>
    <w:rsid w:val="007F09E1"/>
    <w:rsid w:val="007F1969"/>
    <w:rsid w:val="007F1E46"/>
    <w:rsid w:val="007F2251"/>
    <w:rsid w:val="007F2580"/>
    <w:rsid w:val="007F25C7"/>
    <w:rsid w:val="007F3FE7"/>
    <w:rsid w:val="007F4850"/>
    <w:rsid w:val="007F4F96"/>
    <w:rsid w:val="007F5AA0"/>
    <w:rsid w:val="007F5EE5"/>
    <w:rsid w:val="007F777B"/>
    <w:rsid w:val="007F7AD1"/>
    <w:rsid w:val="008000B6"/>
    <w:rsid w:val="00800BD6"/>
    <w:rsid w:val="00800E35"/>
    <w:rsid w:val="00800E5F"/>
    <w:rsid w:val="00800F76"/>
    <w:rsid w:val="008010AE"/>
    <w:rsid w:val="008011D6"/>
    <w:rsid w:val="008013C7"/>
    <w:rsid w:val="008028B0"/>
    <w:rsid w:val="00803015"/>
    <w:rsid w:val="00803D85"/>
    <w:rsid w:val="008048D9"/>
    <w:rsid w:val="00804BFE"/>
    <w:rsid w:val="00805592"/>
    <w:rsid w:val="00807340"/>
    <w:rsid w:val="0080774E"/>
    <w:rsid w:val="00811C7B"/>
    <w:rsid w:val="00814C54"/>
    <w:rsid w:val="008152F0"/>
    <w:rsid w:val="008163BB"/>
    <w:rsid w:val="008168A8"/>
    <w:rsid w:val="00820049"/>
    <w:rsid w:val="00821AAF"/>
    <w:rsid w:val="008237F8"/>
    <w:rsid w:val="00824647"/>
    <w:rsid w:val="00825330"/>
    <w:rsid w:val="00825D03"/>
    <w:rsid w:val="008277D6"/>
    <w:rsid w:val="00827930"/>
    <w:rsid w:val="00832AD8"/>
    <w:rsid w:val="00836821"/>
    <w:rsid w:val="00840698"/>
    <w:rsid w:val="008413E0"/>
    <w:rsid w:val="00845145"/>
    <w:rsid w:val="0084516D"/>
    <w:rsid w:val="00846301"/>
    <w:rsid w:val="0084656D"/>
    <w:rsid w:val="008506BD"/>
    <w:rsid w:val="00852D2F"/>
    <w:rsid w:val="00852F2B"/>
    <w:rsid w:val="008548A1"/>
    <w:rsid w:val="008548FC"/>
    <w:rsid w:val="00855004"/>
    <w:rsid w:val="00856CD4"/>
    <w:rsid w:val="00857C43"/>
    <w:rsid w:val="00861302"/>
    <w:rsid w:val="0086232E"/>
    <w:rsid w:val="0086268F"/>
    <w:rsid w:val="0086288F"/>
    <w:rsid w:val="0086295C"/>
    <w:rsid w:val="00862B01"/>
    <w:rsid w:val="0086347A"/>
    <w:rsid w:val="0086409C"/>
    <w:rsid w:val="008643E8"/>
    <w:rsid w:val="008649C0"/>
    <w:rsid w:val="00864B05"/>
    <w:rsid w:val="00865A0F"/>
    <w:rsid w:val="008660C5"/>
    <w:rsid w:val="008667F9"/>
    <w:rsid w:val="00866E80"/>
    <w:rsid w:val="00866EEB"/>
    <w:rsid w:val="00866F51"/>
    <w:rsid w:val="00867326"/>
    <w:rsid w:val="00870749"/>
    <w:rsid w:val="00870C13"/>
    <w:rsid w:val="008710FF"/>
    <w:rsid w:val="008722AA"/>
    <w:rsid w:val="00873BDD"/>
    <w:rsid w:val="00874B41"/>
    <w:rsid w:val="00874F46"/>
    <w:rsid w:val="00881E55"/>
    <w:rsid w:val="00883A3C"/>
    <w:rsid w:val="00884674"/>
    <w:rsid w:val="0088548E"/>
    <w:rsid w:val="00885D44"/>
    <w:rsid w:val="008877FE"/>
    <w:rsid w:val="00887BC2"/>
    <w:rsid w:val="00890003"/>
    <w:rsid w:val="00891CDB"/>
    <w:rsid w:val="00892E0D"/>
    <w:rsid w:val="00893319"/>
    <w:rsid w:val="00894AA4"/>
    <w:rsid w:val="00895B62"/>
    <w:rsid w:val="00896551"/>
    <w:rsid w:val="008971DD"/>
    <w:rsid w:val="00897327"/>
    <w:rsid w:val="00897AEF"/>
    <w:rsid w:val="008A1531"/>
    <w:rsid w:val="008A1556"/>
    <w:rsid w:val="008A1E2A"/>
    <w:rsid w:val="008A2BD9"/>
    <w:rsid w:val="008A33AD"/>
    <w:rsid w:val="008A3C0C"/>
    <w:rsid w:val="008A4FA0"/>
    <w:rsid w:val="008A56CB"/>
    <w:rsid w:val="008A59D2"/>
    <w:rsid w:val="008A60B5"/>
    <w:rsid w:val="008A6A60"/>
    <w:rsid w:val="008B0302"/>
    <w:rsid w:val="008B0AD5"/>
    <w:rsid w:val="008B0CB5"/>
    <w:rsid w:val="008B13D8"/>
    <w:rsid w:val="008B41C2"/>
    <w:rsid w:val="008B5F72"/>
    <w:rsid w:val="008B7535"/>
    <w:rsid w:val="008B78E5"/>
    <w:rsid w:val="008B79E4"/>
    <w:rsid w:val="008C0B62"/>
    <w:rsid w:val="008C1A5B"/>
    <w:rsid w:val="008C1B9D"/>
    <w:rsid w:val="008C2922"/>
    <w:rsid w:val="008C38F1"/>
    <w:rsid w:val="008C58E1"/>
    <w:rsid w:val="008C5FDF"/>
    <w:rsid w:val="008C7291"/>
    <w:rsid w:val="008D17BA"/>
    <w:rsid w:val="008D3A8A"/>
    <w:rsid w:val="008D5565"/>
    <w:rsid w:val="008D5B54"/>
    <w:rsid w:val="008D6436"/>
    <w:rsid w:val="008D6A1C"/>
    <w:rsid w:val="008D73C7"/>
    <w:rsid w:val="008E0618"/>
    <w:rsid w:val="008E0E87"/>
    <w:rsid w:val="008E1C68"/>
    <w:rsid w:val="008E336C"/>
    <w:rsid w:val="008E4709"/>
    <w:rsid w:val="008E4C40"/>
    <w:rsid w:val="008E69EF"/>
    <w:rsid w:val="008E6F07"/>
    <w:rsid w:val="008E7889"/>
    <w:rsid w:val="008E797B"/>
    <w:rsid w:val="008F039A"/>
    <w:rsid w:val="008F1097"/>
    <w:rsid w:val="008F10A1"/>
    <w:rsid w:val="008F1691"/>
    <w:rsid w:val="008F1CB6"/>
    <w:rsid w:val="008F1F84"/>
    <w:rsid w:val="008F2FD0"/>
    <w:rsid w:val="008F33D9"/>
    <w:rsid w:val="008F594F"/>
    <w:rsid w:val="008F5995"/>
    <w:rsid w:val="008F61D5"/>
    <w:rsid w:val="008F6B05"/>
    <w:rsid w:val="008F7BA3"/>
    <w:rsid w:val="009019EB"/>
    <w:rsid w:val="00902789"/>
    <w:rsid w:val="0090292B"/>
    <w:rsid w:val="009030B0"/>
    <w:rsid w:val="00905103"/>
    <w:rsid w:val="00906126"/>
    <w:rsid w:val="00906323"/>
    <w:rsid w:val="00906632"/>
    <w:rsid w:val="00907D80"/>
    <w:rsid w:val="00912EBD"/>
    <w:rsid w:val="00912FC6"/>
    <w:rsid w:val="0091403B"/>
    <w:rsid w:val="00914CC5"/>
    <w:rsid w:val="00915838"/>
    <w:rsid w:val="009159E6"/>
    <w:rsid w:val="00916CDB"/>
    <w:rsid w:val="009175FF"/>
    <w:rsid w:val="00917B30"/>
    <w:rsid w:val="00917CF6"/>
    <w:rsid w:val="00917DC9"/>
    <w:rsid w:val="009212A0"/>
    <w:rsid w:val="00923C70"/>
    <w:rsid w:val="009250EC"/>
    <w:rsid w:val="00926193"/>
    <w:rsid w:val="009275D4"/>
    <w:rsid w:val="00930176"/>
    <w:rsid w:val="009321E1"/>
    <w:rsid w:val="00932D58"/>
    <w:rsid w:val="009333B3"/>
    <w:rsid w:val="00934DCB"/>
    <w:rsid w:val="00935337"/>
    <w:rsid w:val="00935AFC"/>
    <w:rsid w:val="00936769"/>
    <w:rsid w:val="009367D8"/>
    <w:rsid w:val="009368EA"/>
    <w:rsid w:val="00936AC0"/>
    <w:rsid w:val="009417C4"/>
    <w:rsid w:val="00941E90"/>
    <w:rsid w:val="009431A2"/>
    <w:rsid w:val="00943896"/>
    <w:rsid w:val="00943EA9"/>
    <w:rsid w:val="00944630"/>
    <w:rsid w:val="00945D81"/>
    <w:rsid w:val="00945FFA"/>
    <w:rsid w:val="00946311"/>
    <w:rsid w:val="00946A86"/>
    <w:rsid w:val="00947FCE"/>
    <w:rsid w:val="00950568"/>
    <w:rsid w:val="00951E0F"/>
    <w:rsid w:val="009521F4"/>
    <w:rsid w:val="009524BB"/>
    <w:rsid w:val="00952814"/>
    <w:rsid w:val="00952E2D"/>
    <w:rsid w:val="00953258"/>
    <w:rsid w:val="00953C07"/>
    <w:rsid w:val="00955669"/>
    <w:rsid w:val="0095728B"/>
    <w:rsid w:val="00961F2C"/>
    <w:rsid w:val="0096372A"/>
    <w:rsid w:val="00964074"/>
    <w:rsid w:val="009659CF"/>
    <w:rsid w:val="00966185"/>
    <w:rsid w:val="00966480"/>
    <w:rsid w:val="00967917"/>
    <w:rsid w:val="00970AFC"/>
    <w:rsid w:val="00970B8C"/>
    <w:rsid w:val="009711AB"/>
    <w:rsid w:val="00972F05"/>
    <w:rsid w:val="009758D3"/>
    <w:rsid w:val="00977757"/>
    <w:rsid w:val="00977B46"/>
    <w:rsid w:val="00980EF1"/>
    <w:rsid w:val="0098113F"/>
    <w:rsid w:val="009816D9"/>
    <w:rsid w:val="009823A4"/>
    <w:rsid w:val="009834BB"/>
    <w:rsid w:val="00985112"/>
    <w:rsid w:val="00990CE7"/>
    <w:rsid w:val="009919DC"/>
    <w:rsid w:val="00995BEB"/>
    <w:rsid w:val="00997A62"/>
    <w:rsid w:val="009A0980"/>
    <w:rsid w:val="009A186A"/>
    <w:rsid w:val="009A2119"/>
    <w:rsid w:val="009A28DE"/>
    <w:rsid w:val="009A3081"/>
    <w:rsid w:val="009A33BF"/>
    <w:rsid w:val="009A3E8A"/>
    <w:rsid w:val="009A47DE"/>
    <w:rsid w:val="009A518E"/>
    <w:rsid w:val="009A5ECB"/>
    <w:rsid w:val="009A65F3"/>
    <w:rsid w:val="009A69D2"/>
    <w:rsid w:val="009B01C4"/>
    <w:rsid w:val="009B0739"/>
    <w:rsid w:val="009B13BA"/>
    <w:rsid w:val="009B20CD"/>
    <w:rsid w:val="009B3141"/>
    <w:rsid w:val="009B38D5"/>
    <w:rsid w:val="009B39BF"/>
    <w:rsid w:val="009B60AC"/>
    <w:rsid w:val="009B64D4"/>
    <w:rsid w:val="009B7085"/>
    <w:rsid w:val="009B76F8"/>
    <w:rsid w:val="009C1E46"/>
    <w:rsid w:val="009C49BF"/>
    <w:rsid w:val="009C51EA"/>
    <w:rsid w:val="009C5DA7"/>
    <w:rsid w:val="009C68C2"/>
    <w:rsid w:val="009C6B42"/>
    <w:rsid w:val="009D024D"/>
    <w:rsid w:val="009D0B26"/>
    <w:rsid w:val="009D1BDE"/>
    <w:rsid w:val="009D2D52"/>
    <w:rsid w:val="009D375C"/>
    <w:rsid w:val="009D39BD"/>
    <w:rsid w:val="009D4901"/>
    <w:rsid w:val="009D6253"/>
    <w:rsid w:val="009D641C"/>
    <w:rsid w:val="009D691A"/>
    <w:rsid w:val="009D72F8"/>
    <w:rsid w:val="009D7FE8"/>
    <w:rsid w:val="009E19E9"/>
    <w:rsid w:val="009E2A09"/>
    <w:rsid w:val="009E2B68"/>
    <w:rsid w:val="009E2C0B"/>
    <w:rsid w:val="009E514D"/>
    <w:rsid w:val="009E6A42"/>
    <w:rsid w:val="009F0464"/>
    <w:rsid w:val="009F15AA"/>
    <w:rsid w:val="009F3688"/>
    <w:rsid w:val="009F3B6F"/>
    <w:rsid w:val="009F4884"/>
    <w:rsid w:val="009F5A5E"/>
    <w:rsid w:val="009F5B90"/>
    <w:rsid w:val="009F5F90"/>
    <w:rsid w:val="00A00DBC"/>
    <w:rsid w:val="00A01E6F"/>
    <w:rsid w:val="00A05C39"/>
    <w:rsid w:val="00A05F80"/>
    <w:rsid w:val="00A06ACD"/>
    <w:rsid w:val="00A07DA0"/>
    <w:rsid w:val="00A1029B"/>
    <w:rsid w:val="00A108E8"/>
    <w:rsid w:val="00A11FE2"/>
    <w:rsid w:val="00A148CC"/>
    <w:rsid w:val="00A14F15"/>
    <w:rsid w:val="00A17115"/>
    <w:rsid w:val="00A171B8"/>
    <w:rsid w:val="00A20925"/>
    <w:rsid w:val="00A24503"/>
    <w:rsid w:val="00A24845"/>
    <w:rsid w:val="00A26BDE"/>
    <w:rsid w:val="00A26D8B"/>
    <w:rsid w:val="00A279E3"/>
    <w:rsid w:val="00A3154F"/>
    <w:rsid w:val="00A32E82"/>
    <w:rsid w:val="00A338F3"/>
    <w:rsid w:val="00A36882"/>
    <w:rsid w:val="00A36979"/>
    <w:rsid w:val="00A37061"/>
    <w:rsid w:val="00A37589"/>
    <w:rsid w:val="00A40632"/>
    <w:rsid w:val="00A40DB6"/>
    <w:rsid w:val="00A426BD"/>
    <w:rsid w:val="00A42B4E"/>
    <w:rsid w:val="00A4307F"/>
    <w:rsid w:val="00A4382A"/>
    <w:rsid w:val="00A4498A"/>
    <w:rsid w:val="00A453A9"/>
    <w:rsid w:val="00A45A20"/>
    <w:rsid w:val="00A46967"/>
    <w:rsid w:val="00A46FD8"/>
    <w:rsid w:val="00A4726E"/>
    <w:rsid w:val="00A5283D"/>
    <w:rsid w:val="00A550C3"/>
    <w:rsid w:val="00A5510A"/>
    <w:rsid w:val="00A55A48"/>
    <w:rsid w:val="00A565FF"/>
    <w:rsid w:val="00A5688E"/>
    <w:rsid w:val="00A568E7"/>
    <w:rsid w:val="00A56E2C"/>
    <w:rsid w:val="00A61913"/>
    <w:rsid w:val="00A6276C"/>
    <w:rsid w:val="00A62B86"/>
    <w:rsid w:val="00A63A89"/>
    <w:rsid w:val="00A63D50"/>
    <w:rsid w:val="00A6407A"/>
    <w:rsid w:val="00A6445C"/>
    <w:rsid w:val="00A66C76"/>
    <w:rsid w:val="00A72976"/>
    <w:rsid w:val="00A7497F"/>
    <w:rsid w:val="00A74ABE"/>
    <w:rsid w:val="00A75348"/>
    <w:rsid w:val="00A75A87"/>
    <w:rsid w:val="00A7666F"/>
    <w:rsid w:val="00A77011"/>
    <w:rsid w:val="00A77540"/>
    <w:rsid w:val="00A77F94"/>
    <w:rsid w:val="00A80097"/>
    <w:rsid w:val="00A813DC"/>
    <w:rsid w:val="00A81499"/>
    <w:rsid w:val="00A826BF"/>
    <w:rsid w:val="00A84460"/>
    <w:rsid w:val="00A84932"/>
    <w:rsid w:val="00A8517D"/>
    <w:rsid w:val="00A85778"/>
    <w:rsid w:val="00A862E3"/>
    <w:rsid w:val="00A86740"/>
    <w:rsid w:val="00A86889"/>
    <w:rsid w:val="00A8697F"/>
    <w:rsid w:val="00A86F57"/>
    <w:rsid w:val="00A87C96"/>
    <w:rsid w:val="00A9222C"/>
    <w:rsid w:val="00A93F85"/>
    <w:rsid w:val="00A94F56"/>
    <w:rsid w:val="00A96D6E"/>
    <w:rsid w:val="00A9761D"/>
    <w:rsid w:val="00AA0475"/>
    <w:rsid w:val="00AA1C53"/>
    <w:rsid w:val="00AA393B"/>
    <w:rsid w:val="00AA63A5"/>
    <w:rsid w:val="00AA6B1E"/>
    <w:rsid w:val="00AA7165"/>
    <w:rsid w:val="00AA759D"/>
    <w:rsid w:val="00AB0FF7"/>
    <w:rsid w:val="00AB1E26"/>
    <w:rsid w:val="00AB2740"/>
    <w:rsid w:val="00AB478F"/>
    <w:rsid w:val="00AB4F5B"/>
    <w:rsid w:val="00AB63BF"/>
    <w:rsid w:val="00AB780A"/>
    <w:rsid w:val="00AB7A33"/>
    <w:rsid w:val="00AB7A8F"/>
    <w:rsid w:val="00AB7E26"/>
    <w:rsid w:val="00AC2862"/>
    <w:rsid w:val="00AC2C8A"/>
    <w:rsid w:val="00AC2DE8"/>
    <w:rsid w:val="00AC31ED"/>
    <w:rsid w:val="00AC36BF"/>
    <w:rsid w:val="00AC3B03"/>
    <w:rsid w:val="00AC404C"/>
    <w:rsid w:val="00AC61C3"/>
    <w:rsid w:val="00AC73A4"/>
    <w:rsid w:val="00AD19EC"/>
    <w:rsid w:val="00AD2999"/>
    <w:rsid w:val="00AD31D2"/>
    <w:rsid w:val="00AD3F01"/>
    <w:rsid w:val="00AD49BA"/>
    <w:rsid w:val="00AD4C91"/>
    <w:rsid w:val="00AD5603"/>
    <w:rsid w:val="00AD7547"/>
    <w:rsid w:val="00AE0B2E"/>
    <w:rsid w:val="00AE0BBB"/>
    <w:rsid w:val="00AE22C5"/>
    <w:rsid w:val="00AE657E"/>
    <w:rsid w:val="00AE75CD"/>
    <w:rsid w:val="00AE768A"/>
    <w:rsid w:val="00AF2AA3"/>
    <w:rsid w:val="00AF4AB2"/>
    <w:rsid w:val="00AF4E96"/>
    <w:rsid w:val="00AF5644"/>
    <w:rsid w:val="00AF706B"/>
    <w:rsid w:val="00AF7FB9"/>
    <w:rsid w:val="00B006A4"/>
    <w:rsid w:val="00B007D7"/>
    <w:rsid w:val="00B00D42"/>
    <w:rsid w:val="00B00EB5"/>
    <w:rsid w:val="00B037D5"/>
    <w:rsid w:val="00B06472"/>
    <w:rsid w:val="00B06831"/>
    <w:rsid w:val="00B10007"/>
    <w:rsid w:val="00B100D6"/>
    <w:rsid w:val="00B10115"/>
    <w:rsid w:val="00B10B5D"/>
    <w:rsid w:val="00B10EDB"/>
    <w:rsid w:val="00B11963"/>
    <w:rsid w:val="00B11BC4"/>
    <w:rsid w:val="00B12065"/>
    <w:rsid w:val="00B12838"/>
    <w:rsid w:val="00B1518D"/>
    <w:rsid w:val="00B21287"/>
    <w:rsid w:val="00B23557"/>
    <w:rsid w:val="00B26604"/>
    <w:rsid w:val="00B268A9"/>
    <w:rsid w:val="00B303BD"/>
    <w:rsid w:val="00B3081B"/>
    <w:rsid w:val="00B31DF8"/>
    <w:rsid w:val="00B320F5"/>
    <w:rsid w:val="00B32F74"/>
    <w:rsid w:val="00B34947"/>
    <w:rsid w:val="00B35796"/>
    <w:rsid w:val="00B36E83"/>
    <w:rsid w:val="00B370AB"/>
    <w:rsid w:val="00B40E80"/>
    <w:rsid w:val="00B434CA"/>
    <w:rsid w:val="00B445F0"/>
    <w:rsid w:val="00B44E4F"/>
    <w:rsid w:val="00B46A91"/>
    <w:rsid w:val="00B47384"/>
    <w:rsid w:val="00B502EE"/>
    <w:rsid w:val="00B511AA"/>
    <w:rsid w:val="00B51229"/>
    <w:rsid w:val="00B515B6"/>
    <w:rsid w:val="00B52687"/>
    <w:rsid w:val="00B53295"/>
    <w:rsid w:val="00B53D7D"/>
    <w:rsid w:val="00B5405A"/>
    <w:rsid w:val="00B54170"/>
    <w:rsid w:val="00B54D14"/>
    <w:rsid w:val="00B61470"/>
    <w:rsid w:val="00B61D11"/>
    <w:rsid w:val="00B63B03"/>
    <w:rsid w:val="00B6462C"/>
    <w:rsid w:val="00B66232"/>
    <w:rsid w:val="00B6734D"/>
    <w:rsid w:val="00B67995"/>
    <w:rsid w:val="00B702A6"/>
    <w:rsid w:val="00B70D19"/>
    <w:rsid w:val="00B726DA"/>
    <w:rsid w:val="00B72985"/>
    <w:rsid w:val="00B75B3B"/>
    <w:rsid w:val="00B76392"/>
    <w:rsid w:val="00B7658C"/>
    <w:rsid w:val="00B76D85"/>
    <w:rsid w:val="00B76EBD"/>
    <w:rsid w:val="00B7785F"/>
    <w:rsid w:val="00B77883"/>
    <w:rsid w:val="00B81629"/>
    <w:rsid w:val="00B81B48"/>
    <w:rsid w:val="00B8295E"/>
    <w:rsid w:val="00B835FF"/>
    <w:rsid w:val="00B8560D"/>
    <w:rsid w:val="00B86491"/>
    <w:rsid w:val="00B86F9E"/>
    <w:rsid w:val="00B87C96"/>
    <w:rsid w:val="00B9114A"/>
    <w:rsid w:val="00B93731"/>
    <w:rsid w:val="00B96328"/>
    <w:rsid w:val="00B97923"/>
    <w:rsid w:val="00B97C72"/>
    <w:rsid w:val="00BA32DF"/>
    <w:rsid w:val="00BA4523"/>
    <w:rsid w:val="00BA4F1A"/>
    <w:rsid w:val="00BA575E"/>
    <w:rsid w:val="00BA5DCD"/>
    <w:rsid w:val="00BA772B"/>
    <w:rsid w:val="00BA7BC8"/>
    <w:rsid w:val="00BB0113"/>
    <w:rsid w:val="00BB0E5B"/>
    <w:rsid w:val="00BB0FDF"/>
    <w:rsid w:val="00BB10C3"/>
    <w:rsid w:val="00BB50B2"/>
    <w:rsid w:val="00BB5482"/>
    <w:rsid w:val="00BB6C1D"/>
    <w:rsid w:val="00BC06A0"/>
    <w:rsid w:val="00BC2B61"/>
    <w:rsid w:val="00BC34DF"/>
    <w:rsid w:val="00BC4041"/>
    <w:rsid w:val="00BC55A2"/>
    <w:rsid w:val="00BC6902"/>
    <w:rsid w:val="00BC7920"/>
    <w:rsid w:val="00BD02C4"/>
    <w:rsid w:val="00BD0940"/>
    <w:rsid w:val="00BD2D06"/>
    <w:rsid w:val="00BD2E0D"/>
    <w:rsid w:val="00BD2EB6"/>
    <w:rsid w:val="00BD392F"/>
    <w:rsid w:val="00BD3C65"/>
    <w:rsid w:val="00BD4AB8"/>
    <w:rsid w:val="00BD4AE4"/>
    <w:rsid w:val="00BD75C4"/>
    <w:rsid w:val="00BE2B07"/>
    <w:rsid w:val="00BE368A"/>
    <w:rsid w:val="00BE52B1"/>
    <w:rsid w:val="00BE56AC"/>
    <w:rsid w:val="00BE6E0F"/>
    <w:rsid w:val="00BE710B"/>
    <w:rsid w:val="00BE7750"/>
    <w:rsid w:val="00BF0154"/>
    <w:rsid w:val="00BF1A20"/>
    <w:rsid w:val="00BF2092"/>
    <w:rsid w:val="00BF22D0"/>
    <w:rsid w:val="00BF43E1"/>
    <w:rsid w:val="00BF50AE"/>
    <w:rsid w:val="00BF5335"/>
    <w:rsid w:val="00BF5EA2"/>
    <w:rsid w:val="00C0083B"/>
    <w:rsid w:val="00C01716"/>
    <w:rsid w:val="00C03426"/>
    <w:rsid w:val="00C057D3"/>
    <w:rsid w:val="00C07711"/>
    <w:rsid w:val="00C11CD2"/>
    <w:rsid w:val="00C147C0"/>
    <w:rsid w:val="00C17418"/>
    <w:rsid w:val="00C179F8"/>
    <w:rsid w:val="00C17B93"/>
    <w:rsid w:val="00C17EFB"/>
    <w:rsid w:val="00C20C46"/>
    <w:rsid w:val="00C219E4"/>
    <w:rsid w:val="00C22008"/>
    <w:rsid w:val="00C31DAD"/>
    <w:rsid w:val="00C322DC"/>
    <w:rsid w:val="00C324C0"/>
    <w:rsid w:val="00C339F2"/>
    <w:rsid w:val="00C40B5B"/>
    <w:rsid w:val="00C41EC6"/>
    <w:rsid w:val="00C421FF"/>
    <w:rsid w:val="00C453FD"/>
    <w:rsid w:val="00C46D1C"/>
    <w:rsid w:val="00C50FE2"/>
    <w:rsid w:val="00C51021"/>
    <w:rsid w:val="00C52552"/>
    <w:rsid w:val="00C52A6E"/>
    <w:rsid w:val="00C53B4A"/>
    <w:rsid w:val="00C54AF2"/>
    <w:rsid w:val="00C54AF4"/>
    <w:rsid w:val="00C5638B"/>
    <w:rsid w:val="00C57BA2"/>
    <w:rsid w:val="00C57FF1"/>
    <w:rsid w:val="00C60642"/>
    <w:rsid w:val="00C60704"/>
    <w:rsid w:val="00C608F8"/>
    <w:rsid w:val="00C61919"/>
    <w:rsid w:val="00C647D0"/>
    <w:rsid w:val="00C657FB"/>
    <w:rsid w:val="00C658C9"/>
    <w:rsid w:val="00C668A8"/>
    <w:rsid w:val="00C66BD4"/>
    <w:rsid w:val="00C70B2D"/>
    <w:rsid w:val="00C71966"/>
    <w:rsid w:val="00C7462C"/>
    <w:rsid w:val="00C75B7E"/>
    <w:rsid w:val="00C76661"/>
    <w:rsid w:val="00C7680B"/>
    <w:rsid w:val="00C76E86"/>
    <w:rsid w:val="00C775B7"/>
    <w:rsid w:val="00C775F1"/>
    <w:rsid w:val="00C77ECB"/>
    <w:rsid w:val="00C80934"/>
    <w:rsid w:val="00C809D2"/>
    <w:rsid w:val="00C8186E"/>
    <w:rsid w:val="00C81D43"/>
    <w:rsid w:val="00C858EC"/>
    <w:rsid w:val="00C879CA"/>
    <w:rsid w:val="00C90476"/>
    <w:rsid w:val="00C90E96"/>
    <w:rsid w:val="00C91328"/>
    <w:rsid w:val="00C9578E"/>
    <w:rsid w:val="00C957EF"/>
    <w:rsid w:val="00C97816"/>
    <w:rsid w:val="00CA06E6"/>
    <w:rsid w:val="00CA07F1"/>
    <w:rsid w:val="00CA2DD6"/>
    <w:rsid w:val="00CA3A4A"/>
    <w:rsid w:val="00CA4318"/>
    <w:rsid w:val="00CA4D7F"/>
    <w:rsid w:val="00CA5031"/>
    <w:rsid w:val="00CB44F2"/>
    <w:rsid w:val="00CB5019"/>
    <w:rsid w:val="00CB5109"/>
    <w:rsid w:val="00CB5378"/>
    <w:rsid w:val="00CB6FD6"/>
    <w:rsid w:val="00CB70EB"/>
    <w:rsid w:val="00CB7609"/>
    <w:rsid w:val="00CC006B"/>
    <w:rsid w:val="00CC11E3"/>
    <w:rsid w:val="00CC225C"/>
    <w:rsid w:val="00CC35E5"/>
    <w:rsid w:val="00CC48CF"/>
    <w:rsid w:val="00CC4C23"/>
    <w:rsid w:val="00CC4CFE"/>
    <w:rsid w:val="00CC5EA2"/>
    <w:rsid w:val="00CC60B0"/>
    <w:rsid w:val="00CC7253"/>
    <w:rsid w:val="00CD0DEC"/>
    <w:rsid w:val="00CD1DE4"/>
    <w:rsid w:val="00CD33C7"/>
    <w:rsid w:val="00CD4CD8"/>
    <w:rsid w:val="00CD5210"/>
    <w:rsid w:val="00CD526F"/>
    <w:rsid w:val="00CD6908"/>
    <w:rsid w:val="00CD74BA"/>
    <w:rsid w:val="00CD7874"/>
    <w:rsid w:val="00CE2C32"/>
    <w:rsid w:val="00CE2D64"/>
    <w:rsid w:val="00CE3E52"/>
    <w:rsid w:val="00CE48D0"/>
    <w:rsid w:val="00CE5963"/>
    <w:rsid w:val="00CE5B20"/>
    <w:rsid w:val="00CE7B31"/>
    <w:rsid w:val="00CF1C0C"/>
    <w:rsid w:val="00CF4EB2"/>
    <w:rsid w:val="00CF4F20"/>
    <w:rsid w:val="00CF5FB7"/>
    <w:rsid w:val="00CF62A8"/>
    <w:rsid w:val="00D0203A"/>
    <w:rsid w:val="00D0280C"/>
    <w:rsid w:val="00D03785"/>
    <w:rsid w:val="00D057C9"/>
    <w:rsid w:val="00D05E91"/>
    <w:rsid w:val="00D06247"/>
    <w:rsid w:val="00D0665B"/>
    <w:rsid w:val="00D0766C"/>
    <w:rsid w:val="00D077A1"/>
    <w:rsid w:val="00D10773"/>
    <w:rsid w:val="00D1113A"/>
    <w:rsid w:val="00D11F1B"/>
    <w:rsid w:val="00D12C2E"/>
    <w:rsid w:val="00D15D97"/>
    <w:rsid w:val="00D16060"/>
    <w:rsid w:val="00D161E1"/>
    <w:rsid w:val="00D174AE"/>
    <w:rsid w:val="00D17C39"/>
    <w:rsid w:val="00D20127"/>
    <w:rsid w:val="00D2119B"/>
    <w:rsid w:val="00D22CD3"/>
    <w:rsid w:val="00D23542"/>
    <w:rsid w:val="00D24B0F"/>
    <w:rsid w:val="00D24F66"/>
    <w:rsid w:val="00D259C0"/>
    <w:rsid w:val="00D259EF"/>
    <w:rsid w:val="00D25CD8"/>
    <w:rsid w:val="00D25D1F"/>
    <w:rsid w:val="00D266F6"/>
    <w:rsid w:val="00D26856"/>
    <w:rsid w:val="00D30998"/>
    <w:rsid w:val="00D30B48"/>
    <w:rsid w:val="00D30EA3"/>
    <w:rsid w:val="00D31630"/>
    <w:rsid w:val="00D323E0"/>
    <w:rsid w:val="00D32C64"/>
    <w:rsid w:val="00D335CE"/>
    <w:rsid w:val="00D338F6"/>
    <w:rsid w:val="00D33DA4"/>
    <w:rsid w:val="00D340F2"/>
    <w:rsid w:val="00D35A01"/>
    <w:rsid w:val="00D42001"/>
    <w:rsid w:val="00D422CD"/>
    <w:rsid w:val="00D42481"/>
    <w:rsid w:val="00D43B25"/>
    <w:rsid w:val="00D4440C"/>
    <w:rsid w:val="00D46945"/>
    <w:rsid w:val="00D46A70"/>
    <w:rsid w:val="00D50697"/>
    <w:rsid w:val="00D508CB"/>
    <w:rsid w:val="00D51C49"/>
    <w:rsid w:val="00D52B89"/>
    <w:rsid w:val="00D5358F"/>
    <w:rsid w:val="00D5430A"/>
    <w:rsid w:val="00D54B5C"/>
    <w:rsid w:val="00D55346"/>
    <w:rsid w:val="00D55C5F"/>
    <w:rsid w:val="00D56ADF"/>
    <w:rsid w:val="00D57874"/>
    <w:rsid w:val="00D6053F"/>
    <w:rsid w:val="00D612C4"/>
    <w:rsid w:val="00D61739"/>
    <w:rsid w:val="00D61BAE"/>
    <w:rsid w:val="00D62A34"/>
    <w:rsid w:val="00D6361A"/>
    <w:rsid w:val="00D6613B"/>
    <w:rsid w:val="00D67089"/>
    <w:rsid w:val="00D67D4C"/>
    <w:rsid w:val="00D67EE5"/>
    <w:rsid w:val="00D71454"/>
    <w:rsid w:val="00D72028"/>
    <w:rsid w:val="00D720B1"/>
    <w:rsid w:val="00D743A6"/>
    <w:rsid w:val="00D7481C"/>
    <w:rsid w:val="00D7538F"/>
    <w:rsid w:val="00D75712"/>
    <w:rsid w:val="00D76399"/>
    <w:rsid w:val="00D77D3E"/>
    <w:rsid w:val="00D80CE6"/>
    <w:rsid w:val="00D80CFB"/>
    <w:rsid w:val="00D8265D"/>
    <w:rsid w:val="00D827E3"/>
    <w:rsid w:val="00D82864"/>
    <w:rsid w:val="00D832C0"/>
    <w:rsid w:val="00D84463"/>
    <w:rsid w:val="00D847C7"/>
    <w:rsid w:val="00D848E1"/>
    <w:rsid w:val="00D85C44"/>
    <w:rsid w:val="00D860E1"/>
    <w:rsid w:val="00D87023"/>
    <w:rsid w:val="00D90238"/>
    <w:rsid w:val="00D92A9E"/>
    <w:rsid w:val="00D92F24"/>
    <w:rsid w:val="00D9322F"/>
    <w:rsid w:val="00D94595"/>
    <w:rsid w:val="00D9485A"/>
    <w:rsid w:val="00D94C88"/>
    <w:rsid w:val="00D95119"/>
    <w:rsid w:val="00D96FB3"/>
    <w:rsid w:val="00D97305"/>
    <w:rsid w:val="00DA14E4"/>
    <w:rsid w:val="00DA1EA0"/>
    <w:rsid w:val="00DA270D"/>
    <w:rsid w:val="00DA33F7"/>
    <w:rsid w:val="00DA6C41"/>
    <w:rsid w:val="00DA6C76"/>
    <w:rsid w:val="00DA7AAE"/>
    <w:rsid w:val="00DB10A6"/>
    <w:rsid w:val="00DB11D9"/>
    <w:rsid w:val="00DB2E33"/>
    <w:rsid w:val="00DB3435"/>
    <w:rsid w:val="00DB3C44"/>
    <w:rsid w:val="00DB4297"/>
    <w:rsid w:val="00DB4594"/>
    <w:rsid w:val="00DB4D0A"/>
    <w:rsid w:val="00DB4DD4"/>
    <w:rsid w:val="00DB59AB"/>
    <w:rsid w:val="00DB64DD"/>
    <w:rsid w:val="00DB65A1"/>
    <w:rsid w:val="00DB67EF"/>
    <w:rsid w:val="00DC0D21"/>
    <w:rsid w:val="00DC17E4"/>
    <w:rsid w:val="00DC1D36"/>
    <w:rsid w:val="00DC254B"/>
    <w:rsid w:val="00DC2FF4"/>
    <w:rsid w:val="00DC37D9"/>
    <w:rsid w:val="00DC40B0"/>
    <w:rsid w:val="00DC4381"/>
    <w:rsid w:val="00DC4660"/>
    <w:rsid w:val="00DC7A27"/>
    <w:rsid w:val="00DD0296"/>
    <w:rsid w:val="00DD0AD2"/>
    <w:rsid w:val="00DD0B19"/>
    <w:rsid w:val="00DD37F8"/>
    <w:rsid w:val="00DD3DAC"/>
    <w:rsid w:val="00DD461A"/>
    <w:rsid w:val="00DD566B"/>
    <w:rsid w:val="00DD6719"/>
    <w:rsid w:val="00DD6FE1"/>
    <w:rsid w:val="00DE1E7E"/>
    <w:rsid w:val="00DE3983"/>
    <w:rsid w:val="00DE3BE9"/>
    <w:rsid w:val="00DE42E3"/>
    <w:rsid w:val="00DE4DDC"/>
    <w:rsid w:val="00DE50BB"/>
    <w:rsid w:val="00DE59D6"/>
    <w:rsid w:val="00DE672D"/>
    <w:rsid w:val="00DE6797"/>
    <w:rsid w:val="00DE6C6B"/>
    <w:rsid w:val="00DE7C61"/>
    <w:rsid w:val="00DF08EC"/>
    <w:rsid w:val="00DF13EE"/>
    <w:rsid w:val="00DF2A52"/>
    <w:rsid w:val="00DF476E"/>
    <w:rsid w:val="00DF4A3E"/>
    <w:rsid w:val="00DF4D5C"/>
    <w:rsid w:val="00DF6A0A"/>
    <w:rsid w:val="00DF6BE2"/>
    <w:rsid w:val="00E0093D"/>
    <w:rsid w:val="00E00992"/>
    <w:rsid w:val="00E00B04"/>
    <w:rsid w:val="00E02446"/>
    <w:rsid w:val="00E0446C"/>
    <w:rsid w:val="00E05AC3"/>
    <w:rsid w:val="00E0677F"/>
    <w:rsid w:val="00E100EE"/>
    <w:rsid w:val="00E1013D"/>
    <w:rsid w:val="00E1061E"/>
    <w:rsid w:val="00E10F98"/>
    <w:rsid w:val="00E1162E"/>
    <w:rsid w:val="00E13C97"/>
    <w:rsid w:val="00E16155"/>
    <w:rsid w:val="00E16E8F"/>
    <w:rsid w:val="00E17963"/>
    <w:rsid w:val="00E2008A"/>
    <w:rsid w:val="00E20CC2"/>
    <w:rsid w:val="00E21DFF"/>
    <w:rsid w:val="00E223C9"/>
    <w:rsid w:val="00E2415E"/>
    <w:rsid w:val="00E24720"/>
    <w:rsid w:val="00E2524F"/>
    <w:rsid w:val="00E26FD9"/>
    <w:rsid w:val="00E30A6D"/>
    <w:rsid w:val="00E31481"/>
    <w:rsid w:val="00E32CC8"/>
    <w:rsid w:val="00E335C8"/>
    <w:rsid w:val="00E33A04"/>
    <w:rsid w:val="00E37DB0"/>
    <w:rsid w:val="00E40160"/>
    <w:rsid w:val="00E4018E"/>
    <w:rsid w:val="00E41DC1"/>
    <w:rsid w:val="00E42388"/>
    <w:rsid w:val="00E428EB"/>
    <w:rsid w:val="00E431E4"/>
    <w:rsid w:val="00E4509D"/>
    <w:rsid w:val="00E477C2"/>
    <w:rsid w:val="00E47AD9"/>
    <w:rsid w:val="00E5108E"/>
    <w:rsid w:val="00E52083"/>
    <w:rsid w:val="00E520D6"/>
    <w:rsid w:val="00E532BA"/>
    <w:rsid w:val="00E54341"/>
    <w:rsid w:val="00E560F4"/>
    <w:rsid w:val="00E57173"/>
    <w:rsid w:val="00E57849"/>
    <w:rsid w:val="00E57C15"/>
    <w:rsid w:val="00E61EFE"/>
    <w:rsid w:val="00E63231"/>
    <w:rsid w:val="00E64801"/>
    <w:rsid w:val="00E65863"/>
    <w:rsid w:val="00E67F36"/>
    <w:rsid w:val="00E72FAB"/>
    <w:rsid w:val="00E80579"/>
    <w:rsid w:val="00E80D1B"/>
    <w:rsid w:val="00E827C0"/>
    <w:rsid w:val="00E8291C"/>
    <w:rsid w:val="00E8315F"/>
    <w:rsid w:val="00E83C51"/>
    <w:rsid w:val="00E83E73"/>
    <w:rsid w:val="00E842A4"/>
    <w:rsid w:val="00E842AB"/>
    <w:rsid w:val="00E85268"/>
    <w:rsid w:val="00E85415"/>
    <w:rsid w:val="00E85C09"/>
    <w:rsid w:val="00E85E02"/>
    <w:rsid w:val="00E8666B"/>
    <w:rsid w:val="00E908AD"/>
    <w:rsid w:val="00E91398"/>
    <w:rsid w:val="00E9447B"/>
    <w:rsid w:val="00E960EB"/>
    <w:rsid w:val="00E97DE6"/>
    <w:rsid w:val="00EA0AA5"/>
    <w:rsid w:val="00EA109D"/>
    <w:rsid w:val="00EA20A6"/>
    <w:rsid w:val="00EA2A84"/>
    <w:rsid w:val="00EA2BDC"/>
    <w:rsid w:val="00EA2D19"/>
    <w:rsid w:val="00EA316B"/>
    <w:rsid w:val="00EA42F6"/>
    <w:rsid w:val="00EB03B7"/>
    <w:rsid w:val="00EB0F03"/>
    <w:rsid w:val="00EB11D4"/>
    <w:rsid w:val="00EB17CB"/>
    <w:rsid w:val="00EB2C5D"/>
    <w:rsid w:val="00EB2C79"/>
    <w:rsid w:val="00EB33D7"/>
    <w:rsid w:val="00EB3892"/>
    <w:rsid w:val="00EB3DD2"/>
    <w:rsid w:val="00EB7FDB"/>
    <w:rsid w:val="00EC01E4"/>
    <w:rsid w:val="00EC0548"/>
    <w:rsid w:val="00EC0A32"/>
    <w:rsid w:val="00EC263A"/>
    <w:rsid w:val="00EC3FF5"/>
    <w:rsid w:val="00EC474E"/>
    <w:rsid w:val="00EC6491"/>
    <w:rsid w:val="00EC6C6C"/>
    <w:rsid w:val="00EC70F1"/>
    <w:rsid w:val="00ED550E"/>
    <w:rsid w:val="00ED5D34"/>
    <w:rsid w:val="00ED6284"/>
    <w:rsid w:val="00ED63BD"/>
    <w:rsid w:val="00ED6EDF"/>
    <w:rsid w:val="00ED7ABB"/>
    <w:rsid w:val="00ED7E0C"/>
    <w:rsid w:val="00EE0272"/>
    <w:rsid w:val="00EE1E2D"/>
    <w:rsid w:val="00EE28C5"/>
    <w:rsid w:val="00EE4087"/>
    <w:rsid w:val="00EE42ED"/>
    <w:rsid w:val="00EE51C2"/>
    <w:rsid w:val="00EE592D"/>
    <w:rsid w:val="00EE64A9"/>
    <w:rsid w:val="00EE67FE"/>
    <w:rsid w:val="00EE6861"/>
    <w:rsid w:val="00EE6B1B"/>
    <w:rsid w:val="00EE6F8F"/>
    <w:rsid w:val="00EE7953"/>
    <w:rsid w:val="00EF0617"/>
    <w:rsid w:val="00EF1873"/>
    <w:rsid w:val="00EF418E"/>
    <w:rsid w:val="00EF4771"/>
    <w:rsid w:val="00EF4D0A"/>
    <w:rsid w:val="00EF5285"/>
    <w:rsid w:val="00EF5D0C"/>
    <w:rsid w:val="00EF5D9D"/>
    <w:rsid w:val="00EF68D0"/>
    <w:rsid w:val="00F00096"/>
    <w:rsid w:val="00F0025D"/>
    <w:rsid w:val="00F01847"/>
    <w:rsid w:val="00F02645"/>
    <w:rsid w:val="00F03087"/>
    <w:rsid w:val="00F03772"/>
    <w:rsid w:val="00F04A78"/>
    <w:rsid w:val="00F04BE4"/>
    <w:rsid w:val="00F0742D"/>
    <w:rsid w:val="00F075AD"/>
    <w:rsid w:val="00F075CC"/>
    <w:rsid w:val="00F07D2A"/>
    <w:rsid w:val="00F111F3"/>
    <w:rsid w:val="00F13195"/>
    <w:rsid w:val="00F13AE7"/>
    <w:rsid w:val="00F14670"/>
    <w:rsid w:val="00F15334"/>
    <w:rsid w:val="00F157B8"/>
    <w:rsid w:val="00F169FA"/>
    <w:rsid w:val="00F17210"/>
    <w:rsid w:val="00F2143F"/>
    <w:rsid w:val="00F21DDE"/>
    <w:rsid w:val="00F2273E"/>
    <w:rsid w:val="00F23E23"/>
    <w:rsid w:val="00F242A2"/>
    <w:rsid w:val="00F25FC2"/>
    <w:rsid w:val="00F2767A"/>
    <w:rsid w:val="00F27C1E"/>
    <w:rsid w:val="00F27CB4"/>
    <w:rsid w:val="00F31547"/>
    <w:rsid w:val="00F31A97"/>
    <w:rsid w:val="00F32D78"/>
    <w:rsid w:val="00F3308B"/>
    <w:rsid w:val="00F33D16"/>
    <w:rsid w:val="00F33D35"/>
    <w:rsid w:val="00F34B0F"/>
    <w:rsid w:val="00F34F15"/>
    <w:rsid w:val="00F3556B"/>
    <w:rsid w:val="00F370CB"/>
    <w:rsid w:val="00F37220"/>
    <w:rsid w:val="00F3743E"/>
    <w:rsid w:val="00F37904"/>
    <w:rsid w:val="00F40E5A"/>
    <w:rsid w:val="00F40F2D"/>
    <w:rsid w:val="00F41AAE"/>
    <w:rsid w:val="00F423F6"/>
    <w:rsid w:val="00F4446B"/>
    <w:rsid w:val="00F44E64"/>
    <w:rsid w:val="00F45647"/>
    <w:rsid w:val="00F47DD9"/>
    <w:rsid w:val="00F501C1"/>
    <w:rsid w:val="00F51676"/>
    <w:rsid w:val="00F55EC2"/>
    <w:rsid w:val="00F5672D"/>
    <w:rsid w:val="00F570E6"/>
    <w:rsid w:val="00F576C7"/>
    <w:rsid w:val="00F60E13"/>
    <w:rsid w:val="00F62431"/>
    <w:rsid w:val="00F62DAB"/>
    <w:rsid w:val="00F642E4"/>
    <w:rsid w:val="00F6452E"/>
    <w:rsid w:val="00F65647"/>
    <w:rsid w:val="00F6628F"/>
    <w:rsid w:val="00F66B8A"/>
    <w:rsid w:val="00F6713B"/>
    <w:rsid w:val="00F6739E"/>
    <w:rsid w:val="00F71B4A"/>
    <w:rsid w:val="00F76110"/>
    <w:rsid w:val="00F761DD"/>
    <w:rsid w:val="00F76439"/>
    <w:rsid w:val="00F808F1"/>
    <w:rsid w:val="00F80AB4"/>
    <w:rsid w:val="00F80B4B"/>
    <w:rsid w:val="00F81547"/>
    <w:rsid w:val="00F82791"/>
    <w:rsid w:val="00F82E8F"/>
    <w:rsid w:val="00F833A7"/>
    <w:rsid w:val="00F8389D"/>
    <w:rsid w:val="00F847CB"/>
    <w:rsid w:val="00F84DB2"/>
    <w:rsid w:val="00F852BD"/>
    <w:rsid w:val="00F85304"/>
    <w:rsid w:val="00F85D98"/>
    <w:rsid w:val="00F86DB7"/>
    <w:rsid w:val="00F87231"/>
    <w:rsid w:val="00F921EE"/>
    <w:rsid w:val="00F9252F"/>
    <w:rsid w:val="00F926D7"/>
    <w:rsid w:val="00F93389"/>
    <w:rsid w:val="00F94A0F"/>
    <w:rsid w:val="00F95E08"/>
    <w:rsid w:val="00F96154"/>
    <w:rsid w:val="00F96165"/>
    <w:rsid w:val="00F97FC2"/>
    <w:rsid w:val="00FA0228"/>
    <w:rsid w:val="00FA02E4"/>
    <w:rsid w:val="00FA0679"/>
    <w:rsid w:val="00FA19D1"/>
    <w:rsid w:val="00FA24F1"/>
    <w:rsid w:val="00FA3FB3"/>
    <w:rsid w:val="00FA589C"/>
    <w:rsid w:val="00FB112E"/>
    <w:rsid w:val="00FB1391"/>
    <w:rsid w:val="00FB14BA"/>
    <w:rsid w:val="00FB2419"/>
    <w:rsid w:val="00FB27BF"/>
    <w:rsid w:val="00FB39D9"/>
    <w:rsid w:val="00FB3CE8"/>
    <w:rsid w:val="00FB407D"/>
    <w:rsid w:val="00FB4A7C"/>
    <w:rsid w:val="00FB5A0F"/>
    <w:rsid w:val="00FB62D5"/>
    <w:rsid w:val="00FB79EC"/>
    <w:rsid w:val="00FB7F6D"/>
    <w:rsid w:val="00FC1153"/>
    <w:rsid w:val="00FC26F6"/>
    <w:rsid w:val="00FC4119"/>
    <w:rsid w:val="00FC4A8F"/>
    <w:rsid w:val="00FC797D"/>
    <w:rsid w:val="00FD2204"/>
    <w:rsid w:val="00FD2A2C"/>
    <w:rsid w:val="00FD34AB"/>
    <w:rsid w:val="00FD3531"/>
    <w:rsid w:val="00FD3B25"/>
    <w:rsid w:val="00FD3DAB"/>
    <w:rsid w:val="00FD40E3"/>
    <w:rsid w:val="00FD4453"/>
    <w:rsid w:val="00FD4626"/>
    <w:rsid w:val="00FD754B"/>
    <w:rsid w:val="00FD7714"/>
    <w:rsid w:val="00FE1CB8"/>
    <w:rsid w:val="00FE4096"/>
    <w:rsid w:val="00FE5D00"/>
    <w:rsid w:val="00FE5FD7"/>
    <w:rsid w:val="00FE60F5"/>
    <w:rsid w:val="00FE65DB"/>
    <w:rsid w:val="00FE6832"/>
    <w:rsid w:val="00FE6F51"/>
    <w:rsid w:val="00FF0471"/>
    <w:rsid w:val="00FF06AF"/>
    <w:rsid w:val="00FF1422"/>
    <w:rsid w:val="00FF50CB"/>
    <w:rsid w:val="00FF573B"/>
    <w:rsid w:val="00FF6771"/>
    <w:rsid w:val="00FF7224"/>
    <w:rsid w:val="00FF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7"/>
    <o:shapelayout v:ext="edit">
      <o:idmap v:ext="edit" data="1"/>
    </o:shapelayout>
  </w:shapeDefaults>
  <w:decimalSymbol w:val="."/>
  <w:listSeparator w:val=";"/>
  <w14:docId w14:val="7AB05FB1"/>
  <w15:docId w15:val="{DB3F9B8F-A798-4BBF-9B79-EF60D664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67"/>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aliases w:val="2"/>
    <w:basedOn w:val="Normal"/>
    <w:link w:val="ListParagraphChar"/>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E,E FNZ"/>
    <w:link w:val="CharCharCharChar"/>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styleId="Emphasis">
    <w:name w:val="Emphasis"/>
    <w:basedOn w:val="DefaultParagraphFont"/>
    <w:qFormat/>
    <w:rsid w:val="008000B6"/>
    <w:rPr>
      <w:i/>
      <w:iCs/>
    </w:rPr>
  </w:style>
  <w:style w:type="paragraph" w:styleId="Revision">
    <w:name w:val="Revision"/>
    <w:hidden/>
    <w:uiPriority w:val="99"/>
    <w:semiHidden/>
    <w:rsid w:val="00D42481"/>
    <w:rPr>
      <w:sz w:val="24"/>
      <w:szCs w:val="24"/>
    </w:rPr>
  </w:style>
  <w:style w:type="paragraph" w:styleId="EndnoteText">
    <w:name w:val="endnote text"/>
    <w:basedOn w:val="Normal"/>
    <w:link w:val="EndnoteTextChar"/>
    <w:semiHidden/>
    <w:unhideWhenUsed/>
    <w:rsid w:val="00E61EFE"/>
    <w:rPr>
      <w:sz w:val="20"/>
      <w:szCs w:val="20"/>
    </w:rPr>
  </w:style>
  <w:style w:type="character" w:customStyle="1" w:styleId="EndnoteTextChar">
    <w:name w:val="Endnote Text Char"/>
    <w:basedOn w:val="DefaultParagraphFont"/>
    <w:link w:val="EndnoteText"/>
    <w:semiHidden/>
    <w:rsid w:val="00E61EFE"/>
  </w:style>
  <w:style w:type="character" w:styleId="EndnoteReference">
    <w:name w:val="endnote reference"/>
    <w:basedOn w:val="DefaultParagraphFont"/>
    <w:semiHidden/>
    <w:unhideWhenUsed/>
    <w:rsid w:val="00E61EFE"/>
    <w:rPr>
      <w:vertAlign w:val="superscript"/>
    </w:rPr>
  </w:style>
  <w:style w:type="paragraph" w:styleId="Title">
    <w:name w:val="Title"/>
    <w:basedOn w:val="Normal"/>
    <w:link w:val="TitleChar"/>
    <w:qFormat/>
    <w:rsid w:val="00487B6F"/>
    <w:pPr>
      <w:jc w:val="center"/>
    </w:pPr>
    <w:rPr>
      <w:sz w:val="28"/>
      <w:szCs w:val="20"/>
      <w:lang w:eastAsia="en-US"/>
    </w:rPr>
  </w:style>
  <w:style w:type="character" w:customStyle="1" w:styleId="TitleChar">
    <w:name w:val="Title Char"/>
    <w:basedOn w:val="DefaultParagraphFont"/>
    <w:link w:val="Title"/>
    <w:rsid w:val="00487B6F"/>
    <w:rPr>
      <w:sz w:val="28"/>
      <w:lang w:eastAsia="en-US"/>
    </w:rPr>
  </w:style>
  <w:style w:type="character" w:customStyle="1" w:styleId="ListParagraphChar">
    <w:name w:val="List Paragraph Char"/>
    <w:aliases w:val="2 Char"/>
    <w:link w:val="ListParagraph"/>
    <w:uiPriority w:val="34"/>
    <w:locked/>
    <w:rsid w:val="00487B6F"/>
    <w:rPr>
      <w:rFonts w:ascii="Calibri" w:eastAsia="Calibri" w:hAnsi="Calibri"/>
      <w:sz w:val="22"/>
      <w:szCs w:val="22"/>
      <w:lang w:eastAsia="en-US"/>
    </w:rPr>
  </w:style>
  <w:style w:type="paragraph" w:customStyle="1" w:styleId="CharCharCharChar">
    <w:name w:val="Char Char Char Char"/>
    <w:aliases w:val="Char2"/>
    <w:basedOn w:val="Normal"/>
    <w:next w:val="Normal"/>
    <w:link w:val="FootnoteReference"/>
    <w:uiPriority w:val="99"/>
    <w:rsid w:val="00487B6F"/>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198662835">
      <w:bodyDiv w:val="1"/>
      <w:marLeft w:val="0"/>
      <w:marRight w:val="0"/>
      <w:marTop w:val="0"/>
      <w:marBottom w:val="0"/>
      <w:divBdr>
        <w:top w:val="none" w:sz="0" w:space="0" w:color="auto"/>
        <w:left w:val="none" w:sz="0" w:space="0" w:color="auto"/>
        <w:bottom w:val="none" w:sz="0" w:space="0" w:color="auto"/>
        <w:right w:val="none" w:sz="0" w:space="0" w:color="auto"/>
      </w:divBdr>
    </w:div>
    <w:div w:id="415323209">
      <w:bodyDiv w:val="1"/>
      <w:marLeft w:val="0"/>
      <w:marRight w:val="0"/>
      <w:marTop w:val="0"/>
      <w:marBottom w:val="0"/>
      <w:divBdr>
        <w:top w:val="none" w:sz="0" w:space="0" w:color="auto"/>
        <w:left w:val="none" w:sz="0" w:space="0" w:color="auto"/>
        <w:bottom w:val="none" w:sz="0" w:space="0" w:color="auto"/>
        <w:right w:val="none" w:sz="0" w:space="0" w:color="auto"/>
      </w:divBdr>
    </w:div>
    <w:div w:id="561525063">
      <w:bodyDiv w:val="1"/>
      <w:marLeft w:val="0"/>
      <w:marRight w:val="0"/>
      <w:marTop w:val="0"/>
      <w:marBottom w:val="0"/>
      <w:divBdr>
        <w:top w:val="none" w:sz="0" w:space="0" w:color="auto"/>
        <w:left w:val="none" w:sz="0" w:space="0" w:color="auto"/>
        <w:bottom w:val="none" w:sz="0" w:space="0" w:color="auto"/>
        <w:right w:val="none" w:sz="0" w:space="0" w:color="auto"/>
      </w:divBdr>
      <w:divsChild>
        <w:div w:id="102657926">
          <w:marLeft w:val="547"/>
          <w:marRight w:val="0"/>
          <w:marTop w:val="96"/>
          <w:marBottom w:val="0"/>
          <w:divBdr>
            <w:top w:val="none" w:sz="0" w:space="0" w:color="auto"/>
            <w:left w:val="none" w:sz="0" w:space="0" w:color="auto"/>
            <w:bottom w:val="none" w:sz="0" w:space="0" w:color="auto"/>
            <w:right w:val="none" w:sz="0" w:space="0" w:color="auto"/>
          </w:divBdr>
        </w:div>
        <w:div w:id="333186894">
          <w:marLeft w:val="1123"/>
          <w:marRight w:val="0"/>
          <w:marTop w:val="96"/>
          <w:marBottom w:val="0"/>
          <w:divBdr>
            <w:top w:val="none" w:sz="0" w:space="0" w:color="auto"/>
            <w:left w:val="none" w:sz="0" w:space="0" w:color="auto"/>
            <w:bottom w:val="none" w:sz="0" w:space="0" w:color="auto"/>
            <w:right w:val="none" w:sz="0" w:space="0" w:color="auto"/>
          </w:divBdr>
        </w:div>
        <w:div w:id="749692483">
          <w:marLeft w:val="547"/>
          <w:marRight w:val="0"/>
          <w:marTop w:val="96"/>
          <w:marBottom w:val="0"/>
          <w:divBdr>
            <w:top w:val="none" w:sz="0" w:space="0" w:color="auto"/>
            <w:left w:val="none" w:sz="0" w:space="0" w:color="auto"/>
            <w:bottom w:val="none" w:sz="0" w:space="0" w:color="auto"/>
            <w:right w:val="none" w:sz="0" w:space="0" w:color="auto"/>
          </w:divBdr>
        </w:div>
        <w:div w:id="1218974282">
          <w:marLeft w:val="1123"/>
          <w:marRight w:val="0"/>
          <w:marTop w:val="96"/>
          <w:marBottom w:val="0"/>
          <w:divBdr>
            <w:top w:val="none" w:sz="0" w:space="0" w:color="auto"/>
            <w:left w:val="none" w:sz="0" w:space="0" w:color="auto"/>
            <w:bottom w:val="none" w:sz="0" w:space="0" w:color="auto"/>
            <w:right w:val="none" w:sz="0" w:space="0" w:color="auto"/>
          </w:divBdr>
        </w:div>
        <w:div w:id="1726834429">
          <w:marLeft w:val="547"/>
          <w:marRight w:val="0"/>
          <w:marTop w:val="96"/>
          <w:marBottom w:val="0"/>
          <w:divBdr>
            <w:top w:val="none" w:sz="0" w:space="0" w:color="auto"/>
            <w:left w:val="none" w:sz="0" w:space="0" w:color="auto"/>
            <w:bottom w:val="none" w:sz="0" w:space="0" w:color="auto"/>
            <w:right w:val="none" w:sz="0" w:space="0" w:color="auto"/>
          </w:divBdr>
        </w:div>
      </w:divsChild>
    </w:div>
    <w:div w:id="612515773">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1017268073">
      <w:bodyDiv w:val="1"/>
      <w:marLeft w:val="0"/>
      <w:marRight w:val="0"/>
      <w:marTop w:val="0"/>
      <w:marBottom w:val="0"/>
      <w:divBdr>
        <w:top w:val="none" w:sz="0" w:space="0" w:color="auto"/>
        <w:left w:val="none" w:sz="0" w:space="0" w:color="auto"/>
        <w:bottom w:val="none" w:sz="0" w:space="0" w:color="auto"/>
        <w:right w:val="none" w:sz="0" w:space="0" w:color="auto"/>
      </w:divBdr>
    </w:div>
    <w:div w:id="1073746443">
      <w:bodyDiv w:val="1"/>
      <w:marLeft w:val="0"/>
      <w:marRight w:val="0"/>
      <w:marTop w:val="0"/>
      <w:marBottom w:val="0"/>
      <w:divBdr>
        <w:top w:val="none" w:sz="0" w:space="0" w:color="auto"/>
        <w:left w:val="none" w:sz="0" w:space="0" w:color="auto"/>
        <w:bottom w:val="none" w:sz="0" w:space="0" w:color="auto"/>
        <w:right w:val="none" w:sz="0" w:space="0" w:color="auto"/>
      </w:divBdr>
    </w:div>
    <w:div w:id="1129275530">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958">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715616144">
      <w:bodyDiv w:val="1"/>
      <w:marLeft w:val="0"/>
      <w:marRight w:val="0"/>
      <w:marTop w:val="0"/>
      <w:marBottom w:val="0"/>
      <w:divBdr>
        <w:top w:val="none" w:sz="0" w:space="0" w:color="auto"/>
        <w:left w:val="none" w:sz="0" w:space="0" w:color="auto"/>
        <w:bottom w:val="none" w:sz="0" w:space="0" w:color="auto"/>
        <w:right w:val="none" w:sz="0" w:space="0" w:color="auto"/>
      </w:divBdr>
    </w:div>
    <w:div w:id="1731034061">
      <w:bodyDiv w:val="1"/>
      <w:marLeft w:val="0"/>
      <w:marRight w:val="0"/>
      <w:marTop w:val="0"/>
      <w:marBottom w:val="0"/>
      <w:divBdr>
        <w:top w:val="none" w:sz="0" w:space="0" w:color="auto"/>
        <w:left w:val="none" w:sz="0" w:space="0" w:color="auto"/>
        <w:bottom w:val="none" w:sz="0" w:space="0" w:color="auto"/>
        <w:right w:val="none" w:sz="0" w:space="0" w:color="auto"/>
      </w:divBdr>
    </w:div>
    <w:div w:id="1732344882">
      <w:bodyDiv w:val="1"/>
      <w:marLeft w:val="0"/>
      <w:marRight w:val="0"/>
      <w:marTop w:val="0"/>
      <w:marBottom w:val="0"/>
      <w:divBdr>
        <w:top w:val="none" w:sz="0" w:space="0" w:color="auto"/>
        <w:left w:val="none" w:sz="0" w:space="0" w:color="auto"/>
        <w:bottom w:val="none" w:sz="0" w:space="0" w:color="auto"/>
        <w:right w:val="none" w:sz="0" w:space="0" w:color="auto"/>
      </w:divBdr>
    </w:div>
    <w:div w:id="1790973180">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ma.Grafa@lm.gov.lv" TargetMode="External"/><Relationship Id="rId4" Type="http://schemas.openxmlformats.org/officeDocument/2006/relationships/settings" Target="settings.xml"/><Relationship Id="rId9" Type="http://schemas.openxmlformats.org/officeDocument/2006/relationships/hyperlink" Target="mailto:Zane.Kaljo@l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ata1.csb.gov.lv/pxweb/lv/sociala/sociala__nabadz_nevienl__monetara_nab/?tablelist=true&amp;rxid=a39c3f49-e95e-43e7-b4f0-dce111b48ba1" TargetMode="External"/><Relationship Id="rId7" Type="http://schemas.openxmlformats.org/officeDocument/2006/relationships/hyperlink" Target="http://www.lm.gov.lv/text/2715" TargetMode="External"/><Relationship Id="rId2" Type="http://schemas.openxmlformats.org/officeDocument/2006/relationships/hyperlink" Target="https://www.csb.gov.lv/lv/statistika/statistikas-temas/socialie-procesi/nabadziba/meklet-tema/2372-monetara-nabadziba-un-ienakumu-nevienlidziba" TargetMode="External"/><Relationship Id="rId1" Type="http://schemas.openxmlformats.org/officeDocument/2006/relationships/hyperlink" Target="http://www.lm.gov.lv/text/1382" TargetMode="External"/><Relationship Id="rId6" Type="http://schemas.openxmlformats.org/officeDocument/2006/relationships/hyperlink" Target="https://ec.europa.eu/eurostat/web/microdata/european-union-statistics-on-income-and-living-conditions" TargetMode="External"/><Relationship Id="rId5" Type="http://schemas.openxmlformats.org/officeDocument/2006/relationships/hyperlink" Target="https://ec.europa.eu/eurostat/web/purchasing-power-parities/statistics-illustrated" TargetMode="External"/><Relationship Id="rId4" Type="http://schemas.openxmlformats.org/officeDocument/2006/relationships/hyperlink" Target="https://ec.europa.eu/eurostat/statistics-explained/index.php?title=Glossary:Actual_individual_consumption_(A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23A1-632F-4725-8FCD-6DC8726C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3175</Words>
  <Characters>21925</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25050</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Lauma Grafa</dc:creator>
  <cp:keywords>Anotācija</cp:keywords>
  <cp:lastModifiedBy>Zane Lasmane</cp:lastModifiedBy>
  <cp:revision>38</cp:revision>
  <cp:lastPrinted>2018-11-09T09:33:00Z</cp:lastPrinted>
  <dcterms:created xsi:type="dcterms:W3CDTF">2018-11-07T07:48:00Z</dcterms:created>
  <dcterms:modified xsi:type="dcterms:W3CDTF">2018-12-12T12:59:00Z</dcterms:modified>
</cp:coreProperties>
</file>