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1E9C" w14:textId="77777777" w:rsidR="00894FF6" w:rsidRPr="008650A6" w:rsidRDefault="0022793F" w:rsidP="00894FF6">
      <w:pPr>
        <w:jc w:val="center"/>
        <w:rPr>
          <w:b/>
        </w:rPr>
      </w:pPr>
      <w:bookmarkStart w:id="0" w:name="OLE_LINK1"/>
      <w:bookmarkStart w:id="1" w:name="OLE_LINK2"/>
      <w:bookmarkStart w:id="2" w:name="OLE_LINK3"/>
      <w:bookmarkStart w:id="3" w:name="_GoBack"/>
      <w:r w:rsidRPr="00420F8D">
        <w:rPr>
          <w:b/>
        </w:rPr>
        <w:t>Ministru kabineta rīkojuma projekt</w:t>
      </w:r>
      <w:r w:rsidR="00D93EDB" w:rsidRPr="00420F8D">
        <w:rPr>
          <w:b/>
        </w:rPr>
        <w:t xml:space="preserve">a </w:t>
      </w:r>
      <w:r w:rsidR="00D93EDB" w:rsidRPr="00420F8D">
        <w:rPr>
          <w:b/>
        </w:rPr>
        <w:br/>
      </w:r>
      <w:r w:rsidR="00D93EDB" w:rsidRPr="002C213D">
        <w:rPr>
          <w:b/>
        </w:rPr>
        <w:t>„</w:t>
      </w:r>
      <w:r w:rsidR="00894FF6" w:rsidRPr="008650A6">
        <w:rPr>
          <w:b/>
        </w:rPr>
        <w:t>Grozījum</w:t>
      </w:r>
      <w:r w:rsidR="00894FF6">
        <w:rPr>
          <w:b/>
        </w:rPr>
        <w:t>s</w:t>
      </w:r>
      <w:r w:rsidR="00894FF6" w:rsidRPr="008650A6">
        <w:rPr>
          <w:b/>
        </w:rPr>
        <w:t xml:space="preserve"> Ministru kabineta 2018. gada </w:t>
      </w:r>
      <w:r w:rsidR="00D47ED8">
        <w:rPr>
          <w:b/>
        </w:rPr>
        <w:t xml:space="preserve">18.aprīļa </w:t>
      </w:r>
      <w:r w:rsidR="00894FF6" w:rsidRPr="008650A6">
        <w:rPr>
          <w:b/>
        </w:rPr>
        <w:t xml:space="preserve">rīkojumā Nr. 166 </w:t>
      </w:r>
    </w:p>
    <w:p w14:paraId="6B6241C7" w14:textId="77777777" w:rsidR="00894FF6" w:rsidRPr="008650A6" w:rsidRDefault="00894FF6" w:rsidP="00894FF6">
      <w:pPr>
        <w:jc w:val="center"/>
        <w:rPr>
          <w:b/>
        </w:rPr>
      </w:pPr>
      <w:r w:rsidRPr="008650A6">
        <w:rPr>
          <w:b/>
        </w:rPr>
        <w:t xml:space="preserve">"Par valsts budžeta programmas 44.00.00 </w:t>
      </w:r>
      <w:r w:rsidR="002F2488">
        <w:rPr>
          <w:b/>
        </w:rPr>
        <w:t>“</w:t>
      </w:r>
      <w:r w:rsidRPr="008650A6">
        <w:rPr>
          <w:b/>
        </w:rPr>
        <w:t xml:space="preserve">Līdzekļi aviācijas drošības, glābšanas un </w:t>
      </w:r>
      <w:proofErr w:type="spellStart"/>
      <w:r w:rsidRPr="008650A6">
        <w:rPr>
          <w:b/>
        </w:rPr>
        <w:t>civilmilitārās</w:t>
      </w:r>
      <w:proofErr w:type="spellEnd"/>
      <w:r w:rsidRPr="008650A6">
        <w:rPr>
          <w:b/>
        </w:rPr>
        <w:t xml:space="preserve"> sadarbības nodrošināšanai</w:t>
      </w:r>
      <w:r w:rsidR="002F2488">
        <w:rPr>
          <w:b/>
        </w:rPr>
        <w:t>”</w:t>
      </w:r>
      <w:r w:rsidRPr="008650A6">
        <w:rPr>
          <w:b/>
        </w:rPr>
        <w:t xml:space="preserve"> līdzekļu izlietojumu</w:t>
      </w:r>
      <w:r w:rsidR="002F2488">
        <w:rPr>
          <w:b/>
        </w:rPr>
        <w:t>”</w:t>
      </w:r>
    </w:p>
    <w:p w14:paraId="338259D8" w14:textId="77777777" w:rsidR="0022793F" w:rsidRPr="002C213D" w:rsidRDefault="0022793F" w:rsidP="00894FF6">
      <w:pPr>
        <w:jc w:val="center"/>
        <w:rPr>
          <w:b/>
        </w:rPr>
      </w:pPr>
      <w:r w:rsidRPr="002C213D">
        <w:rPr>
          <w:b/>
        </w:rPr>
        <w:t xml:space="preserve"> sākotnējās ietekmes novērtējuma ziņojums (anotācija)</w:t>
      </w:r>
      <w:bookmarkEnd w:id="0"/>
      <w:bookmarkEnd w:id="1"/>
      <w:bookmarkEnd w:id="2"/>
    </w:p>
    <w:bookmarkEnd w:id="3"/>
    <w:p w14:paraId="2ABD7256" w14:textId="77777777" w:rsidR="00831519" w:rsidRPr="00C95410" w:rsidRDefault="00831519" w:rsidP="00831519">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871"/>
        <w:gridCol w:w="5992"/>
      </w:tblGrid>
      <w:tr w:rsidR="00894FF6" w:rsidRPr="00056D36" w14:paraId="3BE7EA43" w14:textId="77777777" w:rsidTr="005951FA">
        <w:trPr>
          <w:trHeight w:val="419"/>
        </w:trPr>
        <w:tc>
          <w:tcPr>
            <w:tcW w:w="5000" w:type="pct"/>
            <w:gridSpan w:val="3"/>
            <w:vAlign w:val="center"/>
          </w:tcPr>
          <w:p w14:paraId="40D80FEE" w14:textId="77777777" w:rsidR="00894FF6" w:rsidRPr="007125C5" w:rsidRDefault="00A0231A" w:rsidP="00DB5AD4">
            <w:pPr>
              <w:pStyle w:val="naisnod"/>
              <w:spacing w:before="0" w:beforeAutospacing="0" w:after="0" w:afterAutospacing="0"/>
              <w:ind w:left="57" w:right="57"/>
              <w:jc w:val="center"/>
              <w:rPr>
                <w:b/>
              </w:rPr>
            </w:pPr>
            <w:r>
              <w:rPr>
                <w:b/>
                <w:bCs/>
                <w:iCs/>
                <w:lang w:val="sv-SE"/>
              </w:rPr>
              <w:t>Tiesību akta projekta anotācijas kopsavilkums</w:t>
            </w:r>
          </w:p>
        </w:tc>
      </w:tr>
      <w:tr w:rsidR="00A0231A" w:rsidRPr="00056D36" w14:paraId="6D81B4D2" w14:textId="77777777" w:rsidTr="005951FA">
        <w:trPr>
          <w:trHeight w:val="415"/>
        </w:trPr>
        <w:tc>
          <w:tcPr>
            <w:tcW w:w="1734" w:type="pct"/>
            <w:gridSpan w:val="2"/>
          </w:tcPr>
          <w:p w14:paraId="4B12ED26" w14:textId="77777777" w:rsidR="00A0231A" w:rsidRPr="007125C5" w:rsidRDefault="00A0231A" w:rsidP="00A0231A">
            <w:pPr>
              <w:pStyle w:val="naiskr"/>
              <w:spacing w:before="0" w:beforeAutospacing="0" w:after="0" w:afterAutospacing="0"/>
              <w:ind w:left="57" w:right="57"/>
            </w:pPr>
            <w:r>
              <w:rPr>
                <w:iCs/>
              </w:rPr>
              <w:t>Mērķis, risinājums un projekta spēkā stāšanās laiks (500 zīmes bez atstarpēm)</w:t>
            </w:r>
          </w:p>
        </w:tc>
        <w:tc>
          <w:tcPr>
            <w:tcW w:w="3266" w:type="pct"/>
          </w:tcPr>
          <w:p w14:paraId="3020985B" w14:textId="77777777" w:rsidR="00A0231A" w:rsidRPr="00A0231A" w:rsidRDefault="00A0231A" w:rsidP="009139B5">
            <w:pPr>
              <w:ind w:left="81" w:right="109" w:firstLine="425"/>
              <w:jc w:val="both"/>
              <w:rPr>
                <w:rFonts w:eastAsia="Times New Roman"/>
                <w:iCs/>
              </w:rPr>
            </w:pPr>
            <w:r w:rsidRPr="00A0231A">
              <w:rPr>
                <w:rFonts w:eastAsia="Times New Roman"/>
                <w:iCs/>
              </w:rPr>
              <w:t xml:space="preserve">Netiek aizpildīts, pamatojoties uz  Ministru kabineta 2009.gada 15. decembra </w:t>
            </w:r>
            <w:r>
              <w:rPr>
                <w:rFonts w:eastAsia="Times New Roman"/>
                <w:iCs/>
              </w:rPr>
              <w:t xml:space="preserve">instrukcijas </w:t>
            </w:r>
            <w:r w:rsidRPr="00A0231A">
              <w:rPr>
                <w:rFonts w:eastAsia="Times New Roman"/>
                <w:iCs/>
              </w:rPr>
              <w:t>Nr.19 “Tiesību akta projekta sākotnējās ietekmes izvērtēšanas kārtība” 5.¹punktu.</w:t>
            </w:r>
          </w:p>
        </w:tc>
      </w:tr>
      <w:tr w:rsidR="00A0231A" w:rsidRPr="00056D36" w14:paraId="1A8CF9A6" w14:textId="77777777" w:rsidTr="005951FA">
        <w:trPr>
          <w:trHeight w:val="415"/>
        </w:trPr>
        <w:tc>
          <w:tcPr>
            <w:tcW w:w="5000" w:type="pct"/>
            <w:gridSpan w:val="3"/>
          </w:tcPr>
          <w:p w14:paraId="2402CD5C" w14:textId="77777777" w:rsidR="00A0231A" w:rsidRPr="002F2488" w:rsidRDefault="00A0231A" w:rsidP="00A0231A">
            <w:pPr>
              <w:pStyle w:val="naisc"/>
              <w:spacing w:before="0" w:after="0"/>
              <w:ind w:firstLine="590"/>
              <w:rPr>
                <w:color w:val="000000" w:themeColor="text1"/>
              </w:rPr>
            </w:pPr>
            <w:r w:rsidRPr="002F2488">
              <w:rPr>
                <w:b/>
                <w:color w:val="000000" w:themeColor="text1"/>
              </w:rPr>
              <w:t>I. Tiesību akta projekta izstrādes nepieciešamība</w:t>
            </w:r>
          </w:p>
        </w:tc>
      </w:tr>
      <w:tr w:rsidR="00A0231A" w:rsidRPr="00056D36" w14:paraId="0F82A9ED" w14:textId="77777777" w:rsidTr="005951FA">
        <w:trPr>
          <w:trHeight w:val="415"/>
        </w:trPr>
        <w:tc>
          <w:tcPr>
            <w:tcW w:w="169" w:type="pct"/>
          </w:tcPr>
          <w:p w14:paraId="2D5203C3" w14:textId="77777777" w:rsidR="00A0231A" w:rsidRPr="007125C5" w:rsidRDefault="00A0231A" w:rsidP="00A0231A">
            <w:pPr>
              <w:pStyle w:val="naiskr"/>
              <w:spacing w:before="0" w:beforeAutospacing="0" w:after="0" w:afterAutospacing="0"/>
              <w:ind w:left="57" w:right="57"/>
              <w:jc w:val="center"/>
            </w:pPr>
            <w:r w:rsidRPr="007125C5">
              <w:t>1.</w:t>
            </w:r>
          </w:p>
        </w:tc>
        <w:tc>
          <w:tcPr>
            <w:tcW w:w="1565" w:type="pct"/>
          </w:tcPr>
          <w:p w14:paraId="3E671AFE" w14:textId="77777777" w:rsidR="00A0231A" w:rsidRPr="007125C5" w:rsidRDefault="00A0231A" w:rsidP="00A0231A">
            <w:pPr>
              <w:pStyle w:val="naiskr"/>
              <w:spacing w:before="0" w:beforeAutospacing="0" w:after="0" w:afterAutospacing="0"/>
              <w:ind w:left="57" w:right="57"/>
            </w:pPr>
            <w:r w:rsidRPr="007125C5">
              <w:t>Pamatojums</w:t>
            </w:r>
          </w:p>
        </w:tc>
        <w:tc>
          <w:tcPr>
            <w:tcW w:w="3266" w:type="pct"/>
          </w:tcPr>
          <w:p w14:paraId="1483633C" w14:textId="77777777" w:rsidR="00A0231A" w:rsidRPr="002F2488" w:rsidRDefault="00A0231A" w:rsidP="00A0231A">
            <w:pPr>
              <w:pStyle w:val="naiskr"/>
              <w:spacing w:before="0" w:beforeAutospacing="0" w:after="0" w:afterAutospacing="0"/>
              <w:ind w:left="57" w:right="57"/>
              <w:rPr>
                <w:color w:val="000000" w:themeColor="text1"/>
              </w:rPr>
            </w:pPr>
            <w:r w:rsidRPr="002F2488">
              <w:rPr>
                <w:color w:val="000000" w:themeColor="text1"/>
              </w:rPr>
              <w:t>Likuma „Par aviāciju” 27.panta piektā daļa.</w:t>
            </w:r>
          </w:p>
        </w:tc>
      </w:tr>
      <w:tr w:rsidR="00A0231A" w:rsidRPr="00056D36" w14:paraId="75DA78AE" w14:textId="77777777" w:rsidTr="005951FA">
        <w:trPr>
          <w:trHeight w:val="472"/>
        </w:trPr>
        <w:tc>
          <w:tcPr>
            <w:tcW w:w="169" w:type="pct"/>
          </w:tcPr>
          <w:p w14:paraId="22BD9442" w14:textId="77777777" w:rsidR="00A0231A" w:rsidRPr="007125C5" w:rsidRDefault="00A0231A" w:rsidP="00A0231A">
            <w:pPr>
              <w:pStyle w:val="naiskr"/>
              <w:spacing w:before="0" w:beforeAutospacing="0" w:after="0" w:afterAutospacing="0"/>
              <w:ind w:left="57" w:right="57"/>
              <w:jc w:val="center"/>
            </w:pPr>
            <w:r w:rsidRPr="007125C5">
              <w:t>2.</w:t>
            </w:r>
          </w:p>
        </w:tc>
        <w:tc>
          <w:tcPr>
            <w:tcW w:w="1565" w:type="pct"/>
          </w:tcPr>
          <w:p w14:paraId="5DED736E" w14:textId="77777777" w:rsidR="00A0231A" w:rsidRPr="007125C5" w:rsidRDefault="00A0231A" w:rsidP="00A0231A">
            <w:pPr>
              <w:pStyle w:val="naiskr"/>
              <w:tabs>
                <w:tab w:val="left" w:pos="170"/>
              </w:tabs>
              <w:spacing w:before="0" w:beforeAutospacing="0" w:after="0" w:afterAutospacing="0"/>
              <w:ind w:left="57" w:right="57"/>
            </w:pPr>
            <w:r w:rsidRPr="007125C5">
              <w:t>Pašreizējā situācija un problēmas, kuru risināšanai tiesību akta projekts izstrādāts, tiesiskā regulējuma mērķis un būtība</w:t>
            </w:r>
          </w:p>
        </w:tc>
        <w:tc>
          <w:tcPr>
            <w:tcW w:w="3266" w:type="pct"/>
          </w:tcPr>
          <w:p w14:paraId="7972196D" w14:textId="77777777" w:rsidR="00357560" w:rsidRDefault="00A0231A" w:rsidP="00357560">
            <w:pPr>
              <w:ind w:left="81" w:right="109" w:firstLine="425"/>
              <w:jc w:val="both"/>
              <w:rPr>
                <w:color w:val="000000" w:themeColor="text1"/>
              </w:rPr>
            </w:pPr>
            <w:r w:rsidRPr="002F2488">
              <w:rPr>
                <w:color w:val="000000" w:themeColor="text1"/>
                <w:lang w:bidi="ml-IN"/>
              </w:rPr>
              <w:t>Saskaņā ar likuma „Par aviāciju” 27.panta piektajā daļā noteikto Ministru kabinets ir pilnvarots noteikt civilās aviācijas lidlaukus</w:t>
            </w:r>
            <w:r w:rsidRPr="002F2488">
              <w:rPr>
                <w:color w:val="000000" w:themeColor="text1"/>
              </w:rPr>
              <w:t>, kuros civilās aviācijas drošības uzturēšanas pasākumi tiek finansēti no valsts budžetā šim mērķim paredzētajiem līdzekļiem.</w:t>
            </w:r>
          </w:p>
          <w:p w14:paraId="29465BF7" w14:textId="77777777" w:rsidR="00357560" w:rsidRDefault="009D7C92" w:rsidP="00357560">
            <w:pPr>
              <w:ind w:left="81" w:right="109" w:firstLine="425"/>
              <w:jc w:val="both"/>
              <w:rPr>
                <w:color w:val="000000" w:themeColor="text1"/>
              </w:rPr>
            </w:pPr>
            <w:r w:rsidRPr="002F2488">
              <w:rPr>
                <w:color w:val="000000" w:themeColor="text1"/>
              </w:rPr>
              <w:t xml:space="preserve">2018.gada valsts budžeta programmā 44.00.00 </w:t>
            </w:r>
            <w:r w:rsidR="002F2488" w:rsidRPr="002F2488">
              <w:rPr>
                <w:color w:val="000000" w:themeColor="text1"/>
              </w:rPr>
              <w:t>“</w:t>
            </w:r>
            <w:r w:rsidRPr="002F2488">
              <w:rPr>
                <w:color w:val="000000" w:themeColor="text1"/>
              </w:rPr>
              <w:t xml:space="preserve">Līdzekļi aviācijas drošības, glābšanas un </w:t>
            </w:r>
            <w:proofErr w:type="spellStart"/>
            <w:r w:rsidRPr="002F2488">
              <w:rPr>
                <w:color w:val="000000" w:themeColor="text1"/>
              </w:rPr>
              <w:t>civilmilitārās</w:t>
            </w:r>
            <w:proofErr w:type="spellEnd"/>
            <w:r w:rsidRPr="002F2488">
              <w:rPr>
                <w:color w:val="000000" w:themeColor="text1"/>
              </w:rPr>
              <w:t xml:space="preserve"> sadarbības nodrošināšanai</w:t>
            </w:r>
            <w:r w:rsidR="002F2488" w:rsidRPr="002F2488">
              <w:rPr>
                <w:color w:val="000000" w:themeColor="text1"/>
              </w:rPr>
              <w:t>”</w:t>
            </w:r>
            <w:r w:rsidRPr="002F2488">
              <w:rPr>
                <w:bCs/>
                <w:color w:val="000000" w:themeColor="text1"/>
              </w:rPr>
              <w:t xml:space="preserve"> </w:t>
            </w:r>
            <w:r w:rsidRPr="002F2488">
              <w:rPr>
                <w:color w:val="000000" w:themeColor="text1"/>
              </w:rPr>
              <w:t>(turpmāk - valsts budžeta programma 44.00.00</w:t>
            </w:r>
            <w:r w:rsidR="000B4B1C" w:rsidRPr="002F2488">
              <w:rPr>
                <w:color w:val="000000" w:themeColor="text1"/>
              </w:rPr>
              <w:t>)</w:t>
            </w:r>
            <w:r w:rsidR="002F2488" w:rsidRPr="002F2488">
              <w:rPr>
                <w:color w:val="000000" w:themeColor="text1"/>
              </w:rPr>
              <w:t xml:space="preserve"> </w:t>
            </w:r>
            <w:r w:rsidRPr="002F2488">
              <w:rPr>
                <w:color w:val="000000" w:themeColor="text1"/>
              </w:rPr>
              <w:t>ir paredzēti līdzekļi 82418</w:t>
            </w:r>
            <w:r w:rsidRPr="002F2488">
              <w:rPr>
                <w:i/>
                <w:color w:val="000000" w:themeColor="text1"/>
              </w:rPr>
              <w:t xml:space="preserve"> </w:t>
            </w:r>
            <w:r w:rsidRPr="002F2488">
              <w:rPr>
                <w:color w:val="000000" w:themeColor="text1"/>
              </w:rPr>
              <w:t>EUR apmērā aktuālu aviācijas drošības pasākumu veikšanai.</w:t>
            </w:r>
          </w:p>
          <w:p w14:paraId="0B42E5D4" w14:textId="77777777" w:rsidR="00357560" w:rsidRDefault="00A0231A" w:rsidP="00357560">
            <w:pPr>
              <w:ind w:left="81" w:right="109" w:firstLine="425"/>
              <w:jc w:val="both"/>
              <w:rPr>
                <w:color w:val="000000" w:themeColor="text1"/>
              </w:rPr>
            </w:pPr>
            <w:r w:rsidRPr="002F2488">
              <w:rPr>
                <w:color w:val="000000" w:themeColor="text1"/>
              </w:rPr>
              <w:t>Lai uzlabotu pasažieru pārbaudes procesa efektivitāti, 2017.gada septembrī lidostā “Rīga” tika mainīta pasažieru drošības pārbaudes procedūra</w:t>
            </w:r>
            <w:r w:rsidR="00C02346">
              <w:rPr>
                <w:color w:val="000000" w:themeColor="text1"/>
              </w:rPr>
              <w:t>,</w:t>
            </w:r>
            <w:r w:rsidRPr="002F2488">
              <w:rPr>
                <w:color w:val="000000" w:themeColor="text1"/>
              </w:rPr>
              <w:t xml:space="preserve"> paredzot, ka noteikta daļa pasažieru tiek pārbaudīta ar sprāgstvielu palieku detektoru, nevis pārmeklēta ar rokām, kā tas bija noteikts iepriekš.</w:t>
            </w:r>
          </w:p>
          <w:p w14:paraId="2077BA5A" w14:textId="77777777" w:rsidR="00357560" w:rsidRDefault="00A0231A" w:rsidP="00357560">
            <w:pPr>
              <w:ind w:left="81" w:right="109" w:firstLine="425"/>
              <w:jc w:val="both"/>
              <w:rPr>
                <w:color w:val="000000" w:themeColor="text1"/>
              </w:rPr>
            </w:pPr>
            <w:r w:rsidRPr="002F2488">
              <w:rPr>
                <w:color w:val="000000" w:themeColor="text1"/>
              </w:rPr>
              <w:t>Lai nodrošinātu lidostas “Rīga” kontrolpunktu drošības līnijas ar optimālu detektoru skaitu atbilstoši jaun</w:t>
            </w:r>
            <w:r w:rsidR="00C02346">
              <w:rPr>
                <w:color w:val="000000" w:themeColor="text1"/>
              </w:rPr>
              <w:t>aj</w:t>
            </w:r>
            <w:r w:rsidRPr="002F2488">
              <w:rPr>
                <w:color w:val="000000" w:themeColor="text1"/>
              </w:rPr>
              <w:t>ai drošības pārbaudes procedūrai, lidosta plānoja iegādāties sešus jaunus sprāgstvielu palieku detektorus.</w:t>
            </w:r>
          </w:p>
          <w:p w14:paraId="2C34DB59" w14:textId="77777777" w:rsidR="00357560" w:rsidRDefault="00A0231A" w:rsidP="00357560">
            <w:pPr>
              <w:ind w:left="81" w:right="109" w:firstLine="425"/>
              <w:jc w:val="both"/>
              <w:rPr>
                <w:color w:val="000000" w:themeColor="text1"/>
              </w:rPr>
            </w:pPr>
            <w:r w:rsidRPr="002F2488">
              <w:rPr>
                <w:color w:val="000000" w:themeColor="text1"/>
              </w:rPr>
              <w:t xml:space="preserve">Attiecīgi Ministru kabinets ar 2018.gada 18.aprīļa rīkojumu Nr.166 </w:t>
            </w:r>
            <w:r w:rsidR="002F2488" w:rsidRPr="002F2488">
              <w:rPr>
                <w:color w:val="000000" w:themeColor="text1"/>
              </w:rPr>
              <w:t>“</w:t>
            </w:r>
            <w:r w:rsidRPr="002F2488">
              <w:rPr>
                <w:color w:val="000000" w:themeColor="text1"/>
              </w:rPr>
              <w:t xml:space="preserve">Par valsts budžeta programmas 44.00.00 </w:t>
            </w:r>
            <w:r w:rsidR="002F2488" w:rsidRPr="002F2488">
              <w:rPr>
                <w:color w:val="000000" w:themeColor="text1"/>
              </w:rPr>
              <w:t>“</w:t>
            </w:r>
            <w:r w:rsidRPr="002F2488">
              <w:rPr>
                <w:color w:val="000000" w:themeColor="text1"/>
              </w:rPr>
              <w:t xml:space="preserve">Līdzekļi aviācijas drošības, glābšanas un </w:t>
            </w:r>
            <w:proofErr w:type="spellStart"/>
            <w:r w:rsidRPr="002F2488">
              <w:rPr>
                <w:color w:val="000000" w:themeColor="text1"/>
              </w:rPr>
              <w:t>civilmilitārās</w:t>
            </w:r>
            <w:proofErr w:type="spellEnd"/>
            <w:r w:rsidRPr="002F2488">
              <w:rPr>
                <w:color w:val="000000" w:themeColor="text1"/>
              </w:rPr>
              <w:t xml:space="preserve"> sadarbības nodrošināšanai</w:t>
            </w:r>
            <w:r w:rsidR="002F2488" w:rsidRPr="002F2488">
              <w:rPr>
                <w:color w:val="000000" w:themeColor="text1"/>
              </w:rPr>
              <w:t>”</w:t>
            </w:r>
            <w:r w:rsidRPr="002F2488">
              <w:rPr>
                <w:color w:val="000000" w:themeColor="text1"/>
              </w:rPr>
              <w:t xml:space="preserve"> līdzekļu izlietojumu</w:t>
            </w:r>
            <w:r w:rsidR="002F2488" w:rsidRPr="002F2488">
              <w:rPr>
                <w:color w:val="000000" w:themeColor="text1"/>
              </w:rPr>
              <w:t>”</w:t>
            </w:r>
            <w:r w:rsidRPr="002F2488">
              <w:rPr>
                <w:color w:val="000000" w:themeColor="text1"/>
              </w:rPr>
              <w:t xml:space="preserve"> (turpmāk – MK rīkojums Nr.166) noteica, ka no </w:t>
            </w:r>
            <w:r w:rsidR="000B4B1C" w:rsidRPr="002F2488">
              <w:rPr>
                <w:color w:val="000000" w:themeColor="text1"/>
              </w:rPr>
              <w:t xml:space="preserve">valsts budžeta </w:t>
            </w:r>
            <w:r w:rsidRPr="002F2488">
              <w:rPr>
                <w:color w:val="000000" w:themeColor="text1"/>
              </w:rPr>
              <w:t xml:space="preserve">programmai </w:t>
            </w:r>
            <w:r w:rsidR="000B4B1C" w:rsidRPr="002F2488">
              <w:rPr>
                <w:color w:val="000000" w:themeColor="text1"/>
              </w:rPr>
              <w:t xml:space="preserve">44.00.00 </w:t>
            </w:r>
            <w:r w:rsidRPr="002F2488">
              <w:rPr>
                <w:color w:val="000000" w:themeColor="text1"/>
              </w:rPr>
              <w:t xml:space="preserve">izdalītajiem līdzekļiem 44 102 </w:t>
            </w:r>
            <w:proofErr w:type="spellStart"/>
            <w:r w:rsidRPr="002F2488">
              <w:rPr>
                <w:i/>
                <w:iCs/>
                <w:color w:val="000000" w:themeColor="text1"/>
              </w:rPr>
              <w:t>euro</w:t>
            </w:r>
            <w:proofErr w:type="spellEnd"/>
            <w:r w:rsidRPr="002F2488">
              <w:rPr>
                <w:color w:val="000000" w:themeColor="text1"/>
              </w:rPr>
              <w:t xml:space="preserve"> novirzīt, lai segtu izdevumus valsts nozīmes civilās aviācijas lidlaukam </w:t>
            </w:r>
            <w:r w:rsidR="002F2488" w:rsidRPr="002F2488">
              <w:rPr>
                <w:color w:val="000000" w:themeColor="text1"/>
              </w:rPr>
              <w:t>“</w:t>
            </w:r>
            <w:r w:rsidRPr="002F2488">
              <w:rPr>
                <w:color w:val="000000" w:themeColor="text1"/>
              </w:rPr>
              <w:t>Rīga</w:t>
            </w:r>
            <w:r w:rsidR="002F2488" w:rsidRPr="002F2488">
              <w:rPr>
                <w:color w:val="000000" w:themeColor="text1"/>
              </w:rPr>
              <w:t>”</w:t>
            </w:r>
            <w:r w:rsidRPr="002F2488">
              <w:rPr>
                <w:color w:val="000000" w:themeColor="text1"/>
              </w:rPr>
              <w:t xml:space="preserve"> </w:t>
            </w:r>
            <w:r w:rsidR="00C02346" w:rsidRPr="002F2488">
              <w:rPr>
                <w:color w:val="000000" w:themeColor="text1"/>
              </w:rPr>
              <w:t xml:space="preserve"> saistībā ar </w:t>
            </w:r>
            <w:r w:rsidRPr="002F2488">
              <w:rPr>
                <w:color w:val="000000" w:themeColor="text1"/>
              </w:rPr>
              <w:t>drošības pārbaudei nepieciešamā viena sprāgstvielu palieku detektora iegādi.</w:t>
            </w:r>
          </w:p>
          <w:p w14:paraId="02CFB835" w14:textId="77777777" w:rsidR="00A0231A" w:rsidRPr="002F2488" w:rsidRDefault="00A0231A" w:rsidP="00357560">
            <w:pPr>
              <w:ind w:left="81" w:right="109" w:firstLine="425"/>
              <w:jc w:val="both"/>
              <w:rPr>
                <w:color w:val="000000" w:themeColor="text1"/>
              </w:rPr>
            </w:pPr>
            <w:r w:rsidRPr="002F2488">
              <w:rPr>
                <w:color w:val="000000" w:themeColor="text1"/>
              </w:rPr>
              <w:t>Noslēdzoties atklātam iepirkumu konkursam</w:t>
            </w:r>
            <w:r w:rsidR="00C02346">
              <w:rPr>
                <w:color w:val="000000" w:themeColor="text1"/>
              </w:rPr>
              <w:t>,</w:t>
            </w:r>
            <w:r w:rsidRPr="002F2488">
              <w:rPr>
                <w:color w:val="000000" w:themeColor="text1"/>
              </w:rPr>
              <w:t xml:space="preserve"> tika noslēgts līgums par sešu sprāgstvielu </w:t>
            </w:r>
            <w:r w:rsidR="000B4B1C" w:rsidRPr="002F2488">
              <w:rPr>
                <w:color w:val="000000" w:themeColor="text1"/>
              </w:rPr>
              <w:t xml:space="preserve">palieku </w:t>
            </w:r>
            <w:r w:rsidRPr="002F2488">
              <w:rPr>
                <w:color w:val="000000" w:themeColor="text1"/>
              </w:rPr>
              <w:t xml:space="preserve">detektoru iegādi, saskaņā ar kuru izmaksas uz vienu sprāgstvielu </w:t>
            </w:r>
            <w:r w:rsidR="000B4B1C" w:rsidRPr="002F2488">
              <w:rPr>
                <w:color w:val="000000" w:themeColor="text1"/>
              </w:rPr>
              <w:t xml:space="preserve">palieku </w:t>
            </w:r>
            <w:r w:rsidRPr="002F2488">
              <w:rPr>
                <w:color w:val="000000" w:themeColor="text1"/>
              </w:rPr>
              <w:t xml:space="preserve">detektoru saskaņā ar iesniegto finanšu piedāvājumu plānotas 32000 </w:t>
            </w:r>
            <w:proofErr w:type="spellStart"/>
            <w:r w:rsidRPr="002F2488">
              <w:rPr>
                <w:color w:val="000000" w:themeColor="text1"/>
              </w:rPr>
              <w:t>euro</w:t>
            </w:r>
            <w:proofErr w:type="spellEnd"/>
            <w:r w:rsidRPr="002F2488">
              <w:rPr>
                <w:color w:val="000000" w:themeColor="text1"/>
              </w:rPr>
              <w:t xml:space="preserve"> apmērā. </w:t>
            </w:r>
            <w:r w:rsidR="00C02346">
              <w:rPr>
                <w:color w:val="000000" w:themeColor="text1"/>
              </w:rPr>
              <w:t xml:space="preserve">Ievērojot </w:t>
            </w:r>
            <w:r w:rsidRPr="002F2488">
              <w:rPr>
                <w:color w:val="000000" w:themeColor="text1"/>
              </w:rPr>
              <w:t>minēto</w:t>
            </w:r>
            <w:r w:rsidR="00C02346">
              <w:rPr>
                <w:color w:val="000000" w:themeColor="text1"/>
              </w:rPr>
              <w:t>,</w:t>
            </w:r>
            <w:r w:rsidRPr="002F2488">
              <w:rPr>
                <w:color w:val="000000" w:themeColor="text1"/>
              </w:rPr>
              <w:t xml:space="preserve"> ir lietderīgi atlikušos līdzekļus izmantot, lai segtu daļu no vēl viena </w:t>
            </w:r>
            <w:r w:rsidR="000B4B1C" w:rsidRPr="002F2488">
              <w:rPr>
                <w:color w:val="000000" w:themeColor="text1"/>
              </w:rPr>
              <w:lastRenderedPageBreak/>
              <w:t xml:space="preserve">sprāgstvielu palieku </w:t>
            </w:r>
            <w:r w:rsidRPr="002F2488">
              <w:rPr>
                <w:color w:val="000000" w:themeColor="text1"/>
              </w:rPr>
              <w:t xml:space="preserve">detektora iegādes izmaksām. Attiecīgi ir jāprecizē MK rīkojuma </w:t>
            </w:r>
            <w:proofErr w:type="spellStart"/>
            <w:r w:rsidRPr="002F2488">
              <w:rPr>
                <w:color w:val="000000" w:themeColor="text1"/>
              </w:rPr>
              <w:t>Nr</w:t>
            </w:r>
            <w:proofErr w:type="spellEnd"/>
            <w:r w:rsidRPr="002F2488">
              <w:rPr>
                <w:color w:val="000000" w:themeColor="text1"/>
              </w:rPr>
              <w:t xml:space="preserve"> 166 1.1.apakšpunkta redakcija.</w:t>
            </w:r>
          </w:p>
        </w:tc>
      </w:tr>
      <w:tr w:rsidR="00A0231A" w:rsidRPr="00056D36" w14:paraId="038D58C5" w14:textId="77777777" w:rsidTr="005951FA">
        <w:trPr>
          <w:trHeight w:val="476"/>
        </w:trPr>
        <w:tc>
          <w:tcPr>
            <w:tcW w:w="169" w:type="pct"/>
          </w:tcPr>
          <w:p w14:paraId="5954AA97" w14:textId="77777777" w:rsidR="00A0231A" w:rsidRPr="007125C5" w:rsidRDefault="00A0231A" w:rsidP="00A0231A">
            <w:pPr>
              <w:pStyle w:val="naiskr"/>
              <w:spacing w:before="0" w:beforeAutospacing="0" w:after="0" w:afterAutospacing="0"/>
              <w:ind w:left="57" w:right="57"/>
              <w:jc w:val="center"/>
            </w:pPr>
            <w:r>
              <w:lastRenderedPageBreak/>
              <w:t>3.</w:t>
            </w:r>
          </w:p>
        </w:tc>
        <w:tc>
          <w:tcPr>
            <w:tcW w:w="1565" w:type="pct"/>
          </w:tcPr>
          <w:p w14:paraId="20214BAF" w14:textId="77777777" w:rsidR="00A0231A" w:rsidRPr="007125C5" w:rsidRDefault="00A0231A" w:rsidP="00A0231A">
            <w:pPr>
              <w:pStyle w:val="naiskr"/>
              <w:spacing w:before="0" w:beforeAutospacing="0" w:after="0" w:afterAutospacing="0"/>
              <w:ind w:left="57" w:right="57"/>
            </w:pPr>
            <w:r w:rsidRPr="007125C5">
              <w:t xml:space="preserve">Projekta izstrādē iesaistītās </w:t>
            </w:r>
            <w:r w:rsidRPr="00C02346">
              <w:t>institūcijas</w:t>
            </w:r>
            <w:r w:rsidR="00C02346" w:rsidRPr="00C02346">
              <w:t xml:space="preserve">  un publiskas personas kapitālsabiedrības</w:t>
            </w:r>
          </w:p>
        </w:tc>
        <w:tc>
          <w:tcPr>
            <w:tcW w:w="3266" w:type="pct"/>
          </w:tcPr>
          <w:p w14:paraId="38613079" w14:textId="77777777" w:rsidR="00A0231A" w:rsidRPr="00056D36" w:rsidRDefault="00A0231A" w:rsidP="00A0231A">
            <w:pPr>
              <w:ind w:left="57" w:right="57"/>
            </w:pPr>
            <w:r w:rsidRPr="00056D36">
              <w:t>VAS “Starptaut</w:t>
            </w:r>
            <w:r>
              <w:t xml:space="preserve">iskā lidosta “Rīga”” </w:t>
            </w:r>
          </w:p>
        </w:tc>
      </w:tr>
      <w:tr w:rsidR="00A0231A" w:rsidRPr="00056D36" w14:paraId="3DA42EA1" w14:textId="77777777" w:rsidTr="005951FA">
        <w:tc>
          <w:tcPr>
            <w:tcW w:w="169" w:type="pct"/>
          </w:tcPr>
          <w:p w14:paraId="609323A1" w14:textId="77777777" w:rsidR="00A0231A" w:rsidRPr="007125C5" w:rsidRDefault="00A0231A" w:rsidP="00A0231A">
            <w:pPr>
              <w:pStyle w:val="naiskr"/>
              <w:spacing w:before="0" w:beforeAutospacing="0" w:after="0" w:afterAutospacing="0"/>
              <w:ind w:left="57" w:right="57"/>
              <w:jc w:val="center"/>
            </w:pPr>
            <w:r w:rsidRPr="007125C5">
              <w:t>4.</w:t>
            </w:r>
          </w:p>
        </w:tc>
        <w:tc>
          <w:tcPr>
            <w:tcW w:w="1565" w:type="pct"/>
          </w:tcPr>
          <w:p w14:paraId="07CABBD2" w14:textId="77777777" w:rsidR="00A0231A" w:rsidRPr="007125C5" w:rsidRDefault="00A0231A" w:rsidP="00A0231A">
            <w:pPr>
              <w:pStyle w:val="naiskr"/>
              <w:spacing w:before="0" w:beforeAutospacing="0" w:after="0" w:afterAutospacing="0"/>
              <w:ind w:left="57" w:right="57"/>
            </w:pPr>
            <w:r w:rsidRPr="007125C5">
              <w:t>Cita informācija</w:t>
            </w:r>
          </w:p>
        </w:tc>
        <w:tc>
          <w:tcPr>
            <w:tcW w:w="3266" w:type="pct"/>
          </w:tcPr>
          <w:p w14:paraId="07942316" w14:textId="77777777" w:rsidR="00A0231A" w:rsidRDefault="00A0231A" w:rsidP="009139B5">
            <w:pPr>
              <w:ind w:firstLine="81"/>
              <w:jc w:val="both"/>
            </w:pPr>
            <w:r>
              <w:t>Nav.</w:t>
            </w:r>
          </w:p>
          <w:p w14:paraId="5912B485" w14:textId="77777777" w:rsidR="00A0231A" w:rsidRPr="007125C5" w:rsidRDefault="00A0231A" w:rsidP="00A0231A">
            <w:pPr>
              <w:jc w:val="both"/>
            </w:pPr>
          </w:p>
        </w:tc>
      </w:tr>
    </w:tbl>
    <w:p w14:paraId="5E9DA7EF" w14:textId="77777777" w:rsidR="00366207" w:rsidRDefault="00366207" w:rsidP="00056D36">
      <w:pPr>
        <w:rPr>
          <w:rFonts w:eastAsia="Times New Roman"/>
          <w:sz w:val="18"/>
          <w:szCs w:val="1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4"/>
      </w:tblGrid>
      <w:tr w:rsidR="007F4306" w14:paraId="7EAFAF12" w14:textId="77777777" w:rsidTr="005951FA">
        <w:tc>
          <w:tcPr>
            <w:tcW w:w="5000" w:type="pct"/>
            <w:tcBorders>
              <w:top w:val="single" w:sz="4" w:space="0" w:color="auto"/>
              <w:left w:val="single" w:sz="4" w:space="0" w:color="auto"/>
              <w:bottom w:val="single" w:sz="4" w:space="0" w:color="auto"/>
              <w:right w:val="single" w:sz="4" w:space="0" w:color="auto"/>
            </w:tcBorders>
            <w:hideMark/>
          </w:tcPr>
          <w:p w14:paraId="614066AC" w14:textId="77777777" w:rsidR="007F4306" w:rsidRDefault="007F4306">
            <w:pPr>
              <w:jc w:val="center"/>
            </w:pPr>
            <w:r>
              <w:rPr>
                <w:b/>
                <w:bCs/>
              </w:rPr>
              <w:t>II. Tiesību akta projekta ietekme uz sabiedrību, tautsaimniecības attīstību un administratīvo slogu</w:t>
            </w:r>
          </w:p>
        </w:tc>
      </w:tr>
      <w:tr w:rsidR="007F4306" w14:paraId="7F24D5F2" w14:textId="77777777" w:rsidTr="005951FA">
        <w:tc>
          <w:tcPr>
            <w:tcW w:w="5000" w:type="pct"/>
            <w:tcBorders>
              <w:top w:val="single" w:sz="4" w:space="0" w:color="auto"/>
              <w:left w:val="single" w:sz="4" w:space="0" w:color="auto"/>
              <w:bottom w:val="single" w:sz="4" w:space="0" w:color="auto"/>
              <w:right w:val="single" w:sz="4" w:space="0" w:color="auto"/>
            </w:tcBorders>
            <w:hideMark/>
          </w:tcPr>
          <w:p w14:paraId="34DC3688" w14:textId="77777777" w:rsidR="007F4306" w:rsidRDefault="007F4306">
            <w:pPr>
              <w:jc w:val="center"/>
            </w:pPr>
            <w:r>
              <w:t>Projekts šo jomu neskar.</w:t>
            </w:r>
          </w:p>
        </w:tc>
      </w:tr>
    </w:tbl>
    <w:p w14:paraId="43309D40" w14:textId="77777777" w:rsidR="007F4306" w:rsidRDefault="007F4306" w:rsidP="007F4306">
      <w:pPr>
        <w:jc w:val="center"/>
        <w:outlineLvl w:val="2"/>
        <w:rPr>
          <w:rFonts w:eastAsia="Times New Roman"/>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7F4306" w14:paraId="0D73A8A7" w14:textId="77777777" w:rsidTr="005951FA">
        <w:tc>
          <w:tcPr>
            <w:tcW w:w="9174" w:type="dxa"/>
            <w:tcBorders>
              <w:top w:val="single" w:sz="4" w:space="0" w:color="auto"/>
              <w:left w:val="single" w:sz="4" w:space="0" w:color="auto"/>
              <w:bottom w:val="single" w:sz="4" w:space="0" w:color="auto"/>
              <w:right w:val="single" w:sz="4" w:space="0" w:color="auto"/>
            </w:tcBorders>
            <w:hideMark/>
          </w:tcPr>
          <w:p w14:paraId="3B0D6F4D" w14:textId="77777777" w:rsidR="007F4306" w:rsidRDefault="007F4306">
            <w:pPr>
              <w:jc w:val="center"/>
              <w:rPr>
                <w:b/>
              </w:rPr>
            </w:pPr>
            <w:r>
              <w:rPr>
                <w:b/>
              </w:rPr>
              <w:t>III. Tiesību akta projekta ietekme uz valsts budžetu un pašvaldību budžetiem</w:t>
            </w:r>
          </w:p>
        </w:tc>
      </w:tr>
      <w:tr w:rsidR="007F4306" w14:paraId="5EDA78D9" w14:textId="77777777" w:rsidTr="005951FA">
        <w:tc>
          <w:tcPr>
            <w:tcW w:w="9174" w:type="dxa"/>
            <w:tcBorders>
              <w:top w:val="single" w:sz="4" w:space="0" w:color="auto"/>
              <w:left w:val="single" w:sz="4" w:space="0" w:color="auto"/>
              <w:bottom w:val="single" w:sz="4" w:space="0" w:color="auto"/>
              <w:right w:val="single" w:sz="4" w:space="0" w:color="auto"/>
            </w:tcBorders>
          </w:tcPr>
          <w:p w14:paraId="2919D3AE" w14:textId="77777777" w:rsidR="007F4306" w:rsidRDefault="007F4306">
            <w:pPr>
              <w:jc w:val="center"/>
              <w:rPr>
                <w:b/>
              </w:rPr>
            </w:pPr>
            <w:r>
              <w:t>Projekts šo jomu neskar.</w:t>
            </w:r>
          </w:p>
        </w:tc>
      </w:tr>
    </w:tbl>
    <w:p w14:paraId="7E5B1756" w14:textId="77777777" w:rsidR="007F4306" w:rsidRDefault="007F4306" w:rsidP="00056D36">
      <w:pPr>
        <w:rPr>
          <w:rFonts w:eastAsia="Times New Roman"/>
          <w:sz w:val="18"/>
          <w:szCs w:val="1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68"/>
      </w:tblGrid>
      <w:tr w:rsidR="009139B5" w:rsidRPr="00C41A38" w14:paraId="5C6CC51B" w14:textId="77777777" w:rsidTr="0080390C">
        <w:trPr>
          <w:jc w:val="center"/>
        </w:trPr>
        <w:tc>
          <w:tcPr>
            <w:tcW w:w="9464" w:type="dxa"/>
            <w:tcBorders>
              <w:top w:val="outset" w:sz="6" w:space="0" w:color="auto"/>
              <w:left w:val="outset" w:sz="6" w:space="0" w:color="auto"/>
              <w:bottom w:val="single" w:sz="4" w:space="0" w:color="auto"/>
              <w:right w:val="outset" w:sz="6" w:space="0" w:color="auto"/>
            </w:tcBorders>
            <w:vAlign w:val="center"/>
          </w:tcPr>
          <w:p w14:paraId="079B3DC6" w14:textId="77777777" w:rsidR="009139B5" w:rsidRPr="00C41A38" w:rsidRDefault="009139B5" w:rsidP="0080390C">
            <w:pPr>
              <w:jc w:val="center"/>
              <w:rPr>
                <w:b/>
                <w:bCs/>
              </w:rPr>
            </w:pPr>
            <w:r w:rsidRPr="00C41A38">
              <w:rPr>
                <w:b/>
                <w:bCs/>
              </w:rPr>
              <w:t>IV. Tiesību akta projekta ietekme uz spēkā esošo tiesību normu sistēmu</w:t>
            </w:r>
          </w:p>
          <w:p w14:paraId="699D8E66" w14:textId="77777777" w:rsidR="009139B5" w:rsidRPr="00C41A38" w:rsidRDefault="009139B5" w:rsidP="0080390C">
            <w:pPr>
              <w:jc w:val="center"/>
              <w:rPr>
                <w:b/>
              </w:rPr>
            </w:pPr>
          </w:p>
        </w:tc>
      </w:tr>
      <w:tr w:rsidR="009139B5" w:rsidRPr="00C41A38" w14:paraId="4E6335DA" w14:textId="77777777" w:rsidTr="0080390C">
        <w:trPr>
          <w:jc w:val="center"/>
        </w:trPr>
        <w:tc>
          <w:tcPr>
            <w:tcW w:w="9464" w:type="dxa"/>
            <w:tcBorders>
              <w:top w:val="single" w:sz="4" w:space="0" w:color="auto"/>
              <w:left w:val="outset" w:sz="6" w:space="0" w:color="auto"/>
              <w:bottom w:val="single" w:sz="4" w:space="0" w:color="auto"/>
              <w:right w:val="outset" w:sz="6" w:space="0" w:color="auto"/>
            </w:tcBorders>
            <w:vAlign w:val="center"/>
          </w:tcPr>
          <w:p w14:paraId="53D285C8" w14:textId="77777777" w:rsidR="009139B5" w:rsidRPr="00C41A38" w:rsidRDefault="009139B5" w:rsidP="0080390C">
            <w:pPr>
              <w:jc w:val="center"/>
              <w:rPr>
                <w:b/>
                <w:bCs/>
              </w:rPr>
            </w:pPr>
            <w:r w:rsidRPr="00C41A38">
              <w:rPr>
                <w:bCs/>
              </w:rPr>
              <w:t>Projekts šo jomu neskar.</w:t>
            </w:r>
          </w:p>
        </w:tc>
      </w:tr>
    </w:tbl>
    <w:p w14:paraId="4F15D120" w14:textId="77777777" w:rsidR="009139B5" w:rsidRDefault="009139B5" w:rsidP="00056D36">
      <w:pPr>
        <w:rPr>
          <w:rFonts w:eastAsia="Times New Roman"/>
          <w:sz w:val="18"/>
          <w:szCs w:val="18"/>
        </w:rPr>
      </w:pPr>
    </w:p>
    <w:p w14:paraId="130485CE" w14:textId="77777777" w:rsidR="009139B5" w:rsidRPr="00C95410" w:rsidRDefault="009139B5" w:rsidP="00056D36">
      <w:pPr>
        <w:rPr>
          <w:rFonts w:eastAsia="Times New Roman"/>
          <w:sz w:val="18"/>
          <w:szCs w:val="18"/>
        </w:rPr>
      </w:pPr>
    </w:p>
    <w:p w14:paraId="2F8DE6C2" w14:textId="77777777" w:rsidR="00366207" w:rsidRPr="00C95410" w:rsidRDefault="00366207" w:rsidP="00056D36">
      <w:pPr>
        <w:rPr>
          <w:vanish/>
          <w:sz w:val="18"/>
          <w:szCs w:val="1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61"/>
        <w:gridCol w:w="3052"/>
        <w:gridCol w:w="5655"/>
      </w:tblGrid>
      <w:tr w:rsidR="00831519" w:rsidRPr="00056D36" w14:paraId="66651DA8" w14:textId="77777777" w:rsidTr="00E62463">
        <w:trPr>
          <w:jc w:val="center"/>
        </w:trPr>
        <w:tc>
          <w:tcPr>
            <w:tcW w:w="9168" w:type="dxa"/>
            <w:gridSpan w:val="3"/>
            <w:tcBorders>
              <w:top w:val="outset" w:sz="6" w:space="0" w:color="auto"/>
              <w:left w:val="outset" w:sz="6" w:space="0" w:color="auto"/>
              <w:bottom w:val="outset" w:sz="6" w:space="0" w:color="auto"/>
              <w:right w:val="outset" w:sz="6" w:space="0" w:color="auto"/>
            </w:tcBorders>
            <w:vAlign w:val="center"/>
          </w:tcPr>
          <w:p w14:paraId="71DA7FC8" w14:textId="77777777" w:rsidR="00831519" w:rsidRPr="00056D36" w:rsidRDefault="001B3E60" w:rsidP="00DB5AD4">
            <w:pPr>
              <w:jc w:val="center"/>
              <w:rPr>
                <w:b/>
              </w:rPr>
            </w:pPr>
            <w:r w:rsidRPr="00056D36">
              <w:rPr>
                <w:b/>
              </w:rPr>
              <w:t>V</w:t>
            </w:r>
            <w:r w:rsidR="00831519" w:rsidRPr="00056D36">
              <w:rPr>
                <w:b/>
              </w:rPr>
              <w:t xml:space="preserve"> Tiesību akta projekta atbilstība Latvijas Republikas starptautiskajām saistībām</w:t>
            </w:r>
          </w:p>
        </w:tc>
      </w:tr>
      <w:tr w:rsidR="00831519" w:rsidRPr="00056D36" w14:paraId="12F6125E" w14:textId="77777777" w:rsidTr="00E62463">
        <w:trPr>
          <w:jc w:val="center"/>
        </w:trPr>
        <w:tc>
          <w:tcPr>
            <w:tcW w:w="461" w:type="dxa"/>
            <w:tcBorders>
              <w:top w:val="outset" w:sz="6" w:space="0" w:color="auto"/>
              <w:left w:val="outset" w:sz="6" w:space="0" w:color="auto"/>
              <w:bottom w:val="outset" w:sz="6" w:space="0" w:color="auto"/>
              <w:right w:val="outset" w:sz="6" w:space="0" w:color="auto"/>
            </w:tcBorders>
          </w:tcPr>
          <w:p w14:paraId="502F9590" w14:textId="77777777" w:rsidR="00831519" w:rsidRPr="00056D36" w:rsidRDefault="00831519" w:rsidP="00DB5AD4">
            <w:pPr>
              <w:ind w:left="57"/>
            </w:pPr>
            <w:r w:rsidRPr="00056D36">
              <w:t>1.</w:t>
            </w:r>
          </w:p>
        </w:tc>
        <w:tc>
          <w:tcPr>
            <w:tcW w:w="3052" w:type="dxa"/>
            <w:tcBorders>
              <w:top w:val="outset" w:sz="6" w:space="0" w:color="auto"/>
              <w:left w:val="outset" w:sz="6" w:space="0" w:color="auto"/>
              <w:bottom w:val="outset" w:sz="6" w:space="0" w:color="auto"/>
              <w:right w:val="outset" w:sz="6" w:space="0" w:color="auto"/>
            </w:tcBorders>
          </w:tcPr>
          <w:p w14:paraId="4C89A5DB" w14:textId="77777777" w:rsidR="00831519" w:rsidRPr="00056D36" w:rsidRDefault="00831519" w:rsidP="00DB5AD4">
            <w:pPr>
              <w:ind w:left="57"/>
            </w:pPr>
            <w:r w:rsidRPr="00056D36">
              <w:t>Saistības pret Eiropas Savienību</w:t>
            </w:r>
          </w:p>
        </w:tc>
        <w:tc>
          <w:tcPr>
            <w:tcW w:w="5655" w:type="dxa"/>
            <w:tcBorders>
              <w:top w:val="outset" w:sz="6" w:space="0" w:color="auto"/>
              <w:left w:val="outset" w:sz="6" w:space="0" w:color="auto"/>
              <w:bottom w:val="outset" w:sz="6" w:space="0" w:color="auto"/>
              <w:right w:val="outset" w:sz="6" w:space="0" w:color="auto"/>
            </w:tcBorders>
          </w:tcPr>
          <w:p w14:paraId="57AC95A7" w14:textId="77777777" w:rsidR="00C95410" w:rsidRPr="00056D36" w:rsidRDefault="002E75EE" w:rsidP="00357560">
            <w:pPr>
              <w:ind w:left="57" w:right="79" w:firstLine="477"/>
              <w:jc w:val="both"/>
            </w:pPr>
            <w:r w:rsidRPr="00056D36">
              <w:rPr>
                <w:bCs/>
              </w:rPr>
              <w:t xml:space="preserve">Eiropas Komisijas Paziņojums </w:t>
            </w:r>
            <w:r w:rsidR="007D6CF9">
              <w:rPr>
                <w:bCs/>
              </w:rPr>
              <w:t>“</w:t>
            </w:r>
            <w:r w:rsidRPr="00056D36">
              <w:rPr>
                <w:bCs/>
              </w:rPr>
              <w:t>Pamatnostādnes par valsts atbalstu lidostām un aviokompānijām</w:t>
            </w:r>
            <w:r w:rsidR="007D6CF9">
              <w:rPr>
                <w:bCs/>
              </w:rPr>
              <w:t>”</w:t>
            </w:r>
            <w:r w:rsidRPr="00056D36">
              <w:rPr>
                <w:bCs/>
              </w:rPr>
              <w:t xml:space="preserve"> 2014/C 99/03 (ES OV C 99,04/04/2014).</w:t>
            </w:r>
          </w:p>
        </w:tc>
      </w:tr>
      <w:tr w:rsidR="00831519" w:rsidRPr="00056D36" w14:paraId="0A6421EF" w14:textId="77777777" w:rsidTr="00E62463">
        <w:trPr>
          <w:jc w:val="center"/>
        </w:trPr>
        <w:tc>
          <w:tcPr>
            <w:tcW w:w="461" w:type="dxa"/>
            <w:tcBorders>
              <w:top w:val="outset" w:sz="6" w:space="0" w:color="auto"/>
              <w:left w:val="outset" w:sz="6" w:space="0" w:color="auto"/>
              <w:bottom w:val="outset" w:sz="6" w:space="0" w:color="auto"/>
              <w:right w:val="outset" w:sz="6" w:space="0" w:color="auto"/>
            </w:tcBorders>
          </w:tcPr>
          <w:p w14:paraId="052B6CCE" w14:textId="77777777" w:rsidR="00831519" w:rsidRPr="00056D36" w:rsidRDefault="00831519" w:rsidP="00DB5AD4">
            <w:pPr>
              <w:ind w:left="57"/>
            </w:pPr>
            <w:r w:rsidRPr="00056D36">
              <w:t>2.</w:t>
            </w:r>
          </w:p>
        </w:tc>
        <w:tc>
          <w:tcPr>
            <w:tcW w:w="3052" w:type="dxa"/>
            <w:tcBorders>
              <w:top w:val="outset" w:sz="6" w:space="0" w:color="auto"/>
              <w:left w:val="outset" w:sz="6" w:space="0" w:color="auto"/>
              <w:bottom w:val="outset" w:sz="6" w:space="0" w:color="auto"/>
              <w:right w:val="outset" w:sz="6" w:space="0" w:color="auto"/>
            </w:tcBorders>
          </w:tcPr>
          <w:p w14:paraId="6DF9C757" w14:textId="77777777" w:rsidR="00831519" w:rsidRPr="00056D36" w:rsidRDefault="00831519" w:rsidP="00DB5AD4">
            <w:pPr>
              <w:ind w:left="57"/>
            </w:pPr>
            <w:r w:rsidRPr="00056D36">
              <w:t>Citas starptautiskās saistības</w:t>
            </w:r>
          </w:p>
        </w:tc>
        <w:tc>
          <w:tcPr>
            <w:tcW w:w="5655" w:type="dxa"/>
            <w:tcBorders>
              <w:top w:val="outset" w:sz="6" w:space="0" w:color="auto"/>
              <w:left w:val="outset" w:sz="6" w:space="0" w:color="auto"/>
              <w:bottom w:val="outset" w:sz="6" w:space="0" w:color="auto"/>
              <w:right w:val="outset" w:sz="6" w:space="0" w:color="auto"/>
            </w:tcBorders>
          </w:tcPr>
          <w:p w14:paraId="226150C4" w14:textId="77777777" w:rsidR="00831519" w:rsidRPr="00056D36" w:rsidRDefault="00831519" w:rsidP="00DB5AD4">
            <w:pPr>
              <w:ind w:left="57"/>
              <w:jc w:val="both"/>
            </w:pPr>
            <w:r w:rsidRPr="00056D36">
              <w:t>Projekts šo jomu neskar.</w:t>
            </w:r>
          </w:p>
        </w:tc>
      </w:tr>
      <w:tr w:rsidR="00947FCA" w:rsidRPr="00056D36" w14:paraId="695E49B1" w14:textId="77777777" w:rsidTr="00E62463">
        <w:trPr>
          <w:jc w:val="center"/>
        </w:trPr>
        <w:tc>
          <w:tcPr>
            <w:tcW w:w="461" w:type="dxa"/>
            <w:tcBorders>
              <w:top w:val="outset" w:sz="6" w:space="0" w:color="auto"/>
              <w:left w:val="outset" w:sz="6" w:space="0" w:color="auto"/>
              <w:bottom w:val="single" w:sz="4" w:space="0" w:color="auto"/>
              <w:right w:val="outset" w:sz="6" w:space="0" w:color="auto"/>
            </w:tcBorders>
          </w:tcPr>
          <w:p w14:paraId="3E76802D" w14:textId="77777777" w:rsidR="00947FCA" w:rsidRPr="00056D36" w:rsidRDefault="00947FCA" w:rsidP="00DB5AD4">
            <w:pPr>
              <w:ind w:left="57"/>
            </w:pPr>
            <w:r w:rsidRPr="00056D36">
              <w:t>3.</w:t>
            </w:r>
          </w:p>
        </w:tc>
        <w:tc>
          <w:tcPr>
            <w:tcW w:w="3052" w:type="dxa"/>
            <w:tcBorders>
              <w:top w:val="outset" w:sz="6" w:space="0" w:color="auto"/>
              <w:left w:val="outset" w:sz="6" w:space="0" w:color="auto"/>
              <w:bottom w:val="single" w:sz="4" w:space="0" w:color="auto"/>
              <w:right w:val="outset" w:sz="6" w:space="0" w:color="auto"/>
            </w:tcBorders>
          </w:tcPr>
          <w:p w14:paraId="63201A95" w14:textId="77777777" w:rsidR="00947FCA" w:rsidRPr="00056D36" w:rsidRDefault="00947FCA" w:rsidP="00DB5AD4">
            <w:pPr>
              <w:ind w:left="57"/>
            </w:pPr>
            <w:r w:rsidRPr="00056D36">
              <w:t>Cita informācija</w:t>
            </w:r>
          </w:p>
        </w:tc>
        <w:tc>
          <w:tcPr>
            <w:tcW w:w="5655" w:type="dxa"/>
            <w:tcBorders>
              <w:top w:val="outset" w:sz="6" w:space="0" w:color="auto"/>
              <w:left w:val="outset" w:sz="6" w:space="0" w:color="auto"/>
              <w:bottom w:val="single" w:sz="4" w:space="0" w:color="auto"/>
              <w:right w:val="outset" w:sz="6" w:space="0" w:color="auto"/>
            </w:tcBorders>
          </w:tcPr>
          <w:p w14:paraId="61A8B6F8" w14:textId="77777777" w:rsidR="00357560" w:rsidRDefault="002E75EE" w:rsidP="00357560">
            <w:pPr>
              <w:ind w:left="57" w:right="79" w:firstLine="619"/>
              <w:jc w:val="both"/>
              <w:rPr>
                <w:color w:val="000000"/>
              </w:rPr>
            </w:pPr>
            <w:r w:rsidRPr="00056D36">
              <w:rPr>
                <w:bCs/>
              </w:rPr>
              <w:t xml:space="preserve">Eiropas Komisijas Paziņojuma </w:t>
            </w:r>
            <w:r w:rsidR="007D6CF9">
              <w:rPr>
                <w:bCs/>
              </w:rPr>
              <w:t>“</w:t>
            </w:r>
            <w:r w:rsidRPr="00056D36">
              <w:rPr>
                <w:bCs/>
              </w:rPr>
              <w:t>Pamatnostādnes par valsts atbalstu lidostām un aviokompānijām</w:t>
            </w:r>
            <w:r w:rsidR="007D6CF9">
              <w:rPr>
                <w:bCs/>
              </w:rPr>
              <w:t>”</w:t>
            </w:r>
            <w:r w:rsidRPr="00056D36">
              <w:rPr>
                <w:bCs/>
              </w:rPr>
              <w:t xml:space="preserve"> 2014/C 99/03 (ES OV C 99,04/04/2014)</w:t>
            </w:r>
            <w:r w:rsidRPr="00056D36">
              <w:rPr>
                <w:bCs/>
                <w:color w:val="000000"/>
              </w:rPr>
              <w:t xml:space="preserve"> 35.p</w:t>
            </w:r>
            <w:r w:rsidR="00090663">
              <w:rPr>
                <w:bCs/>
                <w:color w:val="000000"/>
              </w:rPr>
              <w:t>unktā</w:t>
            </w:r>
            <w:r w:rsidRPr="00056D36">
              <w:rPr>
                <w:bCs/>
                <w:color w:val="000000"/>
              </w:rPr>
              <w:t xml:space="preserve"> ir noteikts, ka </w:t>
            </w:r>
            <w:r w:rsidRPr="00056D36">
              <w:rPr>
                <w:color w:val="000000"/>
              </w:rPr>
              <w:t>Eiropas Savienības Tiesa ir lēmusi, ka darbības, par kurām parasti ir atbildīga valsts, pildot savas oficiālās pilnvaras, kas saistītas ar valsts varas īstenošanu, nav saimnieciska rakstura darbības un valsts atbalsta noteikumi parasti uz tām neattiecas. Lidostā tādas darbības kā gaisa satiksmes kontrole, policijas darbības, muita, ugunsdzēsība, darbības, kas nepieciešamas, lai aizsargātu civilo aviāciju no nelikumīgas iejaukšanās darbībām, un ieguldījumi saistībā ar minēto darbību veikšanai nepieciešamo infrastruktūru un iekārtām parasti netiek uzskatīti par saimniecisko darbību.</w:t>
            </w:r>
          </w:p>
          <w:p w14:paraId="20803711" w14:textId="77777777" w:rsidR="00357560" w:rsidRDefault="00C43CCE" w:rsidP="00357560">
            <w:pPr>
              <w:ind w:left="57" w:right="79" w:firstLine="619"/>
              <w:jc w:val="both"/>
              <w:rPr>
                <w:color w:val="000000"/>
              </w:rPr>
            </w:pPr>
            <w:r w:rsidRPr="00056D36">
              <w:rPr>
                <w:color w:val="000000"/>
              </w:rPr>
              <w:t xml:space="preserve">Līdz </w:t>
            </w:r>
            <w:r w:rsidR="002E75EE" w:rsidRPr="00056D36">
              <w:rPr>
                <w:color w:val="000000"/>
              </w:rPr>
              <w:t>ar to Ministru kabineta rīkojuma projektā ietvertie aviācijas drošības pasākumi nav kvalificējami kā valsts atbalsts saskaņā ar Eiropas Savienības darbības līguma 107.panta 1.punktā noteikto, kā arī uz t</w:t>
            </w:r>
            <w:r w:rsidR="00090663">
              <w:rPr>
                <w:color w:val="000000"/>
              </w:rPr>
              <w:t>iem</w:t>
            </w:r>
            <w:r w:rsidR="002E75EE" w:rsidRPr="00056D36">
              <w:rPr>
                <w:color w:val="000000"/>
              </w:rPr>
              <w:t xml:space="preserve"> neattiecas minētā līguma 108.panta 3.punktā paredzētā ziņošana Eiropas Komisijai.</w:t>
            </w:r>
          </w:p>
          <w:p w14:paraId="71CD3B06" w14:textId="77777777" w:rsidR="00357560" w:rsidRPr="00357560" w:rsidRDefault="00357560" w:rsidP="00357560">
            <w:pPr>
              <w:ind w:left="57" w:right="79" w:firstLine="619"/>
              <w:jc w:val="both"/>
              <w:rPr>
                <w:color w:val="000000"/>
                <w:sz w:val="16"/>
                <w:szCs w:val="16"/>
              </w:rPr>
            </w:pPr>
          </w:p>
        </w:tc>
      </w:tr>
      <w:tr w:rsidR="00656A0B" w:rsidRPr="00056D36" w14:paraId="212749C0" w14:textId="77777777" w:rsidTr="00E62463">
        <w:trPr>
          <w:jc w:val="center"/>
        </w:trPr>
        <w:tc>
          <w:tcPr>
            <w:tcW w:w="9168" w:type="dxa"/>
            <w:gridSpan w:val="3"/>
            <w:tcBorders>
              <w:top w:val="single" w:sz="4" w:space="0" w:color="auto"/>
              <w:left w:val="single" w:sz="4" w:space="0" w:color="auto"/>
              <w:bottom w:val="single" w:sz="4" w:space="0" w:color="auto"/>
              <w:right w:val="single" w:sz="4" w:space="0" w:color="auto"/>
            </w:tcBorders>
          </w:tcPr>
          <w:p w14:paraId="613DF685" w14:textId="77777777" w:rsidR="00656A0B" w:rsidRPr="00C95410" w:rsidRDefault="00656A0B" w:rsidP="00656A0B">
            <w:pPr>
              <w:jc w:val="center"/>
              <w:rPr>
                <w:bCs/>
                <w:sz w:val="18"/>
                <w:szCs w:val="18"/>
              </w:rPr>
            </w:pPr>
            <w:r w:rsidRPr="00420F8D">
              <w:rPr>
                <w:rFonts w:eastAsia="Times New Roman"/>
              </w:rPr>
              <w:t xml:space="preserve">V sadaļas </w:t>
            </w:r>
            <w:r>
              <w:rPr>
                <w:rFonts w:eastAsia="Times New Roman"/>
              </w:rPr>
              <w:t>1.tabula</w:t>
            </w:r>
            <w:r w:rsidR="00C02346">
              <w:rPr>
                <w:rFonts w:eastAsia="Times New Roman"/>
              </w:rPr>
              <w:t xml:space="preserve"> un</w:t>
            </w:r>
            <w:r>
              <w:rPr>
                <w:rFonts w:eastAsia="Times New Roman"/>
              </w:rPr>
              <w:t xml:space="preserve"> </w:t>
            </w:r>
            <w:r w:rsidRPr="00420F8D">
              <w:rPr>
                <w:rFonts w:eastAsia="Times New Roman"/>
              </w:rPr>
              <w:t xml:space="preserve">2.tabula </w:t>
            </w:r>
            <w:r>
              <w:rPr>
                <w:rFonts w:eastAsia="Times New Roman"/>
              </w:rPr>
              <w:t>– projekts šīs jomas neskar.</w:t>
            </w:r>
          </w:p>
        </w:tc>
      </w:tr>
      <w:tr w:rsidR="00656A0B" w:rsidRPr="00056D36" w14:paraId="213B8459" w14:textId="77777777" w:rsidTr="00E62463">
        <w:trPr>
          <w:jc w:val="center"/>
        </w:trPr>
        <w:tc>
          <w:tcPr>
            <w:tcW w:w="9168" w:type="dxa"/>
            <w:gridSpan w:val="3"/>
            <w:tcBorders>
              <w:top w:val="single" w:sz="4" w:space="0" w:color="auto"/>
              <w:left w:val="nil"/>
              <w:bottom w:val="nil"/>
              <w:right w:val="nil"/>
            </w:tcBorders>
          </w:tcPr>
          <w:p w14:paraId="7B4500C5" w14:textId="77777777" w:rsidR="00656A0B" w:rsidRDefault="00656A0B" w:rsidP="002E75EE">
            <w:pPr>
              <w:ind w:left="57"/>
              <w:jc w:val="both"/>
              <w:rPr>
                <w:bCs/>
                <w:sz w:val="18"/>
                <w:szCs w:val="18"/>
              </w:rPr>
            </w:pPr>
          </w:p>
        </w:tc>
      </w:tr>
    </w:tbl>
    <w:tbl>
      <w:tblPr>
        <w:tblStyle w:val="TableGrid"/>
        <w:tblW w:w="0" w:type="auto"/>
        <w:jc w:val="center"/>
        <w:tblLook w:val="04A0" w:firstRow="1" w:lastRow="0" w:firstColumn="1" w:lastColumn="0" w:noHBand="0" w:noVBand="1"/>
      </w:tblPr>
      <w:tblGrid>
        <w:gridCol w:w="421"/>
        <w:gridCol w:w="3118"/>
        <w:gridCol w:w="5635"/>
      </w:tblGrid>
      <w:tr w:rsidR="00E62463" w14:paraId="571429A0" w14:textId="77777777" w:rsidTr="00E62463">
        <w:trPr>
          <w:trHeight w:val="425"/>
          <w:jc w:val="center"/>
        </w:trPr>
        <w:tc>
          <w:tcPr>
            <w:tcW w:w="9174" w:type="dxa"/>
            <w:gridSpan w:val="3"/>
            <w:vAlign w:val="center"/>
          </w:tcPr>
          <w:p w14:paraId="03510AB3" w14:textId="77777777" w:rsidR="00E62463" w:rsidRDefault="00E62463" w:rsidP="00E62463">
            <w:pPr>
              <w:jc w:val="center"/>
            </w:pPr>
            <w:r w:rsidRPr="00E62463">
              <w:rPr>
                <w:b/>
                <w:bCs/>
                <w:color w:val="000000" w:themeColor="text1"/>
              </w:rPr>
              <w:t>VI. Sabiedrības līdzdalība un komunikācijas aktivitātes</w:t>
            </w:r>
          </w:p>
        </w:tc>
      </w:tr>
      <w:tr w:rsidR="00E62463" w14:paraId="5E92E1FB" w14:textId="77777777" w:rsidTr="00E62463">
        <w:trPr>
          <w:jc w:val="center"/>
        </w:trPr>
        <w:tc>
          <w:tcPr>
            <w:tcW w:w="421" w:type="dxa"/>
          </w:tcPr>
          <w:p w14:paraId="3B8DCC99" w14:textId="77777777" w:rsidR="00E62463" w:rsidRDefault="00E62463" w:rsidP="00831519">
            <w:r>
              <w:t>1.</w:t>
            </w:r>
          </w:p>
        </w:tc>
        <w:tc>
          <w:tcPr>
            <w:tcW w:w="3118" w:type="dxa"/>
          </w:tcPr>
          <w:p w14:paraId="49EEE286" w14:textId="77777777" w:rsidR="00E62463" w:rsidRDefault="00E62463" w:rsidP="00831519">
            <w:r w:rsidRPr="00AD29D0">
              <w:rPr>
                <w:color w:val="000000"/>
              </w:rPr>
              <w:t>Plānotās sabiedrības līdzdalības un komunikācijas aktivitātes saistībā ar projektu</w:t>
            </w:r>
          </w:p>
        </w:tc>
        <w:tc>
          <w:tcPr>
            <w:tcW w:w="5635" w:type="dxa"/>
          </w:tcPr>
          <w:p w14:paraId="6C74F975" w14:textId="77777777" w:rsidR="00E62463" w:rsidRDefault="00E62463" w:rsidP="00831519">
            <w:r w:rsidRPr="00AD29D0">
              <w:rPr>
                <w:color w:val="000000"/>
              </w:rPr>
              <w:t xml:space="preserve">Projekts </w:t>
            </w:r>
            <w:r>
              <w:rPr>
                <w:color w:val="000000"/>
              </w:rPr>
              <w:t xml:space="preserve">šā gada 26.oktobrī </w:t>
            </w:r>
            <w:r w:rsidRPr="00AD29D0">
              <w:rPr>
                <w:color w:val="000000"/>
              </w:rPr>
              <w:t>ievietots Satiksmes ministrijas tīmekļa vietnē.</w:t>
            </w:r>
          </w:p>
        </w:tc>
      </w:tr>
      <w:tr w:rsidR="00E62463" w14:paraId="725E4C24" w14:textId="77777777" w:rsidTr="00E62463">
        <w:trPr>
          <w:jc w:val="center"/>
        </w:trPr>
        <w:tc>
          <w:tcPr>
            <w:tcW w:w="421" w:type="dxa"/>
          </w:tcPr>
          <w:p w14:paraId="43F44A5A" w14:textId="77777777" w:rsidR="00E62463" w:rsidRDefault="00E62463" w:rsidP="00831519">
            <w:r>
              <w:t>2.</w:t>
            </w:r>
          </w:p>
        </w:tc>
        <w:tc>
          <w:tcPr>
            <w:tcW w:w="3118" w:type="dxa"/>
          </w:tcPr>
          <w:p w14:paraId="0DD53551" w14:textId="77777777" w:rsidR="00E62463" w:rsidRDefault="00E62463" w:rsidP="00831519">
            <w:r w:rsidRPr="00AD29D0">
              <w:rPr>
                <w:color w:val="000000"/>
              </w:rPr>
              <w:t>Sabiedrības līdzdalība projekta izstrādē</w:t>
            </w:r>
          </w:p>
        </w:tc>
        <w:tc>
          <w:tcPr>
            <w:tcW w:w="5635" w:type="dxa"/>
          </w:tcPr>
          <w:p w14:paraId="476B1701" w14:textId="77777777" w:rsidR="00E62463" w:rsidRDefault="00E62463" w:rsidP="00831519">
            <w:r w:rsidRPr="00AD29D0">
              <w:rPr>
                <w:color w:val="000000"/>
              </w:rPr>
              <w:t>Sabiedrībai ir dota iespēja sniegt viedokli par projektu tā izstrādes stadijā.</w:t>
            </w:r>
          </w:p>
        </w:tc>
      </w:tr>
      <w:tr w:rsidR="00E62463" w14:paraId="108C00E0" w14:textId="77777777" w:rsidTr="00E62463">
        <w:trPr>
          <w:jc w:val="center"/>
        </w:trPr>
        <w:tc>
          <w:tcPr>
            <w:tcW w:w="421" w:type="dxa"/>
          </w:tcPr>
          <w:p w14:paraId="269BE58F" w14:textId="77777777" w:rsidR="00E62463" w:rsidRDefault="00E62463" w:rsidP="00E62463">
            <w:r>
              <w:t>3.</w:t>
            </w:r>
          </w:p>
        </w:tc>
        <w:tc>
          <w:tcPr>
            <w:tcW w:w="3118" w:type="dxa"/>
          </w:tcPr>
          <w:p w14:paraId="45C268C1" w14:textId="77777777" w:rsidR="00E62463" w:rsidRPr="00AD29D0" w:rsidRDefault="00E62463" w:rsidP="00E62463">
            <w:pPr>
              <w:rPr>
                <w:color w:val="000000"/>
              </w:rPr>
            </w:pPr>
            <w:r w:rsidRPr="00AD29D0">
              <w:rPr>
                <w:color w:val="000000"/>
              </w:rPr>
              <w:t>Sabiedrības līdzdalības rezultāti</w:t>
            </w:r>
          </w:p>
        </w:tc>
        <w:tc>
          <w:tcPr>
            <w:tcW w:w="5635" w:type="dxa"/>
          </w:tcPr>
          <w:p w14:paraId="4E398ABB" w14:textId="77777777" w:rsidR="00E62463" w:rsidRDefault="00E62463" w:rsidP="00E62463">
            <w:r>
              <w:rPr>
                <w:color w:val="000000"/>
              </w:rPr>
              <w:t>Iebildumi un priekšlikumi nav saņemti.</w:t>
            </w:r>
          </w:p>
        </w:tc>
      </w:tr>
      <w:tr w:rsidR="00E62463" w14:paraId="538E52EB" w14:textId="77777777" w:rsidTr="00E62463">
        <w:trPr>
          <w:jc w:val="center"/>
        </w:trPr>
        <w:tc>
          <w:tcPr>
            <w:tcW w:w="421" w:type="dxa"/>
          </w:tcPr>
          <w:p w14:paraId="660A5C27" w14:textId="77777777" w:rsidR="00E62463" w:rsidRDefault="00E62463" w:rsidP="00E62463">
            <w:r>
              <w:t>4.</w:t>
            </w:r>
          </w:p>
        </w:tc>
        <w:tc>
          <w:tcPr>
            <w:tcW w:w="3118" w:type="dxa"/>
          </w:tcPr>
          <w:p w14:paraId="367E28A6" w14:textId="77777777" w:rsidR="00E62463" w:rsidRDefault="00E62463" w:rsidP="00E62463">
            <w:r w:rsidRPr="00AD29D0">
              <w:rPr>
                <w:color w:val="000000"/>
              </w:rPr>
              <w:t>Cita informācija</w:t>
            </w:r>
          </w:p>
        </w:tc>
        <w:tc>
          <w:tcPr>
            <w:tcW w:w="5635" w:type="dxa"/>
          </w:tcPr>
          <w:p w14:paraId="20EA3209" w14:textId="77777777" w:rsidR="00E62463" w:rsidRPr="00AD29D0" w:rsidRDefault="00E62463" w:rsidP="00E62463">
            <w:pPr>
              <w:ind w:left="57" w:right="82" w:hanging="57"/>
              <w:jc w:val="both"/>
              <w:rPr>
                <w:color w:val="000000"/>
              </w:rPr>
            </w:pPr>
            <w:r>
              <w:rPr>
                <w:color w:val="000000"/>
              </w:rPr>
              <w:t>Nav.</w:t>
            </w:r>
          </w:p>
        </w:tc>
      </w:tr>
      <w:tr w:rsidR="00E62463" w14:paraId="79D512BA" w14:textId="77777777" w:rsidTr="00E62463">
        <w:trPr>
          <w:trHeight w:val="425"/>
          <w:jc w:val="center"/>
        </w:trPr>
        <w:tc>
          <w:tcPr>
            <w:tcW w:w="9174" w:type="dxa"/>
            <w:gridSpan w:val="3"/>
            <w:vAlign w:val="center"/>
          </w:tcPr>
          <w:p w14:paraId="160FDE6F" w14:textId="77777777" w:rsidR="00E62463" w:rsidRDefault="00E62463" w:rsidP="00E62463">
            <w:pPr>
              <w:jc w:val="center"/>
            </w:pPr>
            <w:r w:rsidRPr="007125C5">
              <w:rPr>
                <w:b/>
              </w:rPr>
              <w:t>VII. Tiesību akta projekta izpildes nodrošināšana un tās ietekme uz institūcijām</w:t>
            </w:r>
          </w:p>
        </w:tc>
      </w:tr>
      <w:tr w:rsidR="00E62463" w14:paraId="4CE9AAEB" w14:textId="77777777" w:rsidTr="00E62463">
        <w:trPr>
          <w:jc w:val="center"/>
        </w:trPr>
        <w:tc>
          <w:tcPr>
            <w:tcW w:w="421" w:type="dxa"/>
          </w:tcPr>
          <w:p w14:paraId="7E3C5191" w14:textId="77777777" w:rsidR="00E62463" w:rsidRDefault="00E62463" w:rsidP="00E62463">
            <w:r>
              <w:t>1.</w:t>
            </w:r>
          </w:p>
        </w:tc>
        <w:tc>
          <w:tcPr>
            <w:tcW w:w="3118" w:type="dxa"/>
          </w:tcPr>
          <w:p w14:paraId="6B122C5F" w14:textId="77777777" w:rsidR="00E62463" w:rsidRDefault="00E62463" w:rsidP="00E62463">
            <w:r w:rsidRPr="007125C5">
              <w:t>Projekta izpildē iesaistītās institūcijas</w:t>
            </w:r>
          </w:p>
        </w:tc>
        <w:tc>
          <w:tcPr>
            <w:tcW w:w="5635" w:type="dxa"/>
          </w:tcPr>
          <w:p w14:paraId="333D2CBA" w14:textId="77777777" w:rsidR="00E62463" w:rsidRPr="00056D36" w:rsidRDefault="00E62463" w:rsidP="00E62463">
            <w:pPr>
              <w:shd w:val="clear" w:color="auto" w:fill="FFFFFF"/>
              <w:jc w:val="both"/>
            </w:pPr>
            <w:r w:rsidRPr="00056D36">
              <w:t>VAS</w:t>
            </w:r>
            <w:r>
              <w:t xml:space="preserve"> “Starptautiskā lidosta “Rīga””.</w:t>
            </w:r>
          </w:p>
        </w:tc>
      </w:tr>
      <w:tr w:rsidR="00E62463" w14:paraId="11636C50" w14:textId="77777777" w:rsidTr="00E62463">
        <w:trPr>
          <w:jc w:val="center"/>
        </w:trPr>
        <w:tc>
          <w:tcPr>
            <w:tcW w:w="421" w:type="dxa"/>
          </w:tcPr>
          <w:p w14:paraId="3B4EE0EC" w14:textId="77777777" w:rsidR="00E62463" w:rsidRDefault="00E62463" w:rsidP="00E62463">
            <w:r>
              <w:t>2.</w:t>
            </w:r>
          </w:p>
        </w:tc>
        <w:tc>
          <w:tcPr>
            <w:tcW w:w="3118" w:type="dxa"/>
          </w:tcPr>
          <w:p w14:paraId="5C17989F" w14:textId="77777777" w:rsidR="00E62463" w:rsidRPr="007125C5" w:rsidRDefault="00E62463" w:rsidP="00E62463">
            <w:pPr>
              <w:pStyle w:val="naisf"/>
              <w:spacing w:before="0" w:beforeAutospacing="0" w:after="0" w:afterAutospacing="0"/>
              <w:ind w:right="57"/>
            </w:pPr>
            <w:r w:rsidRPr="007125C5">
              <w:t>Projekta izpildes ietekme uz pār</w:t>
            </w:r>
            <w:r w:rsidRPr="007125C5">
              <w:softHyphen/>
              <w:t>valdes funkcijām un institucionālo struktūru.</w:t>
            </w:r>
          </w:p>
          <w:p w14:paraId="1046F244" w14:textId="77777777" w:rsidR="00E62463" w:rsidRDefault="00E62463" w:rsidP="00E62463">
            <w:r w:rsidRPr="007125C5">
              <w:t>Jaunu institūciju izveide, esošu institūciju likvidācija vai reorga</w:t>
            </w:r>
            <w:r w:rsidRPr="007125C5">
              <w:softHyphen/>
              <w:t>nizācija, to ietekme uz institūcijas cilvēkresursiem</w:t>
            </w:r>
          </w:p>
        </w:tc>
        <w:tc>
          <w:tcPr>
            <w:tcW w:w="5635" w:type="dxa"/>
          </w:tcPr>
          <w:p w14:paraId="0CC8E0C4" w14:textId="77777777" w:rsidR="00E62463" w:rsidRDefault="00E62463" w:rsidP="00E62463">
            <w:r w:rsidRPr="00056D36">
              <w:t>Projekts šo jomu neskar.</w:t>
            </w:r>
          </w:p>
        </w:tc>
      </w:tr>
      <w:tr w:rsidR="00E62463" w14:paraId="1F016E64" w14:textId="77777777" w:rsidTr="00E62463">
        <w:trPr>
          <w:jc w:val="center"/>
        </w:trPr>
        <w:tc>
          <w:tcPr>
            <w:tcW w:w="421" w:type="dxa"/>
          </w:tcPr>
          <w:p w14:paraId="2E3EF9E0" w14:textId="77777777" w:rsidR="00E62463" w:rsidRDefault="00E62463" w:rsidP="00E62463">
            <w:r>
              <w:t>3.</w:t>
            </w:r>
          </w:p>
        </w:tc>
        <w:tc>
          <w:tcPr>
            <w:tcW w:w="3118" w:type="dxa"/>
          </w:tcPr>
          <w:p w14:paraId="4104E4C9" w14:textId="77777777" w:rsidR="00E62463" w:rsidRPr="007125C5" w:rsidRDefault="00E62463" w:rsidP="00E62463">
            <w:pPr>
              <w:pStyle w:val="naisf"/>
              <w:spacing w:before="0" w:beforeAutospacing="0" w:after="0" w:afterAutospacing="0"/>
              <w:ind w:left="57" w:right="57"/>
            </w:pPr>
            <w:r w:rsidRPr="007125C5">
              <w:t>Cita informācija</w:t>
            </w:r>
          </w:p>
        </w:tc>
        <w:tc>
          <w:tcPr>
            <w:tcW w:w="5635" w:type="dxa"/>
          </w:tcPr>
          <w:p w14:paraId="73C9C7C3" w14:textId="77777777" w:rsidR="00E62463" w:rsidRPr="00056D36" w:rsidRDefault="00E62463" w:rsidP="00E62463">
            <w:pPr>
              <w:ind w:left="57" w:right="57" w:hanging="57"/>
              <w:jc w:val="both"/>
            </w:pPr>
            <w:r w:rsidRPr="00056D36">
              <w:t>Nav.</w:t>
            </w:r>
          </w:p>
        </w:tc>
      </w:tr>
    </w:tbl>
    <w:p w14:paraId="14F4B132" w14:textId="77777777" w:rsidR="00AD13BF" w:rsidRDefault="00AD13BF" w:rsidP="00831519"/>
    <w:p w14:paraId="0A3E8DDB" w14:textId="77777777" w:rsidR="00C95410" w:rsidRPr="00420F8D" w:rsidRDefault="00C95410" w:rsidP="00831519"/>
    <w:p w14:paraId="1CD4B100" w14:textId="77777777" w:rsidR="00397F3A" w:rsidRPr="00ED36E4" w:rsidRDefault="00397F3A" w:rsidP="00397F3A">
      <w:r w:rsidRPr="00ED36E4">
        <w:t>Satiksmes ministr</w:t>
      </w:r>
      <w:r w:rsidR="007133EF">
        <w:t>s</w:t>
      </w:r>
      <w:r w:rsidR="007133EF">
        <w:tab/>
      </w:r>
      <w:r w:rsidR="007133EF">
        <w:tab/>
      </w:r>
      <w:r w:rsidR="007133EF">
        <w:tab/>
      </w:r>
      <w:r w:rsidR="007133EF">
        <w:tab/>
      </w:r>
      <w:r w:rsidR="007133EF">
        <w:tab/>
      </w:r>
      <w:r w:rsidR="007133EF">
        <w:tab/>
      </w:r>
      <w:r w:rsidR="007133EF">
        <w:tab/>
      </w:r>
      <w:r w:rsidR="007133EF">
        <w:tab/>
      </w:r>
      <w:proofErr w:type="spellStart"/>
      <w:r w:rsidR="007133EF">
        <w:t>U.Augulis</w:t>
      </w:r>
      <w:proofErr w:type="spellEnd"/>
    </w:p>
    <w:p w14:paraId="26970772" w14:textId="77777777" w:rsidR="00831519" w:rsidRPr="00420F8D" w:rsidRDefault="00831519" w:rsidP="00831519">
      <w:pPr>
        <w:tabs>
          <w:tab w:val="left" w:pos="6480"/>
        </w:tabs>
        <w:ind w:firstLine="720"/>
        <w:jc w:val="both"/>
        <w:rPr>
          <w:color w:val="000000"/>
        </w:rPr>
      </w:pPr>
    </w:p>
    <w:p w14:paraId="0B056DF8" w14:textId="77777777" w:rsidR="00831519" w:rsidRPr="00420F8D" w:rsidRDefault="00831519" w:rsidP="00831519">
      <w:pPr>
        <w:tabs>
          <w:tab w:val="left" w:pos="6480"/>
        </w:tabs>
        <w:jc w:val="both"/>
        <w:rPr>
          <w:color w:val="000000"/>
        </w:rPr>
      </w:pPr>
    </w:p>
    <w:p w14:paraId="6A58767E" w14:textId="77777777" w:rsidR="00831519" w:rsidRDefault="00681692" w:rsidP="009D6F6A">
      <w:pPr>
        <w:rPr>
          <w:color w:val="000000"/>
        </w:rPr>
      </w:pPr>
      <w:r w:rsidRPr="00420F8D">
        <w:rPr>
          <w:lang w:val="cs-CZ"/>
        </w:rPr>
        <w:t xml:space="preserve">Vīza: </w:t>
      </w:r>
      <w:r w:rsidR="00DE02A0">
        <w:rPr>
          <w:lang w:val="cs-CZ"/>
        </w:rPr>
        <w:t>Valsts sekretār</w:t>
      </w:r>
      <w:r w:rsidR="00AD13BF">
        <w:rPr>
          <w:lang w:val="cs-CZ"/>
        </w:rPr>
        <w:t>s</w:t>
      </w:r>
      <w:r w:rsidR="00DE02A0">
        <w:rPr>
          <w:lang w:val="cs-CZ"/>
        </w:rPr>
        <w:t xml:space="preserve"> </w:t>
      </w:r>
      <w:r w:rsidR="009C04D7">
        <w:rPr>
          <w:lang w:val="cs-CZ"/>
        </w:rPr>
        <w:tab/>
      </w:r>
      <w:r w:rsidR="009C04D7">
        <w:rPr>
          <w:lang w:val="cs-CZ"/>
        </w:rPr>
        <w:tab/>
      </w:r>
      <w:r w:rsidR="009C04D7">
        <w:rPr>
          <w:lang w:val="cs-CZ"/>
        </w:rPr>
        <w:tab/>
      </w:r>
      <w:r w:rsidR="009C04D7">
        <w:rPr>
          <w:lang w:val="cs-CZ"/>
        </w:rPr>
        <w:tab/>
      </w:r>
      <w:r w:rsidR="009C04D7">
        <w:rPr>
          <w:lang w:val="cs-CZ"/>
        </w:rPr>
        <w:tab/>
      </w:r>
      <w:r w:rsidR="009C04D7">
        <w:rPr>
          <w:lang w:val="cs-CZ"/>
        </w:rPr>
        <w:tab/>
      </w:r>
      <w:r w:rsidR="007133EF">
        <w:rPr>
          <w:lang w:val="cs-CZ"/>
        </w:rPr>
        <w:tab/>
      </w:r>
      <w:r w:rsidR="00AD13BF">
        <w:rPr>
          <w:lang w:val="cs-CZ"/>
        </w:rPr>
        <w:tab/>
        <w:t>K.Ozoliņš</w:t>
      </w:r>
    </w:p>
    <w:p w14:paraId="5EC6B0D7" w14:textId="77777777" w:rsidR="007133EF" w:rsidRDefault="007133EF" w:rsidP="00831519">
      <w:pPr>
        <w:pStyle w:val="Header"/>
        <w:tabs>
          <w:tab w:val="left" w:pos="720"/>
        </w:tabs>
        <w:rPr>
          <w:rFonts w:ascii="Times New Roman" w:hAnsi="Times New Roman"/>
          <w:color w:val="000000"/>
          <w:sz w:val="24"/>
          <w:szCs w:val="24"/>
        </w:rPr>
      </w:pPr>
    </w:p>
    <w:p w14:paraId="077B059F" w14:textId="77777777" w:rsidR="007133EF" w:rsidRDefault="007133EF" w:rsidP="00831519">
      <w:pPr>
        <w:pStyle w:val="Header"/>
        <w:tabs>
          <w:tab w:val="left" w:pos="720"/>
        </w:tabs>
        <w:rPr>
          <w:rFonts w:ascii="Times New Roman" w:hAnsi="Times New Roman"/>
          <w:color w:val="000000"/>
          <w:sz w:val="24"/>
          <w:szCs w:val="24"/>
        </w:rPr>
      </w:pPr>
    </w:p>
    <w:p w14:paraId="15934C40" w14:textId="77777777" w:rsidR="00C95410" w:rsidRDefault="00C95410" w:rsidP="00831519">
      <w:pPr>
        <w:pStyle w:val="Header"/>
        <w:tabs>
          <w:tab w:val="left" w:pos="720"/>
        </w:tabs>
        <w:rPr>
          <w:rFonts w:ascii="Times New Roman" w:hAnsi="Times New Roman"/>
          <w:color w:val="000000"/>
          <w:sz w:val="24"/>
          <w:szCs w:val="24"/>
        </w:rPr>
      </w:pPr>
    </w:p>
    <w:p w14:paraId="4EE10286" w14:textId="77777777" w:rsidR="00C95410" w:rsidRDefault="00C95410" w:rsidP="00831519">
      <w:pPr>
        <w:pStyle w:val="Header"/>
        <w:tabs>
          <w:tab w:val="left" w:pos="720"/>
        </w:tabs>
        <w:rPr>
          <w:rFonts w:ascii="Times New Roman" w:hAnsi="Times New Roman"/>
          <w:color w:val="000000"/>
          <w:sz w:val="24"/>
          <w:szCs w:val="24"/>
        </w:rPr>
      </w:pPr>
    </w:p>
    <w:p w14:paraId="292AAF44" w14:textId="77777777" w:rsidR="00C95410" w:rsidRDefault="00C95410" w:rsidP="00831519">
      <w:pPr>
        <w:pStyle w:val="Header"/>
        <w:tabs>
          <w:tab w:val="left" w:pos="720"/>
        </w:tabs>
        <w:rPr>
          <w:rFonts w:ascii="Times New Roman" w:hAnsi="Times New Roman"/>
          <w:color w:val="000000"/>
          <w:sz w:val="24"/>
          <w:szCs w:val="24"/>
        </w:rPr>
      </w:pPr>
    </w:p>
    <w:p w14:paraId="65927C59" w14:textId="77777777" w:rsidR="00C95410" w:rsidRDefault="00C95410" w:rsidP="00831519">
      <w:pPr>
        <w:pStyle w:val="Header"/>
        <w:tabs>
          <w:tab w:val="left" w:pos="720"/>
        </w:tabs>
        <w:rPr>
          <w:rFonts w:ascii="Times New Roman" w:hAnsi="Times New Roman"/>
          <w:color w:val="000000"/>
          <w:sz w:val="24"/>
          <w:szCs w:val="24"/>
        </w:rPr>
      </w:pPr>
    </w:p>
    <w:p w14:paraId="3FB94876" w14:textId="77777777" w:rsidR="00C95410" w:rsidRDefault="00C95410" w:rsidP="00831519">
      <w:pPr>
        <w:pStyle w:val="Header"/>
        <w:tabs>
          <w:tab w:val="left" w:pos="720"/>
        </w:tabs>
        <w:rPr>
          <w:rFonts w:ascii="Times New Roman" w:hAnsi="Times New Roman"/>
          <w:color w:val="000000"/>
          <w:sz w:val="24"/>
          <w:szCs w:val="24"/>
        </w:rPr>
      </w:pPr>
    </w:p>
    <w:p w14:paraId="421DA072" w14:textId="77777777" w:rsidR="00C95410" w:rsidRDefault="00C95410" w:rsidP="00831519">
      <w:pPr>
        <w:pStyle w:val="Header"/>
        <w:tabs>
          <w:tab w:val="left" w:pos="720"/>
        </w:tabs>
        <w:rPr>
          <w:rFonts w:ascii="Times New Roman" w:hAnsi="Times New Roman"/>
          <w:color w:val="000000"/>
          <w:sz w:val="24"/>
          <w:szCs w:val="24"/>
        </w:rPr>
      </w:pPr>
    </w:p>
    <w:p w14:paraId="05A11D7E" w14:textId="77777777" w:rsidR="00C95410" w:rsidRDefault="00C95410" w:rsidP="00831519">
      <w:pPr>
        <w:pStyle w:val="Header"/>
        <w:tabs>
          <w:tab w:val="left" w:pos="720"/>
        </w:tabs>
        <w:rPr>
          <w:rFonts w:ascii="Times New Roman" w:hAnsi="Times New Roman"/>
          <w:color w:val="000000"/>
          <w:sz w:val="24"/>
          <w:szCs w:val="24"/>
        </w:rPr>
      </w:pPr>
    </w:p>
    <w:p w14:paraId="10F529B7" w14:textId="77777777" w:rsidR="00C95410" w:rsidRPr="00420F8D" w:rsidRDefault="00C95410" w:rsidP="00831519">
      <w:pPr>
        <w:pStyle w:val="Header"/>
        <w:tabs>
          <w:tab w:val="left" w:pos="720"/>
        </w:tabs>
        <w:rPr>
          <w:rFonts w:ascii="Times New Roman" w:hAnsi="Times New Roman"/>
          <w:color w:val="000000"/>
          <w:sz w:val="24"/>
          <w:szCs w:val="24"/>
        </w:rPr>
      </w:pPr>
    </w:p>
    <w:p w14:paraId="284E1B23" w14:textId="77777777" w:rsidR="00C43CCE" w:rsidRDefault="00FB0734" w:rsidP="00831519">
      <w:pPr>
        <w:pStyle w:val="Header"/>
        <w:tabs>
          <w:tab w:val="left" w:pos="720"/>
        </w:tabs>
        <w:rPr>
          <w:rFonts w:ascii="Times New Roman" w:hAnsi="Times New Roman"/>
          <w:color w:val="000000"/>
          <w:sz w:val="20"/>
          <w:szCs w:val="20"/>
        </w:rPr>
      </w:pPr>
      <w:proofErr w:type="spellStart"/>
      <w:r w:rsidRPr="005356B4">
        <w:rPr>
          <w:rFonts w:ascii="Times New Roman" w:hAnsi="Times New Roman"/>
          <w:color w:val="000000"/>
          <w:sz w:val="20"/>
          <w:szCs w:val="20"/>
        </w:rPr>
        <w:t>Ž.</w:t>
      </w:r>
      <w:r w:rsidR="00831519" w:rsidRPr="005356B4">
        <w:rPr>
          <w:rFonts w:ascii="Times New Roman" w:hAnsi="Times New Roman"/>
          <w:color w:val="000000"/>
          <w:sz w:val="20"/>
          <w:szCs w:val="20"/>
        </w:rPr>
        <w:t>Jansone</w:t>
      </w:r>
      <w:proofErr w:type="spellEnd"/>
      <w:r w:rsidR="00831519" w:rsidRPr="005356B4">
        <w:rPr>
          <w:rFonts w:ascii="Times New Roman" w:hAnsi="Times New Roman"/>
          <w:color w:val="000000"/>
          <w:sz w:val="20"/>
          <w:szCs w:val="20"/>
        </w:rPr>
        <w:t xml:space="preserve"> </w:t>
      </w:r>
    </w:p>
    <w:p w14:paraId="5773D665" w14:textId="77777777" w:rsidR="006E13A2" w:rsidRPr="00420F8D" w:rsidRDefault="00831519" w:rsidP="007125C5">
      <w:pPr>
        <w:pStyle w:val="Header"/>
        <w:tabs>
          <w:tab w:val="left" w:pos="720"/>
        </w:tabs>
      </w:pPr>
      <w:r w:rsidRPr="005356B4">
        <w:rPr>
          <w:rFonts w:ascii="Times New Roman" w:hAnsi="Times New Roman"/>
          <w:color w:val="000000"/>
          <w:sz w:val="20"/>
          <w:szCs w:val="20"/>
        </w:rPr>
        <w:t>67028258</w:t>
      </w:r>
      <w:r w:rsidR="00A41349">
        <w:rPr>
          <w:rFonts w:ascii="Times New Roman" w:hAnsi="Times New Roman"/>
          <w:color w:val="000000"/>
          <w:sz w:val="20"/>
          <w:szCs w:val="20"/>
        </w:rPr>
        <w:t xml:space="preserve">, </w:t>
      </w:r>
      <w:r w:rsidRPr="005356B4">
        <w:rPr>
          <w:rFonts w:ascii="Times New Roman" w:hAnsi="Times New Roman"/>
          <w:color w:val="000000"/>
          <w:sz w:val="20"/>
          <w:szCs w:val="20"/>
        </w:rPr>
        <w:t>zanete.jansone@sam.gov.lv</w:t>
      </w:r>
    </w:p>
    <w:sectPr w:rsidR="006E13A2" w:rsidRPr="00420F8D" w:rsidSect="00005D3E">
      <w:headerReference w:type="default" r:id="rId8"/>
      <w:footerReference w:type="default" r:id="rId9"/>
      <w:footerReference w:type="first" r:id="rId10"/>
      <w:pgSz w:w="11906" w:h="16838"/>
      <w:pgMar w:top="1474" w:right="102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5B98" w14:textId="77777777" w:rsidR="00881FCF" w:rsidRDefault="00881FCF" w:rsidP="0022793F">
      <w:r>
        <w:separator/>
      </w:r>
    </w:p>
  </w:endnote>
  <w:endnote w:type="continuationSeparator" w:id="0">
    <w:p w14:paraId="54529FF0" w14:textId="77777777" w:rsidR="00881FCF" w:rsidRDefault="00881FCF"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A424" w14:textId="77777777" w:rsidR="00AD13BF" w:rsidRPr="002C213D" w:rsidRDefault="00AD13BF" w:rsidP="00AD13BF">
    <w:pPr>
      <w:jc w:val="both"/>
      <w:rPr>
        <w:sz w:val="20"/>
        <w:szCs w:val="20"/>
      </w:rPr>
    </w:pPr>
    <w:r>
      <w:rPr>
        <w:sz w:val="20"/>
        <w:szCs w:val="20"/>
      </w:rPr>
      <w:t>S</w:t>
    </w:r>
    <w:r w:rsidRPr="002C213D">
      <w:rPr>
        <w:sz w:val="20"/>
        <w:szCs w:val="20"/>
      </w:rPr>
      <w:t>M</w:t>
    </w:r>
    <w:r w:rsidR="005A51E4">
      <w:rPr>
        <w:sz w:val="20"/>
        <w:szCs w:val="20"/>
      </w:rPr>
      <w:t>a</w:t>
    </w:r>
    <w:r w:rsidRPr="002C213D">
      <w:rPr>
        <w:sz w:val="20"/>
        <w:szCs w:val="20"/>
      </w:rPr>
      <w:t>not_</w:t>
    </w:r>
    <w:r w:rsidR="00EA7B33">
      <w:rPr>
        <w:sz w:val="20"/>
        <w:szCs w:val="20"/>
      </w:rPr>
      <w:t>251018_dotacija</w:t>
    </w:r>
    <w:r w:rsidRPr="002C213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2ED4" w14:textId="77777777" w:rsidR="00DE3903" w:rsidRPr="00EA7B33" w:rsidRDefault="00EA7B33" w:rsidP="00EA7B33">
    <w:pPr>
      <w:pStyle w:val="Footer"/>
      <w:rPr>
        <w:rFonts w:ascii="Times New Roman" w:hAnsi="Times New Roman"/>
        <w:sz w:val="20"/>
        <w:szCs w:val="20"/>
      </w:rPr>
    </w:pPr>
    <w:r w:rsidRPr="00EA7B33">
      <w:rPr>
        <w:rFonts w:ascii="Times New Roman" w:hAnsi="Times New Roman"/>
        <w:sz w:val="20"/>
        <w:szCs w:val="20"/>
      </w:rPr>
      <w:t>SM</w:t>
    </w:r>
    <w:r w:rsidR="005A51E4">
      <w:rPr>
        <w:rFonts w:ascii="Times New Roman" w:hAnsi="Times New Roman"/>
        <w:sz w:val="20"/>
        <w:szCs w:val="20"/>
      </w:rPr>
      <w:t>a</w:t>
    </w:r>
    <w:r w:rsidRPr="00EA7B33">
      <w:rPr>
        <w:rFonts w:ascii="Times New Roman" w:hAnsi="Times New Roman"/>
        <w:sz w:val="20"/>
        <w:szCs w:val="20"/>
      </w:rPr>
      <w:t>not_251018_dotacija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55D3" w14:textId="77777777" w:rsidR="00881FCF" w:rsidRDefault="00881FCF" w:rsidP="0022793F">
      <w:r>
        <w:separator/>
      </w:r>
    </w:p>
  </w:footnote>
  <w:footnote w:type="continuationSeparator" w:id="0">
    <w:p w14:paraId="1B1150ED" w14:textId="77777777" w:rsidR="00881FCF" w:rsidRDefault="00881FCF" w:rsidP="0022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0F0D" w14:textId="77777777" w:rsidR="00912F26" w:rsidRDefault="00912F26" w:rsidP="001E681C">
    <w:pPr>
      <w:pStyle w:val="Header"/>
      <w:jc w:val="center"/>
    </w:pPr>
    <w:r w:rsidRPr="00912F26">
      <w:rPr>
        <w:rFonts w:ascii="Times New Roman" w:hAnsi="Times New Roman"/>
      </w:rPr>
      <w:fldChar w:fldCharType="begin"/>
    </w:r>
    <w:r w:rsidRPr="00912F26">
      <w:rPr>
        <w:rFonts w:ascii="Times New Roman" w:hAnsi="Times New Roman"/>
      </w:rPr>
      <w:instrText xml:space="preserve"> PAGE   \* MERGEFORMAT </w:instrText>
    </w:r>
    <w:r w:rsidRPr="00912F26">
      <w:rPr>
        <w:rFonts w:ascii="Times New Roman" w:hAnsi="Times New Roman"/>
      </w:rPr>
      <w:fldChar w:fldCharType="separate"/>
    </w:r>
    <w:r w:rsidR="002250B5">
      <w:rPr>
        <w:rFonts w:ascii="Times New Roman" w:hAnsi="Times New Roman"/>
        <w:noProof/>
      </w:rPr>
      <w:t>3</w:t>
    </w:r>
    <w:r w:rsidRPr="00912F26">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A2F"/>
    <w:multiLevelType w:val="hybridMultilevel"/>
    <w:tmpl w:val="4F68D030"/>
    <w:lvl w:ilvl="0" w:tplc="D8E8E23A">
      <w:start w:val="1"/>
      <w:numFmt w:val="decimal"/>
      <w:lvlText w:val="%1."/>
      <w:lvlJc w:val="left"/>
      <w:pPr>
        <w:ind w:left="1180" w:hanging="360"/>
      </w:pPr>
      <w:rPr>
        <w:rFonts w:hint="default"/>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 w15:restartNumberingAfterBreak="0">
    <w:nsid w:val="19F32281"/>
    <w:multiLevelType w:val="hybridMultilevel"/>
    <w:tmpl w:val="97C292CE"/>
    <w:lvl w:ilvl="0" w:tplc="66B6DFD6">
      <w:start w:val="110"/>
      <w:numFmt w:val="bullet"/>
      <w:lvlText w:val="-"/>
      <w:lvlJc w:val="left"/>
      <w:pPr>
        <w:ind w:left="1038" w:hanging="360"/>
      </w:pPr>
      <w:rPr>
        <w:rFonts w:ascii="Times New Roman" w:eastAsia="Calibri" w:hAnsi="Times New Roman" w:cs="Times New Roman" w:hint="default"/>
        <w:b w:val="0"/>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2D96188B"/>
    <w:multiLevelType w:val="hybridMultilevel"/>
    <w:tmpl w:val="99562340"/>
    <w:lvl w:ilvl="0" w:tplc="1E34003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A263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91B069A"/>
    <w:multiLevelType w:val="hybridMultilevel"/>
    <w:tmpl w:val="B09492C4"/>
    <w:lvl w:ilvl="0" w:tplc="4FD04E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54"/>
    <w:rsid w:val="00004614"/>
    <w:rsid w:val="00005D3E"/>
    <w:rsid w:val="00006975"/>
    <w:rsid w:val="00006F74"/>
    <w:rsid w:val="0003000A"/>
    <w:rsid w:val="00047D22"/>
    <w:rsid w:val="0005043E"/>
    <w:rsid w:val="00054870"/>
    <w:rsid w:val="00056D36"/>
    <w:rsid w:val="00061EB7"/>
    <w:rsid w:val="0007481E"/>
    <w:rsid w:val="00074E6D"/>
    <w:rsid w:val="00090663"/>
    <w:rsid w:val="0009649D"/>
    <w:rsid w:val="000B31BA"/>
    <w:rsid w:val="000B4B1C"/>
    <w:rsid w:val="000C0C47"/>
    <w:rsid w:val="000C27EC"/>
    <w:rsid w:val="000D2206"/>
    <w:rsid w:val="000D2DB2"/>
    <w:rsid w:val="000E4652"/>
    <w:rsid w:val="000F28B2"/>
    <w:rsid w:val="00105518"/>
    <w:rsid w:val="00111100"/>
    <w:rsid w:val="001113C9"/>
    <w:rsid w:val="001141D8"/>
    <w:rsid w:val="00117A30"/>
    <w:rsid w:val="00124422"/>
    <w:rsid w:val="0013007B"/>
    <w:rsid w:val="00143D19"/>
    <w:rsid w:val="00144674"/>
    <w:rsid w:val="00161C22"/>
    <w:rsid w:val="00164B63"/>
    <w:rsid w:val="00166865"/>
    <w:rsid w:val="00174CF6"/>
    <w:rsid w:val="001911D7"/>
    <w:rsid w:val="00195F9C"/>
    <w:rsid w:val="00196328"/>
    <w:rsid w:val="001A0891"/>
    <w:rsid w:val="001A0AE0"/>
    <w:rsid w:val="001B12F6"/>
    <w:rsid w:val="001B3E60"/>
    <w:rsid w:val="001C49AC"/>
    <w:rsid w:val="001D5460"/>
    <w:rsid w:val="001E681C"/>
    <w:rsid w:val="001F1CB6"/>
    <w:rsid w:val="00214A6D"/>
    <w:rsid w:val="002250B5"/>
    <w:rsid w:val="0022731F"/>
    <w:rsid w:val="0022793F"/>
    <w:rsid w:val="002309A9"/>
    <w:rsid w:val="00234643"/>
    <w:rsid w:val="00247FDF"/>
    <w:rsid w:val="002554A7"/>
    <w:rsid w:val="002573ED"/>
    <w:rsid w:val="00263A17"/>
    <w:rsid w:val="00270643"/>
    <w:rsid w:val="0027476E"/>
    <w:rsid w:val="00277F24"/>
    <w:rsid w:val="002852E1"/>
    <w:rsid w:val="002913FE"/>
    <w:rsid w:val="00294D92"/>
    <w:rsid w:val="002A7B03"/>
    <w:rsid w:val="002B6B99"/>
    <w:rsid w:val="002C05DC"/>
    <w:rsid w:val="002C213D"/>
    <w:rsid w:val="002C2334"/>
    <w:rsid w:val="002D3E91"/>
    <w:rsid w:val="002D7FA3"/>
    <w:rsid w:val="002E2A39"/>
    <w:rsid w:val="002E75EE"/>
    <w:rsid w:val="002F2488"/>
    <w:rsid w:val="00301F8E"/>
    <w:rsid w:val="00311F39"/>
    <w:rsid w:val="00312BB6"/>
    <w:rsid w:val="003414A3"/>
    <w:rsid w:val="00345F46"/>
    <w:rsid w:val="00350626"/>
    <w:rsid w:val="00352F02"/>
    <w:rsid w:val="00354F07"/>
    <w:rsid w:val="00357560"/>
    <w:rsid w:val="003603BA"/>
    <w:rsid w:val="003654CD"/>
    <w:rsid w:val="00366207"/>
    <w:rsid w:val="0037285F"/>
    <w:rsid w:val="00375D96"/>
    <w:rsid w:val="003920F0"/>
    <w:rsid w:val="00397F3A"/>
    <w:rsid w:val="003D122B"/>
    <w:rsid w:val="003D2BF9"/>
    <w:rsid w:val="003F3013"/>
    <w:rsid w:val="003F6C5E"/>
    <w:rsid w:val="004030C7"/>
    <w:rsid w:val="0041402E"/>
    <w:rsid w:val="00414A17"/>
    <w:rsid w:val="00414ED8"/>
    <w:rsid w:val="00415732"/>
    <w:rsid w:val="00415F00"/>
    <w:rsid w:val="00420F8D"/>
    <w:rsid w:val="004250DE"/>
    <w:rsid w:val="00427BB7"/>
    <w:rsid w:val="00433527"/>
    <w:rsid w:val="00434A4D"/>
    <w:rsid w:val="00446320"/>
    <w:rsid w:val="00450733"/>
    <w:rsid w:val="0045446E"/>
    <w:rsid w:val="00460F7C"/>
    <w:rsid w:val="004755A6"/>
    <w:rsid w:val="00480E04"/>
    <w:rsid w:val="0048462A"/>
    <w:rsid w:val="00493DA4"/>
    <w:rsid w:val="004944A4"/>
    <w:rsid w:val="004946F7"/>
    <w:rsid w:val="00494EF0"/>
    <w:rsid w:val="00496DEF"/>
    <w:rsid w:val="004A30BC"/>
    <w:rsid w:val="004A6E7C"/>
    <w:rsid w:val="004B684A"/>
    <w:rsid w:val="004D696F"/>
    <w:rsid w:val="004E01EF"/>
    <w:rsid w:val="004E0CAC"/>
    <w:rsid w:val="004F19EB"/>
    <w:rsid w:val="004F6A97"/>
    <w:rsid w:val="00507737"/>
    <w:rsid w:val="00516016"/>
    <w:rsid w:val="005356B4"/>
    <w:rsid w:val="005455CB"/>
    <w:rsid w:val="00554716"/>
    <w:rsid w:val="00555B47"/>
    <w:rsid w:val="00557279"/>
    <w:rsid w:val="00563597"/>
    <w:rsid w:val="005951FA"/>
    <w:rsid w:val="005A0555"/>
    <w:rsid w:val="005A51E4"/>
    <w:rsid w:val="005C2EDD"/>
    <w:rsid w:val="005D2C04"/>
    <w:rsid w:val="005E181F"/>
    <w:rsid w:val="006157AC"/>
    <w:rsid w:val="00617B0A"/>
    <w:rsid w:val="0062027F"/>
    <w:rsid w:val="006306DD"/>
    <w:rsid w:val="00631292"/>
    <w:rsid w:val="00642F27"/>
    <w:rsid w:val="00650DF1"/>
    <w:rsid w:val="00656A0B"/>
    <w:rsid w:val="0066511A"/>
    <w:rsid w:val="00681692"/>
    <w:rsid w:val="006A7AF2"/>
    <w:rsid w:val="006B120F"/>
    <w:rsid w:val="006C2144"/>
    <w:rsid w:val="006C7158"/>
    <w:rsid w:val="006D36D1"/>
    <w:rsid w:val="006D3D8D"/>
    <w:rsid w:val="006D6A82"/>
    <w:rsid w:val="006E13A2"/>
    <w:rsid w:val="006E3532"/>
    <w:rsid w:val="006E39E3"/>
    <w:rsid w:val="0070375B"/>
    <w:rsid w:val="00705A7B"/>
    <w:rsid w:val="00707DFC"/>
    <w:rsid w:val="007125C5"/>
    <w:rsid w:val="007133EF"/>
    <w:rsid w:val="00714B4D"/>
    <w:rsid w:val="00727469"/>
    <w:rsid w:val="00733793"/>
    <w:rsid w:val="00733F0F"/>
    <w:rsid w:val="007404D6"/>
    <w:rsid w:val="007706A2"/>
    <w:rsid w:val="00786CB4"/>
    <w:rsid w:val="007C3B33"/>
    <w:rsid w:val="007C3F5A"/>
    <w:rsid w:val="007D4F30"/>
    <w:rsid w:val="007D6CF9"/>
    <w:rsid w:val="007E029E"/>
    <w:rsid w:val="007F0BA5"/>
    <w:rsid w:val="007F10FD"/>
    <w:rsid w:val="007F4306"/>
    <w:rsid w:val="00801F9F"/>
    <w:rsid w:val="008035A4"/>
    <w:rsid w:val="00806511"/>
    <w:rsid w:val="0081035D"/>
    <w:rsid w:val="0081136E"/>
    <w:rsid w:val="00811B39"/>
    <w:rsid w:val="00814209"/>
    <w:rsid w:val="00831519"/>
    <w:rsid w:val="00856F83"/>
    <w:rsid w:val="008638B5"/>
    <w:rsid w:val="00872485"/>
    <w:rsid w:val="00875E5D"/>
    <w:rsid w:val="00881CDC"/>
    <w:rsid w:val="00881FCF"/>
    <w:rsid w:val="00894FF6"/>
    <w:rsid w:val="00895642"/>
    <w:rsid w:val="008A70C2"/>
    <w:rsid w:val="008A7B5E"/>
    <w:rsid w:val="008B0AF9"/>
    <w:rsid w:val="008B0D61"/>
    <w:rsid w:val="008C1521"/>
    <w:rsid w:val="008D4D16"/>
    <w:rsid w:val="008E0125"/>
    <w:rsid w:val="008E705E"/>
    <w:rsid w:val="008F17D4"/>
    <w:rsid w:val="008F2A0C"/>
    <w:rsid w:val="00903B8E"/>
    <w:rsid w:val="00912F26"/>
    <w:rsid w:val="009139B5"/>
    <w:rsid w:val="00915B12"/>
    <w:rsid w:val="0092447B"/>
    <w:rsid w:val="00944CC1"/>
    <w:rsid w:val="00947F9C"/>
    <w:rsid w:val="00947FCA"/>
    <w:rsid w:val="009520E2"/>
    <w:rsid w:val="00967561"/>
    <w:rsid w:val="009676BC"/>
    <w:rsid w:val="009726B5"/>
    <w:rsid w:val="00973A9C"/>
    <w:rsid w:val="00983301"/>
    <w:rsid w:val="00993B35"/>
    <w:rsid w:val="009A3524"/>
    <w:rsid w:val="009B7C7C"/>
    <w:rsid w:val="009C04D7"/>
    <w:rsid w:val="009C1723"/>
    <w:rsid w:val="009C435B"/>
    <w:rsid w:val="009D5635"/>
    <w:rsid w:val="009D64C1"/>
    <w:rsid w:val="009D6F6A"/>
    <w:rsid w:val="009D7C92"/>
    <w:rsid w:val="009E0D10"/>
    <w:rsid w:val="009E3C85"/>
    <w:rsid w:val="009E5FBD"/>
    <w:rsid w:val="009F0487"/>
    <w:rsid w:val="00A0231A"/>
    <w:rsid w:val="00A06AF6"/>
    <w:rsid w:val="00A1520E"/>
    <w:rsid w:val="00A41349"/>
    <w:rsid w:val="00A431EA"/>
    <w:rsid w:val="00A6095B"/>
    <w:rsid w:val="00A659F5"/>
    <w:rsid w:val="00A7018F"/>
    <w:rsid w:val="00A70E56"/>
    <w:rsid w:val="00A71776"/>
    <w:rsid w:val="00A7517D"/>
    <w:rsid w:val="00A9068C"/>
    <w:rsid w:val="00A9474E"/>
    <w:rsid w:val="00AA3BDA"/>
    <w:rsid w:val="00AC4B9A"/>
    <w:rsid w:val="00AC79E4"/>
    <w:rsid w:val="00AD0F47"/>
    <w:rsid w:val="00AD13BF"/>
    <w:rsid w:val="00AF118E"/>
    <w:rsid w:val="00AF4117"/>
    <w:rsid w:val="00AF6B54"/>
    <w:rsid w:val="00B0079E"/>
    <w:rsid w:val="00B34A23"/>
    <w:rsid w:val="00B42249"/>
    <w:rsid w:val="00B560BA"/>
    <w:rsid w:val="00B65ECB"/>
    <w:rsid w:val="00B82904"/>
    <w:rsid w:val="00B86522"/>
    <w:rsid w:val="00B9074C"/>
    <w:rsid w:val="00B91938"/>
    <w:rsid w:val="00BA0A28"/>
    <w:rsid w:val="00BB77A2"/>
    <w:rsid w:val="00BC2533"/>
    <w:rsid w:val="00BD4642"/>
    <w:rsid w:val="00BE691D"/>
    <w:rsid w:val="00BF20B7"/>
    <w:rsid w:val="00BF487A"/>
    <w:rsid w:val="00BF66BB"/>
    <w:rsid w:val="00C02346"/>
    <w:rsid w:val="00C026CD"/>
    <w:rsid w:val="00C12C70"/>
    <w:rsid w:val="00C13291"/>
    <w:rsid w:val="00C259FF"/>
    <w:rsid w:val="00C43CCE"/>
    <w:rsid w:val="00C5065C"/>
    <w:rsid w:val="00C55FBE"/>
    <w:rsid w:val="00C74C3E"/>
    <w:rsid w:val="00C84E56"/>
    <w:rsid w:val="00C9294A"/>
    <w:rsid w:val="00C95410"/>
    <w:rsid w:val="00C96C5D"/>
    <w:rsid w:val="00CA4692"/>
    <w:rsid w:val="00CC0069"/>
    <w:rsid w:val="00CC25A4"/>
    <w:rsid w:val="00CC46AC"/>
    <w:rsid w:val="00CC7A61"/>
    <w:rsid w:val="00CD3332"/>
    <w:rsid w:val="00CD3D9A"/>
    <w:rsid w:val="00CF184E"/>
    <w:rsid w:val="00CF2631"/>
    <w:rsid w:val="00CF6F22"/>
    <w:rsid w:val="00D0151D"/>
    <w:rsid w:val="00D0262E"/>
    <w:rsid w:val="00D221A9"/>
    <w:rsid w:val="00D226D9"/>
    <w:rsid w:val="00D349F5"/>
    <w:rsid w:val="00D40E30"/>
    <w:rsid w:val="00D41EC5"/>
    <w:rsid w:val="00D44130"/>
    <w:rsid w:val="00D44D7F"/>
    <w:rsid w:val="00D46A65"/>
    <w:rsid w:val="00D47ED8"/>
    <w:rsid w:val="00D5362D"/>
    <w:rsid w:val="00D6085F"/>
    <w:rsid w:val="00D63ED4"/>
    <w:rsid w:val="00D669F6"/>
    <w:rsid w:val="00D66F8E"/>
    <w:rsid w:val="00D72CDB"/>
    <w:rsid w:val="00D72FE8"/>
    <w:rsid w:val="00D80B24"/>
    <w:rsid w:val="00D82D42"/>
    <w:rsid w:val="00D8724C"/>
    <w:rsid w:val="00D93EDB"/>
    <w:rsid w:val="00D95432"/>
    <w:rsid w:val="00D9631D"/>
    <w:rsid w:val="00DA1A68"/>
    <w:rsid w:val="00DB06D2"/>
    <w:rsid w:val="00DB5AD4"/>
    <w:rsid w:val="00DD1C6A"/>
    <w:rsid w:val="00DD53C2"/>
    <w:rsid w:val="00DD6BB1"/>
    <w:rsid w:val="00DD743E"/>
    <w:rsid w:val="00DE02A0"/>
    <w:rsid w:val="00DE2B47"/>
    <w:rsid w:val="00DE3903"/>
    <w:rsid w:val="00DE5C89"/>
    <w:rsid w:val="00DF3098"/>
    <w:rsid w:val="00DF66D3"/>
    <w:rsid w:val="00DF6FBD"/>
    <w:rsid w:val="00DF7646"/>
    <w:rsid w:val="00E01655"/>
    <w:rsid w:val="00E20A21"/>
    <w:rsid w:val="00E23DA0"/>
    <w:rsid w:val="00E3359C"/>
    <w:rsid w:val="00E41A92"/>
    <w:rsid w:val="00E45551"/>
    <w:rsid w:val="00E61D84"/>
    <w:rsid w:val="00E62463"/>
    <w:rsid w:val="00E663CF"/>
    <w:rsid w:val="00E75173"/>
    <w:rsid w:val="00E877A6"/>
    <w:rsid w:val="00EA33E8"/>
    <w:rsid w:val="00EA4ED9"/>
    <w:rsid w:val="00EA60A2"/>
    <w:rsid w:val="00EA7B33"/>
    <w:rsid w:val="00EB473B"/>
    <w:rsid w:val="00EC38A6"/>
    <w:rsid w:val="00EE42F4"/>
    <w:rsid w:val="00F31CBE"/>
    <w:rsid w:val="00F356F3"/>
    <w:rsid w:val="00F555AE"/>
    <w:rsid w:val="00F5598D"/>
    <w:rsid w:val="00F618F4"/>
    <w:rsid w:val="00F81FC3"/>
    <w:rsid w:val="00FA4E9F"/>
    <w:rsid w:val="00FB0734"/>
    <w:rsid w:val="00FC3240"/>
    <w:rsid w:val="00FC7656"/>
    <w:rsid w:val="00FE5481"/>
    <w:rsid w:val="00FF4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04AA"/>
  <w15:chartTrackingRefBased/>
  <w15:docId w15:val="{89299936-1F7D-4E10-9689-AAF3EACC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B54"/>
    <w:rPr>
      <w:sz w:val="24"/>
      <w:szCs w:val="24"/>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nhideWhenUsed/>
    <w:rsid w:val="00831519"/>
    <w:pPr>
      <w:tabs>
        <w:tab w:val="center" w:pos="4153"/>
        <w:tab w:val="right" w:pos="8306"/>
      </w:tabs>
    </w:pPr>
    <w:rPr>
      <w:rFonts w:ascii="Calibri" w:hAnsi="Calibri"/>
      <w:sz w:val="22"/>
      <w:szCs w:val="22"/>
      <w:lang w:eastAsia="en-US"/>
    </w:rPr>
  </w:style>
  <w:style w:type="character" w:customStyle="1" w:styleId="HeaderChar">
    <w:name w:val="Header Char"/>
    <w:link w:val="Header"/>
    <w:uiPriority w:val="99"/>
    <w:rsid w:val="00831519"/>
    <w:rPr>
      <w:rFonts w:ascii="Calibri" w:hAnsi="Calibri"/>
      <w:sz w:val="22"/>
    </w:rPr>
  </w:style>
  <w:style w:type="paragraph" w:styleId="Footer">
    <w:name w:val="footer"/>
    <w:basedOn w:val="Normal"/>
    <w:link w:val="FooterChar"/>
    <w:uiPriority w:val="99"/>
    <w:unhideWhenUsed/>
    <w:rsid w:val="00831519"/>
    <w:pPr>
      <w:tabs>
        <w:tab w:val="center" w:pos="4153"/>
        <w:tab w:val="right" w:pos="8306"/>
      </w:tabs>
    </w:pPr>
    <w:rPr>
      <w:rFonts w:ascii="Calibri" w:hAnsi="Calibri"/>
      <w:sz w:val="22"/>
      <w:szCs w:val="22"/>
      <w:lang w:eastAsia="en-US"/>
    </w:rPr>
  </w:style>
  <w:style w:type="character" w:customStyle="1" w:styleId="FooterChar">
    <w:name w:val="Footer Char"/>
    <w:link w:val="Footer"/>
    <w:uiPriority w:val="99"/>
    <w:rsid w:val="00831519"/>
    <w:rPr>
      <w:rFonts w:ascii="Calibri" w:hAnsi="Calibr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Cambria" w:eastAsia="Times New Roman" w:hAnsi="Cambria"/>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uiPriority w:val="99"/>
    <w:semiHidden/>
    <w:unhideWhenUsed/>
    <w:rsid w:val="00947FCA"/>
    <w:rPr>
      <w:strike w:val="0"/>
      <w:dstrike w:val="0"/>
      <w:color w:val="3366CC"/>
      <w:u w:val="none"/>
      <w:effect w:val="none"/>
    </w:rPr>
  </w:style>
  <w:style w:type="character" w:customStyle="1" w:styleId="super">
    <w:name w:val="super"/>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link w:val="BalloonText"/>
    <w:uiPriority w:val="99"/>
    <w:semiHidden/>
    <w:rsid w:val="002D3E91"/>
    <w:rPr>
      <w:rFonts w:ascii="Tahoma" w:hAnsi="Tahoma" w:cs="Tahoma"/>
      <w:sz w:val="16"/>
      <w:szCs w:val="16"/>
      <w:lang w:eastAsia="lv-LV"/>
    </w:rPr>
  </w:style>
  <w:style w:type="character" w:styleId="CommentReference">
    <w:name w:val="annotation reference"/>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link w:val="CommentText"/>
    <w:uiPriority w:val="99"/>
    <w:semiHidden/>
    <w:rsid w:val="008035A4"/>
    <w:rPr>
      <w:rFonts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link w:val="CommentSubject"/>
    <w:uiPriority w:val="99"/>
    <w:semiHidden/>
    <w:rsid w:val="008035A4"/>
    <w:rPr>
      <w:rFonts w:cs="Times New Roman"/>
      <w:b/>
      <w:bCs/>
      <w:sz w:val="20"/>
      <w:szCs w:val="20"/>
      <w:lang w:eastAsia="lv-LV"/>
    </w:rPr>
  </w:style>
  <w:style w:type="paragraph" w:styleId="NormalWeb">
    <w:name w:val="Normal (Web)"/>
    <w:basedOn w:val="Normal"/>
    <w:uiPriority w:val="99"/>
    <w:unhideWhenUsed/>
    <w:rsid w:val="00214A6D"/>
    <w:pPr>
      <w:spacing w:before="100" w:beforeAutospacing="1" w:after="100" w:afterAutospacing="1"/>
    </w:pPr>
    <w:rPr>
      <w:rFonts w:eastAsia="Times New Roman"/>
    </w:rPr>
  </w:style>
  <w:style w:type="table" w:styleId="TableGrid">
    <w:name w:val="Table Grid"/>
    <w:basedOn w:val="TableNormal"/>
    <w:uiPriority w:val="59"/>
    <w:rsid w:val="00E6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3549">
      <w:bodyDiv w:val="1"/>
      <w:marLeft w:val="0"/>
      <w:marRight w:val="0"/>
      <w:marTop w:val="0"/>
      <w:marBottom w:val="0"/>
      <w:divBdr>
        <w:top w:val="none" w:sz="0" w:space="0" w:color="auto"/>
        <w:left w:val="none" w:sz="0" w:space="0" w:color="auto"/>
        <w:bottom w:val="none" w:sz="0" w:space="0" w:color="auto"/>
        <w:right w:val="none" w:sz="0" w:space="0" w:color="auto"/>
      </w:divBdr>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669288407">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900D-DD05-446E-8469-35E55435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3660</Words>
  <Characters>2087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2017. gada 7. marta rīkojumā Nr. 109 "Par valsts budžeta programmas 44.00.00 "Līdzekļi aviācijas drošības pasākumu nodrošināšanai" līdzekļu izlietojumu" sākotnējās ietekmes novērtējuma ziņoj</vt:lpstr>
    </vt:vector>
  </TitlesOfParts>
  <Company>Satiksmes ministrija</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2018. gada 18. aprīļa rīkojumā Nr. 166 “Par valsts budžeta programmas 44.00.00 “Līdzekļi aviācijas drošības, glābšanas un civilmilitārās sadarbības nodrošināšanai” līdzekļu izlietojumu” sākotnējās ietekmes  novērtējuma ziņojums (anotācija)</dc:title>
  <dc:subject>anotācija</dc:subject>
  <dc:creator>zaneta.Jansone@sam.gov.lv</dc:creator>
  <cp:keywords/>
  <dc:description>Žaneta Jansone;tālr.67028258; zanete.jansone@sam.gov.lv</dc:description>
  <cp:lastModifiedBy>Žaneta Jansone</cp:lastModifiedBy>
  <cp:revision>8</cp:revision>
  <cp:lastPrinted>2018-11-12T08:39:00Z</cp:lastPrinted>
  <dcterms:created xsi:type="dcterms:W3CDTF">2018-11-12T08:38:00Z</dcterms:created>
  <dcterms:modified xsi:type="dcterms:W3CDTF">2018-12-06T08:41:00Z</dcterms:modified>
  <cp:category>nav klasificēts</cp:category>
  <cp:contentStatus>nav klasificēts</cp:contentStatus>
</cp:coreProperties>
</file>