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3C" w:rsidRPr="005D22FF"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5D22FF">
        <w:rPr>
          <w:b/>
          <w:sz w:val="28"/>
          <w:szCs w:val="28"/>
        </w:rPr>
        <w:t>Likum</w:t>
      </w:r>
      <w:r w:rsidR="0043346E" w:rsidRPr="005D22FF">
        <w:rPr>
          <w:b/>
          <w:sz w:val="28"/>
          <w:szCs w:val="28"/>
        </w:rPr>
        <w:t xml:space="preserve">projekta </w:t>
      </w:r>
      <w:r w:rsidR="002108CB" w:rsidRPr="005D22FF">
        <w:rPr>
          <w:b/>
          <w:bCs/>
          <w:sz w:val="28"/>
          <w:szCs w:val="28"/>
        </w:rPr>
        <w:t>„</w:t>
      </w:r>
      <w:r w:rsidR="00742F9E" w:rsidRPr="005D22FF">
        <w:rPr>
          <w:b/>
          <w:bCs/>
          <w:sz w:val="28"/>
          <w:szCs w:val="28"/>
        </w:rPr>
        <w:t xml:space="preserve">Grozījumi </w:t>
      </w:r>
      <w:r w:rsidR="009612BA" w:rsidRPr="005D22FF">
        <w:rPr>
          <w:b/>
          <w:sz w:val="28"/>
          <w:szCs w:val="28"/>
        </w:rPr>
        <w:t>Farmācijas</w:t>
      </w:r>
      <w:r w:rsidRPr="005D22FF">
        <w:rPr>
          <w:b/>
          <w:sz w:val="28"/>
          <w:szCs w:val="28"/>
        </w:rPr>
        <w:t xml:space="preserve"> likumā</w:t>
      </w:r>
      <w:r w:rsidR="002108CB" w:rsidRPr="005D22FF">
        <w:rPr>
          <w:b/>
          <w:bCs/>
          <w:sz w:val="28"/>
          <w:szCs w:val="28"/>
        </w:rPr>
        <w:t>”</w:t>
      </w:r>
      <w:r w:rsidR="0043346E" w:rsidRPr="005D22FF">
        <w:rPr>
          <w:b/>
          <w:sz w:val="28"/>
          <w:szCs w:val="28"/>
        </w:rPr>
        <w:t xml:space="preserve"> sākotnējās ietekmes novērtējuma ziņojums (anotācija)</w:t>
      </w:r>
    </w:p>
    <w:bookmarkEnd w:id="0"/>
    <w:bookmarkEnd w:id="1"/>
    <w:bookmarkEnd w:id="2"/>
    <w:bookmarkEnd w:id="3"/>
    <w:bookmarkEnd w:id="4"/>
    <w:p w:rsidR="0043346E" w:rsidRPr="005D22FF" w:rsidRDefault="0043346E" w:rsidP="00575B7F">
      <w:pPr>
        <w:pStyle w:val="naisc"/>
        <w:spacing w:before="0" w:after="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42F9E" w:rsidRPr="005D22FF" w:rsidTr="00487DF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bookmarkStart w:id="5" w:name="_Hlk525285750"/>
            <w:r w:rsidRPr="005D22FF">
              <w:rPr>
                <w:b/>
                <w:bCs/>
                <w:iCs/>
                <w:color w:val="414142"/>
              </w:rPr>
              <w:t>Tiesību akta projekta anotācijas kopsavilkums</w:t>
            </w:r>
          </w:p>
        </w:tc>
      </w:tr>
      <w:tr w:rsidR="00742F9E" w:rsidRPr="005D22FF" w:rsidTr="00487DF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spacing w:before="45" w:line="248" w:lineRule="atLeast"/>
              <w:jc w:val="both"/>
            </w:pPr>
            <w:r w:rsidRPr="005D22FF">
              <w:rPr>
                <w:rFonts w:eastAsia="Batang"/>
                <w:lang w:eastAsia="ko-KR"/>
              </w:rPr>
              <w:t xml:space="preserve">Saistībā ar Ministru kabineta 2017.gada 7.augusta rīkojumu Nr.394 „Par konceptuālo ziņojumu „Par veselības aprūpes sistēmas reformu”  un </w:t>
            </w:r>
            <w:r w:rsidRPr="005D22FF">
              <w:t xml:space="preserve">Ministru kabineta 2018.gada 29.maija rīkojumā Nr.227 „Par Veselības ministrijas padotībā esošo valsts pārvaldes iestāžu reorganizāciju” </w:t>
            </w:r>
            <w:r w:rsidRPr="005D22FF">
              <w:rPr>
                <w:rFonts w:eastAsia="Batang"/>
                <w:lang w:eastAsia="ko-KR"/>
              </w:rPr>
              <w:t xml:space="preserve">apstiprinātajām reformām tiek veiktas izmaiņas </w:t>
            </w:r>
            <w:r w:rsidRPr="005D22FF">
              <w:t>Farmācijas likumā, paredzot tajā Zāļu valsts aģentūrai un Nacionālajam veselības dienestam noteikto funkciju pārdali.</w:t>
            </w:r>
          </w:p>
          <w:p w:rsidR="00742F9E" w:rsidRPr="005E321D" w:rsidRDefault="005E321D" w:rsidP="00742F9E">
            <w:pPr>
              <w:rPr>
                <w:iCs/>
                <w:color w:val="A6A6A6" w:themeColor="background1" w:themeShade="A6"/>
              </w:rPr>
            </w:pPr>
            <w:r w:rsidRPr="005E321D">
              <w:t>Ņemot vērā, ka Projektam jāstājas spēkā 2019.gada 1.janvārī un tas tiek virzīts prioritāri, tad tajā netiek ietverti nekādi cita rakstura grozījumi.</w:t>
            </w:r>
          </w:p>
        </w:tc>
      </w:tr>
      <w:bookmarkEnd w:id="5"/>
    </w:tbl>
    <w:p w:rsidR="00742F9E" w:rsidRPr="005D22FF" w:rsidRDefault="00742F9E" w:rsidP="00575B7F">
      <w:pPr>
        <w:pStyle w:val="naisc"/>
        <w:spacing w:before="0" w:after="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2F9E" w:rsidRPr="005D22FF" w:rsidTr="00487D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r w:rsidRPr="005D22FF">
              <w:rPr>
                <w:b/>
                <w:bCs/>
                <w:iCs/>
                <w:color w:val="414142"/>
              </w:rPr>
              <w:t>I. Tiesību akta projekta izstrādes nepieciešamība</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t>Pamatojums</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A27718">
            <w:pPr>
              <w:jc w:val="both"/>
              <w:rPr>
                <w:iCs/>
                <w:color w:val="A6A6A6" w:themeColor="background1" w:themeShade="A6"/>
              </w:rPr>
            </w:pPr>
            <w:r w:rsidRPr="005D22FF">
              <w:t xml:space="preserve">Projekts „Grozījumi Farmācijas likumā” (turpmāk – </w:t>
            </w:r>
            <w:r w:rsidRPr="005D22FF">
              <w:rPr>
                <w:rFonts w:eastAsia="Batang"/>
                <w:lang w:eastAsia="ko-KR"/>
              </w:rPr>
              <w:t>Projekts</w:t>
            </w:r>
            <w:r w:rsidRPr="005D22FF">
              <w:t xml:space="preserve">) izstrādāts atbilstoši </w:t>
            </w:r>
            <w:r w:rsidRPr="005D22FF">
              <w:rPr>
                <w:rFonts w:eastAsia="Batang"/>
                <w:lang w:eastAsia="ko-KR"/>
              </w:rPr>
              <w:t xml:space="preserve">Ministru kabineta 2017.gada 7.augusta rīkojumā Nr.394 „Par konceptuālo ziņojumu „Par veselības aprūpes sistēmas reformu”  un </w:t>
            </w:r>
            <w:r w:rsidRPr="005D22FF">
              <w:t>Ministru kabineta 2018.gada 29.maija rīkojumā Nr.227 „Par Veselības ministrijas padotībā esošo valsts pārvaldes iestāžu reorganizāciju” paredzētajai reformai attiecībā uz Veselības ministrijas padotības iestāžu funkciju pārdali.</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jc w:val="both"/>
            </w:pPr>
            <w:r w:rsidRPr="005D22FF">
              <w:t xml:space="preserve">Ministru kabineta 2018.gada 29.maija rīkojums Nr.227 „Par Veselības ministrijas padotībā esošo valsts pārvaldes iestāžu reorganizāciju” 1.3.1.apakšpunkts paredz reorganizēt Veselības ministrijas padotībā esošās valsts pārvaldes iestādes un līdz 2019. gada 1. janvārim reorganizēt Nacionālo veselības dienestu un nodot Zāļu valsts aģentūrai šā rīkojuma 3.2. apakšpunktā noteiktās funkcijas - novērtēt ārstniecībā lietojamo zāļu, medicīnisko ierīču un medicīnisko tehnoloģiju izmaksu efektivitāti, kā arī apstiprināt ārstniecībā izmantojamās medicīniskās tehnoloģijas, reģistrēt apstiprinātās medicīniskās tehnoloģijas, veidot un uzturēt </w:t>
            </w:r>
            <w:bookmarkStart w:id="6" w:name="_GoBack"/>
            <w:bookmarkEnd w:id="6"/>
            <w:r w:rsidRPr="005D22FF">
              <w:t>apstiprināto medicīnisko tehnoloģiju uzskaites un no valsts budžeta līdzekļiem apmaksājamo medicīnisko tehnoloģiju datubāzi.</w:t>
            </w:r>
          </w:p>
          <w:p w:rsidR="00742F9E" w:rsidRPr="005D22FF" w:rsidRDefault="00742F9E" w:rsidP="00742F9E">
            <w:pPr>
              <w:jc w:val="both"/>
            </w:pPr>
          </w:p>
          <w:p w:rsidR="00742F9E" w:rsidRPr="005D22FF" w:rsidRDefault="00742F9E" w:rsidP="00742F9E">
            <w:pPr>
              <w:jc w:val="both"/>
            </w:pPr>
            <w:r w:rsidRPr="005D22FF">
              <w:t xml:space="preserve">Lai realizētu iepriekš minēto funkciju nodošanu, nepieciešams izdarīt grozījumus Farmācijas likumā, kā rezultātā Projekts paredz izmaiņas Farmācijas likuma tiesību normās, kas skar Nacionālā veselības dienesta </w:t>
            </w:r>
            <w:r w:rsidRPr="005D22FF">
              <w:lastRenderedPageBreak/>
              <w:t>(Farmācijas likuma 11.pants) un Zāļu valsts aģentūras (Farmācijas likuma 10.pants) funkcijas.</w:t>
            </w:r>
          </w:p>
          <w:p w:rsidR="005D22FF" w:rsidRPr="005D22FF" w:rsidRDefault="005D22FF" w:rsidP="00742F9E">
            <w:pPr>
              <w:jc w:val="both"/>
            </w:pPr>
          </w:p>
          <w:p w:rsidR="00742F9E" w:rsidRPr="005D22FF" w:rsidRDefault="00742F9E" w:rsidP="00742F9E">
            <w:pPr>
              <w:shd w:val="clear" w:color="auto" w:fill="FFFFFF"/>
              <w:jc w:val="both"/>
            </w:pPr>
            <w:r w:rsidRPr="005D22FF">
              <w:t>Ārstniecībā lietojamo zāļu, medicīnisko ierīču un medicīnisko tehnoloģiju izmaksu efektivitātes novērtēšana, kas tiek veikta saskaņā ar Ministru kabineta 2006.gada 31.oktobra noteikumiem Nr.899 „Ambulatorajai ārstēšanai paredzēto zāļu un medicīnisko ierīču iegādes izdevumu kompensācijas kārtība” un ietver sevī kā zāļu un medicīnisko ierīču ārstniecisko, tā ekonomisko novērtēšanu, ir viens no posmiem, ko šob</w:t>
            </w:r>
            <w:r w:rsidR="00077FFE">
              <w:t>rīd veic Nacionālais veselības d</w:t>
            </w:r>
            <w:r w:rsidRPr="005D22FF">
              <w:t xml:space="preserve">ienests, lai pieņemtu lēmumu par zāļu un medicīnisko ierīču iekļaušanu kompensējamo zāļu un medicīnisko ierīču sarakstā. Veicot šī procesa analīzi, secināts, ka Zāļu valsts aģentūras rīcībā ir informācija, kas noderīga zāļu un medicīnas ierīču izmaksu efektivitātes aprēķināšanā, veicot kā zāļu un medicīnisko ierīču ārstniecisko, tā ekonomisko novērtēšanu.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nolemts iepriekš minēto uzdevumu nodot no Nacionālā veselības dienesta Zāļu valsts aģentūrai.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aģentūrai sniedzot savu vērtējumu. Attiecīgi tiek veikts grozījums Farmācijas likuma 64.panta otrās daļas 2.punktā, samazinot Nacionālā veselības dienesta  iesniegumu par zāļu un medicīnisko ierīču iekļaušanu ambulatorajai ārstniecībai paredzēto kompensējamo zāļu sarakstā izskatīšanas un lēmuma pieņemšanas termiņu no 180 dienām uz 60 dienām, jo daļa no izvērtēšanas procesa tiks veikta Zāļu valsts aģentūrā, vienlaikus tādā veidā nepagarinot kopējo izvērtēšanai nepieciešamo laika periodu. Termiņš izvērtēšanas ilgumam Farmācijas likumā noteikts, pārņemot Padomes Direktīvu  (1988. gada 21. decembris) par to pasākumu pārskatāmību, kas reglamentē cilvēkiem paredzēto zāļu cenas un to iekļaušanu valstu veselības apdrošināšanas sistēmās (89/105/EEK) un kopumā </w:t>
            </w:r>
            <w:r w:rsidRPr="005D22FF">
              <w:lastRenderedPageBreak/>
              <w:t>nedrīkst pārsniegt 180 dienas. Savukārt tas, ka Zāļu valsts aģentūra vērtējumu sniegs 120 dienu laikā, tiks noteikts  Ministru kabineta 2006.gada 31.oktobra noteikumos Nr.899 „Ambulatorajai ārstēšanai paredzēto zāļu un medicīnisko ierīču iegādes izdevumu kompensācijas kārtība”.</w:t>
            </w:r>
          </w:p>
          <w:p w:rsidR="00742F9E" w:rsidRPr="005D22FF" w:rsidRDefault="00742F9E" w:rsidP="00742F9E">
            <w:pPr>
              <w:shd w:val="clear" w:color="auto" w:fill="FFFFFF"/>
              <w:jc w:val="both"/>
            </w:pPr>
          </w:p>
          <w:p w:rsidR="007E7E8C" w:rsidRDefault="00742F9E" w:rsidP="006B3BF2">
            <w:pPr>
              <w:shd w:val="clear" w:color="auto" w:fill="FFFFFF"/>
              <w:jc w:val="both"/>
            </w:pPr>
            <w:r w:rsidRPr="005D22FF">
              <w:t>Ņemot vērā iepriekš minēto</w:t>
            </w:r>
            <w:r w:rsidR="00F61AF1">
              <w:t>,</w:t>
            </w:r>
            <w:r w:rsidRPr="005D22FF">
              <w:t xml:space="preserve"> Projekts paredz papildināt Farmācijas likuma 10.pantu ar jaunu 19.punktu, kas n</w:t>
            </w:r>
            <w:r w:rsidR="00F61AF1">
              <w:t>oteic, ka Zāļu valsts aģentūra</w:t>
            </w:r>
            <w:r w:rsidRPr="005D22FF">
              <w:t xml:space="preserve"> veic par valsts budžeta līdzekļiem apmaksājamo medicīnisko tehnoloģiju ekonomisko novērtēšanu</w:t>
            </w:r>
            <w:r w:rsidR="009D7D9B">
              <w:t>.</w:t>
            </w:r>
            <w:r w:rsidR="009D7D9B" w:rsidRPr="005E321D">
              <w:t xml:space="preserve"> Saskaņā ar Ārstniecības likuma 1.panta 9.punktu medicīniskās tehnoloģijas ir ārstniecībā izmantojamās metodes, medicīniskās ierīces un zāles, līdz ar to arī Farmācijas likumā lietotā terminoloģija attiecībā uz medicīniskajām tehnoloģijām saskaņota ar Ārstniecības likumā noteikto, lieki nelietojot vārdus “medicīniskās ierīces un zāles”.</w:t>
            </w:r>
            <w:r w:rsidR="005D22FF" w:rsidRPr="005D22FF">
              <w:t xml:space="preserve"> Attiecīgi minētā funkcija svītrota</w:t>
            </w:r>
            <w:r w:rsidRPr="005D22FF">
              <w:t xml:space="preserve"> no Farmācijas likuma 11.panta, kas nosaka Nacionālā veselības dienesta kompetenci.</w:t>
            </w:r>
          </w:p>
          <w:p w:rsidR="007E7E8C" w:rsidRDefault="007E7E8C" w:rsidP="006B3BF2">
            <w:pPr>
              <w:shd w:val="clear" w:color="auto" w:fill="FFFFFF"/>
              <w:jc w:val="both"/>
            </w:pPr>
          </w:p>
          <w:p w:rsidR="00742F9E" w:rsidRPr="005D22FF" w:rsidRDefault="00742F9E" w:rsidP="006B3BF2">
            <w:pPr>
              <w:shd w:val="clear" w:color="auto" w:fill="FFFFFF"/>
              <w:jc w:val="both"/>
            </w:pPr>
            <w:r w:rsidRPr="005D22FF">
              <w:t xml:space="preserve"> </w:t>
            </w:r>
            <w:r w:rsidR="003A5288" w:rsidRPr="005D22FF">
              <w:t xml:space="preserve">Vienlaikus Farmācijas likuma 11.panta 2.punktā precizēta funkcija, ka Nacionālais veselības dienests turpmāk nevis izstrādā vadlīnijas veselības ekonomikas jomā, bet gan izstrādā racionālas </w:t>
            </w:r>
            <w:proofErr w:type="spellStart"/>
            <w:r w:rsidR="003A5288" w:rsidRPr="005D22FF">
              <w:t>farmakoterapijas</w:t>
            </w:r>
            <w:proofErr w:type="spellEnd"/>
            <w:r w:rsidR="003A5288" w:rsidRPr="005D22FF">
              <w:t xml:space="preserve"> </w:t>
            </w:r>
            <w:r w:rsidR="003A5288" w:rsidRPr="00B03309">
              <w:t>rekomendācijas</w:t>
            </w:r>
            <w:r w:rsidR="003A5288" w:rsidRPr="005D22FF">
              <w:t xml:space="preserve">. </w:t>
            </w:r>
            <w:r w:rsidR="003A5288" w:rsidRPr="005E321D">
              <w:t xml:space="preserve">Vadlīniju izstāde veselības ekonomikas jomā, kas šobrīd ir Farmācijas likuma spēkā esošajā redakcijā, pārsniedz šī likuma regulēšanas jomu (saskaņā ar Farmācijas likuma 2.pantu tā mērķis ir  reglamentēt fizisko un juridisko personu darbību farmācijas jomā, kā arī nodrošināt kvalitatīvu, medicīniski piemērotu un atbilstoša profilaktiska, dziedinoša un diagnostiska līmeņa zāļu ražošanu un izplatīšanu), savukārt </w:t>
            </w:r>
            <w:proofErr w:type="spellStart"/>
            <w:r w:rsidR="003A5288" w:rsidRPr="005E321D">
              <w:t>farmakoterapijas</w:t>
            </w:r>
            <w:proofErr w:type="spellEnd"/>
            <w:r w:rsidR="003A5288" w:rsidRPr="005E321D">
              <w:t xml:space="preserve"> rekomendāciju izstrādi Nacionālais veselības dienests veic zāļu kompensācijas sistēmas ietvaros un šī funkcija tiek saglabāta Nacionālajam veselības dienestam, vienlaikus to redakcionāli precizējot un paredzot tādā apjomā, ko arī turpmāk veiks Nacionālais veselības dienests saistībā ar zāļu kompensācijas sistēmu. Rekomendāciju izstrādāšanas mērķis ir nodrošināt efektīvu konkrētu zāļu grupu terapiju pacientiem, kam tā ir nepieciešama, kā arī sekmēt izmaksu efektīvu Kompensējamo zāļu sarakstā iekļauto medikamentu izrakstīšanu esošā finansējuma ietvaros, tādā veidā radot vienotu skatījumu dažādu specialitāšu ārstiem, uzlabojot zāļu izrakstīšanas kvalitāti, samazinot neracionālu zāļu lietošanu, kas saistīta ar nepamatotiem zāļu izrakstīšanas ieradumiem.</w:t>
            </w:r>
          </w:p>
          <w:p w:rsidR="007E7E8C" w:rsidRDefault="007E7E8C" w:rsidP="007E7E8C">
            <w:pPr>
              <w:shd w:val="clear" w:color="auto" w:fill="FFFFFF"/>
              <w:jc w:val="both"/>
            </w:pPr>
          </w:p>
          <w:p w:rsidR="007E7E8C" w:rsidRPr="005E321D" w:rsidRDefault="007E7E8C" w:rsidP="007E7E8C">
            <w:pPr>
              <w:tabs>
                <w:tab w:val="left" w:pos="459"/>
              </w:tabs>
              <w:jc w:val="both"/>
            </w:pPr>
            <w:r w:rsidRPr="005E321D">
              <w:t>Deleģējums Ministru kabinetam noteikt ārstniecībā izmantojamo medicīnisko tehnoloģiju apstiprināšanas un jaunu medicīnisko tehnoloģiju ieviešanas kārtību, izriet no Ārstniecības likuma, nevis no Farmācijas likuma, tādējādi Farmācijas likumā nav ietveramas visas Ministru kabineta 2018.gada 29.maija rīkojumā Nr.227 „Par Veselības ministrijas padotībā esošo valsts pārvaldes iestāžu reorganizāciju” paredzētās funkcijas, kas no Nacionālā veselības dienesta nododamas Zāļu valsts aģentūrai.</w:t>
            </w:r>
          </w:p>
          <w:p w:rsidR="00742F9E" w:rsidRPr="005D22FF" w:rsidRDefault="00742F9E" w:rsidP="00742F9E">
            <w:pPr>
              <w:shd w:val="clear" w:color="auto" w:fill="FFFFFF"/>
              <w:jc w:val="both"/>
            </w:pPr>
          </w:p>
          <w:p w:rsidR="00742F9E" w:rsidRPr="005D22FF" w:rsidRDefault="00742F9E" w:rsidP="00742F9E">
            <w:pPr>
              <w:shd w:val="clear" w:color="auto" w:fill="FFFFFF"/>
              <w:jc w:val="both"/>
            </w:pPr>
            <w:r w:rsidRPr="005D22FF">
              <w:t xml:space="preserve">  Tā kā ārstniecībā lietojamo  medicīnisko tehnoloģiju </w:t>
            </w:r>
            <w:r w:rsidR="005F4AD6" w:rsidRPr="005E321D">
              <w:t>(ārstniecībā izmantojamo metožu, zāļu un</w:t>
            </w:r>
            <w:r w:rsidR="00B912CE" w:rsidRPr="005E321D">
              <w:t xml:space="preserve"> medicīnisko ierīču</w:t>
            </w:r>
            <w:r w:rsidR="005F4AD6" w:rsidRPr="005E321D">
              <w:t>)</w:t>
            </w:r>
            <w:r w:rsidR="00B912CE" w:rsidRPr="005D22FF">
              <w:t xml:space="preserve"> </w:t>
            </w:r>
            <w:r w:rsidRPr="005D22FF">
              <w:t>izmaksu efektivitātes novērtēšana ir nesaraujami saistīta ar ārstniecībā izmantojamo medicīnisko tehnoloģiju apstiprināšanu un reģistrēšanu, tajā skaitā, ka šīs funkcijas ietilpst vienu un to pašu ekspertu amata pienākumos, attiecīgi arī līdzšinējā Nacionālā veselības dienesta funkcija -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Zāļu valsts aģentūrai nododama vienlaikus ar funkciju - novērtēt medicīnisko tehnoloģiju izmaksu efektivitāti, proti, ar 2019.gada 1.janvāri.</w:t>
            </w:r>
          </w:p>
          <w:p w:rsidR="00742F9E" w:rsidRPr="005D22FF" w:rsidRDefault="00742F9E" w:rsidP="00742F9E">
            <w:pPr>
              <w:shd w:val="clear" w:color="auto" w:fill="FFFFFF"/>
              <w:jc w:val="both"/>
            </w:pPr>
          </w:p>
          <w:p w:rsidR="00742F9E" w:rsidRPr="005D22FF" w:rsidRDefault="00742F9E" w:rsidP="00742F9E">
            <w:pPr>
              <w:shd w:val="clear" w:color="auto" w:fill="FFFFFF"/>
              <w:jc w:val="both"/>
            </w:pPr>
            <w:r w:rsidRPr="005D22FF">
              <w:t>Medicīnisko tehnoloģiju izmaksu efektivitātes novērtējums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9.punktam un arī šis uzdevums no Nacionālā veselības dienesta tiek nodots Zāļu valsts aģentūrai saskaņā ar  Ministru kabineta 2018.gada 29.maija rīkojuma Nr.227 „Par Veselības ministrijas padotībā esošo valsts pārvaldes iestāžu reorganizāciju” 3.2.2.apakšpunktu.</w:t>
            </w:r>
          </w:p>
          <w:p w:rsidR="00742F9E" w:rsidRPr="005D22FF" w:rsidRDefault="00742F9E" w:rsidP="00742F9E">
            <w:pPr>
              <w:shd w:val="clear" w:color="auto" w:fill="FFFFFF"/>
              <w:jc w:val="both"/>
            </w:pPr>
          </w:p>
          <w:p w:rsidR="00742F9E" w:rsidRPr="005D22FF" w:rsidRDefault="00742F9E" w:rsidP="005D22FF">
            <w:pPr>
              <w:jc w:val="both"/>
              <w:rPr>
                <w:iCs/>
                <w:color w:val="A6A6A6" w:themeColor="background1" w:themeShade="A6"/>
              </w:rPr>
            </w:pPr>
            <w:r w:rsidRPr="005D22FF">
              <w:t xml:space="preserve">Atbilstoši Ārstniecības likuma 1.panta 9.punktam medicīniskās tehnoloģijas ir ārstniecībā izmantojamās metodes, medicīniskās ierīces un zāles. Līdz šim Zāļu valsts aģentūra atbilstoši Ministru kabineta 2012.gada 31.jūlija noteikumu Nr.537 „Zāļu valsts aģentūras nolikums” 4.1.un 4.7.apakšpunktam novērtē un reģistrē zāles un arī reģistrē Latvijā ražotas medicīniskās ierīces. Savukārt Nacionālais veselības dienests </w:t>
            </w:r>
            <w:r w:rsidRPr="005D22FF">
              <w:lastRenderedPageBreak/>
              <w:t xml:space="preserve">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 (ārstniecībā izmantojamās metodes).  Attiecībā uz  Ministru kabineta 2018.gada 29.maija rīkojuma Nr.227 „Par Veselības ministrijas padotībā esošo valsts pārvaldes iestāžu reorganizāciju” 3.2.2.apakšpunktā noteiktās funkcijas nodošanu Zāļu valsts aģentūrai, veikts </w:t>
            </w:r>
            <w:proofErr w:type="spellStart"/>
            <w:r w:rsidRPr="005D22FF">
              <w:t>izvērtējums</w:t>
            </w:r>
            <w:proofErr w:type="spellEnd"/>
            <w:r w:rsidRPr="005D22FF">
              <w:t xml:space="preserve">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netiek izmainīti apstākļi </w:t>
            </w:r>
            <w:r w:rsidRPr="005E321D">
              <w:t>personām, kas vēlas veikt medicīnisko tehnoloģiju</w:t>
            </w:r>
            <w:r w:rsidR="00304333" w:rsidRPr="005E321D">
              <w:t xml:space="preserve"> (ārstniecībā izmantojamo metožu) </w:t>
            </w:r>
            <w:r w:rsidRPr="005E321D">
              <w:t xml:space="preserve">novērtēšanu un apstiprināšanu, kā vien tas, ka nepieciešamie dokumenti iesniedzami citā kompetentajā iestādē. Maksa </w:t>
            </w:r>
            <w:r w:rsidR="00304333" w:rsidRPr="005E321D">
              <w:t xml:space="preserve">no personām, kas iesniedz iesniegumu </w:t>
            </w:r>
            <w:r w:rsidRPr="005E321D">
              <w:t xml:space="preserve">par </w:t>
            </w:r>
            <w:r w:rsidR="00304333" w:rsidRPr="005E321D">
              <w:t>ārstniecībā izmantojamo metožu</w:t>
            </w:r>
            <w:r w:rsidRPr="005E321D">
              <w:t xml:space="preserve"> </w:t>
            </w:r>
            <w:r w:rsidR="00304333" w:rsidRPr="005E321D">
              <w:t>apstiprināšanu</w:t>
            </w:r>
            <w:r w:rsidR="00304333">
              <w:t xml:space="preserve"> </w:t>
            </w:r>
            <w:r w:rsidRPr="005D22FF">
              <w:t>netiek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rsidR="00742F9E" w:rsidRPr="005D22FF" w:rsidRDefault="00742F9E" w:rsidP="00742F9E">
            <w:pPr>
              <w:rPr>
                <w:iCs/>
                <w:color w:val="A6A6A6" w:themeColor="background1" w:themeShade="A6"/>
              </w:rPr>
            </w:pPr>
            <w:r w:rsidRPr="005D22FF">
              <w:t>Projekts šo jomu neskar.</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4.</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tcPr>
          <w:p w:rsidR="00742F9E" w:rsidRPr="005D22FF" w:rsidRDefault="00742F9E" w:rsidP="00742F9E">
            <w:pPr>
              <w:rPr>
                <w:iCs/>
                <w:color w:val="A6A6A6" w:themeColor="background1" w:themeShade="A6"/>
              </w:rPr>
            </w:pPr>
            <w:r w:rsidRPr="005D22FF">
              <w:t xml:space="preserve">Nav </w:t>
            </w:r>
          </w:p>
        </w:tc>
      </w:tr>
    </w:tbl>
    <w:p w:rsidR="00742F9E" w:rsidRPr="005D22FF" w:rsidRDefault="00742F9E" w:rsidP="00575B7F">
      <w:pPr>
        <w:pStyle w:val="naisc"/>
        <w:spacing w:before="0" w:after="0"/>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2F9E" w:rsidRPr="005D22FF" w:rsidTr="00487D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r w:rsidRPr="005D22FF">
              <w:rPr>
                <w:b/>
                <w:bCs/>
                <w:iCs/>
                <w:color w:val="414142"/>
              </w:rPr>
              <w:t>II. Tiesību akta projekta ietekme uz sabiedrību, tautsaimniecības attīstību un administratīvo slogu</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t xml:space="preserve">Sabiedrības </w:t>
            </w:r>
            <w:proofErr w:type="spellStart"/>
            <w:r w:rsidRPr="005D22FF">
              <w:rPr>
                <w:iCs/>
                <w:color w:val="414142"/>
              </w:rPr>
              <w:t>mērķgrupas</w:t>
            </w:r>
            <w:proofErr w:type="spellEnd"/>
            <w:r w:rsidRPr="005D22FF">
              <w:rPr>
                <w:iCs/>
                <w:color w:val="414142"/>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A6A6A6" w:themeColor="background1" w:themeShade="A6"/>
              </w:rPr>
            </w:pPr>
            <w:r w:rsidRPr="005D22FF">
              <w:t xml:space="preserve">Projekts neradīs ietekmi uz tautsaimniecību un neradīs papildu administratīvo slogu. Sabiedrības </w:t>
            </w:r>
            <w:proofErr w:type="spellStart"/>
            <w:r w:rsidRPr="005D22FF">
              <w:t>mērķgrupām</w:t>
            </w:r>
            <w:proofErr w:type="spellEnd"/>
            <w:r w:rsidRPr="005D22FF">
              <w:t xml:space="preserve"> vienīgā izmaiņa būs, ka tiek mainīta </w:t>
            </w:r>
            <w:r w:rsidRPr="005D22FF">
              <w:lastRenderedPageBreak/>
              <w:t>kompetentā iestāde Projektā minēto funkciju nodrošināšanai</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414142"/>
              </w:rPr>
            </w:pPr>
            <w:r w:rsidRPr="005D22FF">
              <w:rPr>
                <w:iCs/>
                <w:color w:val="414142"/>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487DFC">
            <w:pPr>
              <w:rPr>
                <w:iCs/>
                <w:color w:val="A6A6A6" w:themeColor="background1" w:themeShade="A6"/>
              </w:rPr>
            </w:pPr>
            <w:r w:rsidRPr="005D22FF">
              <w:t>Projekts šo jomu neskar.</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3.</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t>Projekts šo jomu neskar.</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4.</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t>Projekts šo jomu neskar.</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5.</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t>Nav</w:t>
            </w:r>
          </w:p>
        </w:tc>
      </w:tr>
    </w:tbl>
    <w:p w:rsidR="00F04DEA" w:rsidRPr="005D22FF" w:rsidRDefault="00EF0587" w:rsidP="00742F9E">
      <w:pPr>
        <w:pStyle w:val="naisf"/>
        <w:spacing w:before="0" w:after="0"/>
        <w:ind w:firstLine="289"/>
        <w:jc w:val="center"/>
      </w:pPr>
      <w:r w:rsidRPr="005D22FF">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8"/>
        <w:gridCol w:w="960"/>
        <w:gridCol w:w="1054"/>
        <w:gridCol w:w="867"/>
        <w:gridCol w:w="1054"/>
        <w:gridCol w:w="867"/>
        <w:gridCol w:w="1054"/>
        <w:gridCol w:w="1411"/>
      </w:tblGrid>
      <w:tr w:rsidR="00F04DEA" w:rsidRPr="005D22FF" w:rsidTr="00634191">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b/>
                <w:bCs/>
                <w:iCs/>
              </w:rPr>
            </w:pPr>
            <w:r w:rsidRPr="005D22FF">
              <w:rPr>
                <w:b/>
                <w:bCs/>
                <w:iCs/>
              </w:rPr>
              <w:t>III. Tiesību akta projekta ietekme uz valsts budžetu un pašvaldību budžetiem</w:t>
            </w:r>
          </w:p>
        </w:tc>
      </w:tr>
      <w:tr w:rsidR="00F04DEA" w:rsidRPr="005D22FF" w:rsidTr="00634191">
        <w:trPr>
          <w:tblCellSpacing w:w="15" w:type="dxa"/>
        </w:trPr>
        <w:tc>
          <w:tcPr>
            <w:tcW w:w="886" w:type="pct"/>
            <w:vMerge w:val="restar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Rādītāji</w:t>
            </w:r>
          </w:p>
        </w:tc>
        <w:tc>
          <w:tcPr>
            <w:tcW w:w="101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2018.gads</w:t>
            </w:r>
          </w:p>
        </w:tc>
        <w:tc>
          <w:tcPr>
            <w:tcW w:w="3033" w:type="pct"/>
            <w:gridSpan w:val="5"/>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Turpmākie trīs gadi (</w:t>
            </w:r>
            <w:proofErr w:type="spellStart"/>
            <w:r w:rsidRPr="005D22FF">
              <w:rPr>
                <w:i/>
                <w:iCs/>
              </w:rPr>
              <w:t>euro</w:t>
            </w:r>
            <w:proofErr w:type="spellEnd"/>
            <w:r w:rsidRPr="005D22FF">
              <w:rPr>
                <w:iCs/>
              </w:rPr>
              <w:t>)</w:t>
            </w:r>
          </w:p>
        </w:tc>
      </w:tr>
      <w:tr w:rsidR="00F04DEA" w:rsidRPr="005D22FF" w:rsidTr="0063419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p>
        </w:tc>
        <w:tc>
          <w:tcPr>
            <w:tcW w:w="968" w:type="pct"/>
            <w:gridSpan w:val="2"/>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2019.gads</w:t>
            </w:r>
          </w:p>
        </w:tc>
        <w:tc>
          <w:tcPr>
            <w:tcW w:w="968" w:type="pct"/>
            <w:gridSpan w:val="2"/>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2020.gads</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2021.gads</w:t>
            </w:r>
          </w:p>
        </w:tc>
      </w:tr>
      <w:tr w:rsidR="00F04DEA" w:rsidRPr="005D22FF" w:rsidTr="0063419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saskaņā ar valsts budžetu kārtējam gadam</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saskaņā ar vidēja termiņa budžeta ietvaru</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izmaiņas, salīdzinot ar vidēja termiņa budžeta ietvaru n+1 gadam</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saskaņā ar vidēja termiņa budžeta ietvaru</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izmaiņas, salīdzinot ar vidēja termiņa budžeta ietvaru n+2 gadam</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rPr>
            </w:pPr>
            <w:r w:rsidRPr="005D22FF">
              <w:rPr>
                <w:iCs/>
              </w:rPr>
              <w:t>izmaiņas, salīdzinot ar vidēja termiņa budžeta ietvaru n+2 gadam</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1</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2</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3</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4</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5</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6</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7</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8</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1. Budžeta ieņēmumi</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10 78</w:t>
            </w:r>
            <w:r>
              <w:rPr>
                <w:iCs/>
                <w:sz w:val="20"/>
                <w:szCs w:val="20"/>
              </w:rPr>
              <w:t>4</w:t>
            </w:r>
            <w:r w:rsidRPr="005D22FF">
              <w:rPr>
                <w:iCs/>
                <w:sz w:val="20"/>
                <w:szCs w:val="20"/>
              </w:rPr>
              <w:t xml:space="preserve"> 7</w:t>
            </w:r>
            <w:r>
              <w:rPr>
                <w:iCs/>
                <w:sz w:val="20"/>
                <w:szCs w:val="20"/>
              </w:rPr>
              <w:t>15</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1.1. valsts pamatbudžets, tai skaitā ieņēmumi no maksas pakalpojumiem un citi pašu ieņēmumi</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10</w:t>
            </w:r>
            <w:r>
              <w:rPr>
                <w:iCs/>
                <w:sz w:val="20"/>
                <w:szCs w:val="20"/>
              </w:rPr>
              <w:t> </w:t>
            </w:r>
            <w:r w:rsidRPr="005D22FF">
              <w:rPr>
                <w:iCs/>
                <w:sz w:val="20"/>
                <w:szCs w:val="20"/>
              </w:rPr>
              <w:t>78</w:t>
            </w:r>
            <w:r>
              <w:rPr>
                <w:iCs/>
                <w:sz w:val="20"/>
                <w:szCs w:val="20"/>
              </w:rPr>
              <w:t>4 715</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p w:rsidR="00F04DEA" w:rsidRPr="005D22FF" w:rsidRDefault="00F04DEA" w:rsidP="00634191">
            <w:pPr>
              <w:rPr>
                <w:iCs/>
                <w:sz w:val="20"/>
                <w:szCs w:val="20"/>
              </w:rPr>
            </w:pPr>
          </w:p>
          <w:p w:rsidR="00F04DEA" w:rsidRPr="005D22FF" w:rsidRDefault="00F04DEA" w:rsidP="00634191">
            <w:pPr>
              <w:rPr>
                <w:iCs/>
                <w:sz w:val="20"/>
                <w:szCs w:val="20"/>
              </w:rPr>
            </w:pPr>
            <w:r w:rsidRPr="005D22FF">
              <w:rPr>
                <w:iCs/>
                <w:sz w:val="20"/>
                <w:szCs w:val="20"/>
              </w:rPr>
              <w:t>0</w:t>
            </w:r>
          </w:p>
          <w:p w:rsidR="00F04DEA" w:rsidRPr="005D22FF" w:rsidRDefault="00F04DEA" w:rsidP="00634191">
            <w:pPr>
              <w:rPr>
                <w:iCs/>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tcPr>
          <w:p w:rsidR="00F04DEA" w:rsidRPr="005D22FF" w:rsidRDefault="00F04DEA" w:rsidP="00634191">
            <w:pPr>
              <w:rPr>
                <w:iCs/>
              </w:rPr>
            </w:pPr>
            <w:r w:rsidRPr="005D22FF">
              <w:t>apakšprogramma</w:t>
            </w:r>
            <w:r w:rsidRPr="005D22FF">
              <w:rPr>
                <w:iCs/>
              </w:rPr>
              <w:t xml:space="preserve"> 45.01.00 </w:t>
            </w:r>
            <w:r w:rsidRPr="005D22FF">
              <w:t>„Veselības aprūpes finansējuma administrēšana un ekonomiskā novērtēšana”</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7 439 977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6 204 096</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-117 033</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6 204 096</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sz w:val="20"/>
                <w:szCs w:val="20"/>
              </w:rPr>
            </w:pPr>
            <w:r w:rsidRPr="005D22FF">
              <w:rPr>
                <w:iCs/>
                <w:sz w:val="20"/>
                <w:szCs w:val="20"/>
              </w:rPr>
              <w:t>-117 033</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sz w:val="20"/>
                <w:szCs w:val="20"/>
              </w:rPr>
            </w:pPr>
            <w:r w:rsidRPr="005D22FF">
              <w:rPr>
                <w:iCs/>
                <w:sz w:val="20"/>
                <w:szCs w:val="20"/>
              </w:rPr>
              <w:t>-117 033</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tcPr>
          <w:p w:rsidR="00F04DEA" w:rsidRPr="005D22FF" w:rsidRDefault="00F04DEA" w:rsidP="00634191">
            <w:pPr>
              <w:rPr>
                <w:iCs/>
              </w:rPr>
            </w:pPr>
            <w:r w:rsidRPr="005D22FF">
              <w:t xml:space="preserve">programma </w:t>
            </w:r>
            <w:r w:rsidRPr="005D22FF">
              <w:rPr>
                <w:iCs/>
              </w:rPr>
              <w:t xml:space="preserve">97.00.00 </w:t>
            </w:r>
            <w:r w:rsidRPr="005D22FF">
              <w:lastRenderedPageBreak/>
              <w:t xml:space="preserve">„Nozares vadība un politikas plānošana”  </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lastRenderedPageBreak/>
              <w:t>3</w:t>
            </w:r>
            <w:r>
              <w:rPr>
                <w:iCs/>
                <w:sz w:val="20"/>
                <w:szCs w:val="20"/>
              </w:rPr>
              <w:t xml:space="preserve"> 344 738 </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2 935 501</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77 334</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2 935 501</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77 334</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77 334</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1.2.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1.3.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2. Budžeta izdevumi</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11 38</w:t>
            </w:r>
            <w:r>
              <w:rPr>
                <w:iCs/>
                <w:sz w:val="20"/>
                <w:szCs w:val="20"/>
              </w:rPr>
              <w:t>3</w:t>
            </w:r>
            <w:r w:rsidRPr="005D22FF">
              <w:rPr>
                <w:iCs/>
                <w:sz w:val="20"/>
                <w:szCs w:val="20"/>
              </w:rPr>
              <w:t xml:space="preserve"> </w:t>
            </w:r>
            <w:r>
              <w:rPr>
                <w:iCs/>
                <w:sz w:val="20"/>
                <w:szCs w:val="20"/>
              </w:rPr>
              <w:t>400</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jc w:val="both"/>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2.1.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11 38</w:t>
            </w:r>
            <w:r>
              <w:rPr>
                <w:iCs/>
                <w:sz w:val="20"/>
                <w:szCs w:val="20"/>
              </w:rPr>
              <w:t>3</w:t>
            </w:r>
            <w:r w:rsidRPr="005D22FF">
              <w:rPr>
                <w:iCs/>
                <w:sz w:val="20"/>
                <w:szCs w:val="20"/>
              </w:rPr>
              <w:t xml:space="preserve"> 4</w:t>
            </w:r>
            <w:r>
              <w:rPr>
                <w:iCs/>
                <w:sz w:val="20"/>
                <w:szCs w:val="20"/>
              </w:rPr>
              <w:t>00</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jc w:val="both"/>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9 139 597</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-39 699</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tcPr>
          <w:p w:rsidR="00F04DEA" w:rsidRPr="005D22FF" w:rsidRDefault="00F04DEA" w:rsidP="00634191">
            <w:pPr>
              <w:rPr>
                <w:iCs/>
              </w:rPr>
            </w:pPr>
            <w:r w:rsidRPr="005D22FF">
              <w:t>apakšprogramma</w:t>
            </w:r>
            <w:r w:rsidRPr="005D22FF">
              <w:rPr>
                <w:iCs/>
              </w:rPr>
              <w:t xml:space="preserve"> 45.01.00 </w:t>
            </w:r>
            <w:r w:rsidRPr="005D22FF">
              <w:t>„Veselības aprūpes finansējuma administrēšana un ekonomiskā novērtēšana”</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8 038 662</w:t>
            </w: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6 204 096</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-117 033</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6 204 096</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sz w:val="20"/>
                <w:szCs w:val="20"/>
              </w:rPr>
            </w:pPr>
            <w:r w:rsidRPr="005D22FF">
              <w:rPr>
                <w:iCs/>
                <w:sz w:val="20"/>
                <w:szCs w:val="20"/>
              </w:rPr>
              <w:t>-117 033</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sz w:val="20"/>
                <w:szCs w:val="20"/>
              </w:rPr>
            </w:pPr>
            <w:r w:rsidRPr="005D22FF">
              <w:rPr>
                <w:iCs/>
                <w:sz w:val="20"/>
                <w:szCs w:val="20"/>
              </w:rPr>
              <w:t>-117 033</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tcPr>
          <w:p w:rsidR="00F04DEA" w:rsidRPr="005D22FF" w:rsidRDefault="00F04DEA" w:rsidP="00634191">
            <w:pPr>
              <w:rPr>
                <w:iCs/>
              </w:rPr>
            </w:pPr>
            <w:r w:rsidRPr="005D22FF">
              <w:t xml:space="preserve">programma </w:t>
            </w:r>
            <w:r w:rsidRPr="005D22FF">
              <w:rPr>
                <w:iCs/>
              </w:rPr>
              <w:t xml:space="preserve">97.00.00 </w:t>
            </w:r>
            <w:r w:rsidRPr="005D22FF">
              <w:t xml:space="preserve">“Nozares vadība un politikas plānošana”  </w:t>
            </w:r>
          </w:p>
        </w:tc>
        <w:tc>
          <w:tcPr>
            <w:tcW w:w="475"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3 </w:t>
            </w:r>
            <w:r>
              <w:rPr>
                <w:iCs/>
                <w:sz w:val="20"/>
                <w:szCs w:val="20"/>
              </w:rPr>
              <w:t xml:space="preserve">344 738 </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2 935 501</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77 334</w:t>
            </w:r>
          </w:p>
        </w:tc>
        <w:tc>
          <w:tcPr>
            <w:tcW w:w="428"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2 935 501</w:t>
            </w:r>
          </w:p>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77 334</w:t>
            </w:r>
          </w:p>
        </w:tc>
        <w:tc>
          <w:tcPr>
            <w:tcW w:w="1064" w:type="pct"/>
            <w:tcBorders>
              <w:top w:val="outset" w:sz="6" w:space="0" w:color="auto"/>
              <w:left w:val="outset" w:sz="6" w:space="0" w:color="auto"/>
              <w:bottom w:val="outset" w:sz="6" w:space="0" w:color="auto"/>
              <w:right w:val="outset" w:sz="6" w:space="0" w:color="auto"/>
            </w:tcBorders>
            <w:vAlign w:val="center"/>
          </w:tcPr>
          <w:p w:rsidR="00F04DEA" w:rsidRPr="005D22FF" w:rsidRDefault="00F04DEA" w:rsidP="00634191">
            <w:pPr>
              <w:rPr>
                <w:iCs/>
                <w:sz w:val="20"/>
                <w:szCs w:val="20"/>
              </w:rPr>
            </w:pPr>
            <w:r w:rsidRPr="005D22FF">
              <w:rPr>
                <w:iCs/>
                <w:sz w:val="20"/>
                <w:szCs w:val="20"/>
              </w:rPr>
              <w:t>77 334</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2.2.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2.3.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3. Finansiālā ietekme</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-598 685</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3.1. valsts pamatbudžets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598 685</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3.2.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3.3.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 xml:space="preserve">4. Finanšu līdzekļi papildu izdevumu finansēšanai (kompensējošu izdevumu </w:t>
            </w:r>
            <w:r w:rsidRPr="005D22FF">
              <w:rPr>
                <w:iCs/>
              </w:rPr>
              <w:lastRenderedPageBreak/>
              <w:t>samazinājumu norāda ar "+" zīmi)</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lastRenderedPageBreak/>
              <w:t>X</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5. Precizēta finansiālā ietekme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p>
          <w:p w:rsidR="00F04DEA" w:rsidRPr="005D22FF" w:rsidRDefault="00F04DEA" w:rsidP="00634191">
            <w:pPr>
              <w:jc w:val="center"/>
              <w:rPr>
                <w:iCs/>
                <w:sz w:val="20"/>
                <w:szCs w:val="20"/>
              </w:rPr>
            </w:pPr>
            <w:r w:rsidRPr="005D22FF">
              <w:rPr>
                <w:iCs/>
                <w:sz w:val="20"/>
                <w:szCs w:val="20"/>
              </w:rPr>
              <w:t>X</w:t>
            </w: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5.1. valsts pamatbudžets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5.2. speciālais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5.3. pašvaldību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p>
        </w:tc>
        <w:tc>
          <w:tcPr>
            <w:tcW w:w="523"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c>
          <w:tcPr>
            <w:tcW w:w="1064" w:type="pc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sz w:val="20"/>
                <w:szCs w:val="20"/>
              </w:rPr>
            </w:pPr>
            <w:r w:rsidRPr="005D22FF">
              <w:rPr>
                <w:iCs/>
                <w:sz w:val="20"/>
                <w:szCs w:val="20"/>
              </w:rPr>
              <w:t> 0</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6. Detalizēts ieņēmumu un izdevumu aprēķins (ja nepieciešams, detalizētu ieņēmumu un izdevumu aprēķinu var pievienot anotācijas pielikumā)</w:t>
            </w:r>
          </w:p>
        </w:tc>
        <w:tc>
          <w:tcPr>
            <w:tcW w:w="406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ind w:right="136"/>
              <w:jc w:val="both"/>
              <w:rPr>
                <w:u w:val="single"/>
              </w:rPr>
            </w:pPr>
            <w:r w:rsidRPr="005D22FF">
              <w:rPr>
                <w:u w:val="single"/>
              </w:rPr>
              <w:t xml:space="preserve">Finansējums 2018.gadam atbilstoši likumam „Par valsts budžetu 2018.gadam” un Finanšu ministrijas rīkojumiem t.sk.: </w:t>
            </w:r>
          </w:p>
          <w:p w:rsidR="00F04DEA" w:rsidRPr="005D22FF" w:rsidRDefault="00F04DEA" w:rsidP="00634191">
            <w:pPr>
              <w:pStyle w:val="ListParagraph"/>
              <w:numPr>
                <w:ilvl w:val="0"/>
                <w:numId w:val="39"/>
              </w:numPr>
              <w:ind w:left="228" w:right="136" w:hanging="141"/>
              <w:jc w:val="both"/>
            </w:pPr>
            <w:r w:rsidRPr="005D22FF">
              <w:t>Veselības ministrijas budžeta programmas 45.00.00 „Veselības aprūpes finansējuma administrēšana” apakšprogrammā 45.01.00 „Veselības aprūpes finansējuma administrēšana un ekonomiskā novērtēšana”:</w:t>
            </w:r>
          </w:p>
          <w:p w:rsidR="00F04DEA" w:rsidRPr="005D22FF" w:rsidRDefault="00F04DEA" w:rsidP="00634191">
            <w:pPr>
              <w:ind w:right="135"/>
              <w:jc w:val="both"/>
            </w:pPr>
            <w:r w:rsidRPr="005D22FF">
              <w:t xml:space="preserve">Resursi izdevumu segšanai 7 439 977 </w:t>
            </w:r>
            <w:proofErr w:type="spellStart"/>
            <w:r w:rsidRPr="005D22FF">
              <w:rPr>
                <w:i/>
              </w:rPr>
              <w:t>euro</w:t>
            </w:r>
            <w:proofErr w:type="spellEnd"/>
            <w:r w:rsidRPr="005D22FF">
              <w:t xml:space="preserve">, tai skaitā: ieņēmumi no maksas pakalpojumiem un citi pašu ieņēmumi 1 519 729 </w:t>
            </w:r>
            <w:proofErr w:type="spellStart"/>
            <w:r w:rsidRPr="005D22FF">
              <w:rPr>
                <w:i/>
              </w:rPr>
              <w:t>euro</w:t>
            </w:r>
            <w:proofErr w:type="spellEnd"/>
            <w:r w:rsidRPr="005D22FF">
              <w:t xml:space="preserve">, dotācija no vispārējiem ieņēmumiem 4 916 796 </w:t>
            </w:r>
            <w:proofErr w:type="spellStart"/>
            <w:r w:rsidRPr="005D22FF">
              <w:rPr>
                <w:i/>
              </w:rPr>
              <w:t>euro</w:t>
            </w:r>
            <w:proofErr w:type="spellEnd"/>
            <w:r w:rsidRPr="005D22FF">
              <w:t xml:space="preserve"> un </w:t>
            </w:r>
            <w:proofErr w:type="spellStart"/>
            <w:r w:rsidRPr="005D22FF">
              <w:t>transferti</w:t>
            </w:r>
            <w:proofErr w:type="spellEnd"/>
            <w:r w:rsidRPr="005D22FF">
              <w:t xml:space="preserve"> 1 003452 </w:t>
            </w:r>
            <w:proofErr w:type="spellStart"/>
            <w:r w:rsidRPr="005D22FF">
              <w:rPr>
                <w:i/>
              </w:rPr>
              <w:t>euro</w:t>
            </w:r>
            <w:proofErr w:type="spellEnd"/>
            <w:r w:rsidRPr="005D22FF">
              <w:t>.</w:t>
            </w:r>
          </w:p>
          <w:p w:rsidR="00F04DEA" w:rsidRPr="005D22FF" w:rsidRDefault="00F04DEA" w:rsidP="00634191">
            <w:pPr>
              <w:ind w:right="135"/>
              <w:jc w:val="both"/>
            </w:pPr>
            <w:r w:rsidRPr="005D22FF">
              <w:t xml:space="preserve">Izdevumi 8 038 662 </w:t>
            </w:r>
            <w:proofErr w:type="spellStart"/>
            <w:r w:rsidRPr="005D22FF">
              <w:rPr>
                <w:i/>
              </w:rPr>
              <w:t>euro</w:t>
            </w:r>
            <w:proofErr w:type="spellEnd"/>
            <w:r w:rsidRPr="005D22FF">
              <w:t xml:space="preserve">, tai skaitā, atlīdzībai 3 518 963 </w:t>
            </w:r>
            <w:proofErr w:type="spellStart"/>
            <w:r w:rsidRPr="005D22FF">
              <w:rPr>
                <w:i/>
              </w:rPr>
              <w:t>euro</w:t>
            </w:r>
            <w:proofErr w:type="spellEnd"/>
            <w:r w:rsidRPr="005D22FF">
              <w:t xml:space="preserve">, precēm un pakalpojumiem 3 824 623 </w:t>
            </w:r>
            <w:proofErr w:type="spellStart"/>
            <w:r w:rsidRPr="005D22FF">
              <w:rPr>
                <w:i/>
              </w:rPr>
              <w:t>euro</w:t>
            </w:r>
            <w:proofErr w:type="spellEnd"/>
            <w:r w:rsidRPr="005D22FF">
              <w:t xml:space="preserve">, pamatkapitāla veidošanai 449 200 </w:t>
            </w:r>
            <w:proofErr w:type="spellStart"/>
            <w:r w:rsidRPr="005D22FF">
              <w:rPr>
                <w:i/>
              </w:rPr>
              <w:t>euro</w:t>
            </w:r>
            <w:proofErr w:type="spellEnd"/>
            <w:r w:rsidRPr="005D22FF">
              <w:t xml:space="preserve"> un subsīdijas un dotācijas 245 876 </w:t>
            </w:r>
            <w:proofErr w:type="spellStart"/>
            <w:r w:rsidRPr="005D22FF">
              <w:rPr>
                <w:i/>
              </w:rPr>
              <w:t>euro</w:t>
            </w:r>
            <w:proofErr w:type="spellEnd"/>
            <w:r w:rsidRPr="005D22FF">
              <w:t>.</w:t>
            </w:r>
          </w:p>
          <w:p w:rsidR="00F04DEA" w:rsidRPr="005D22FF" w:rsidRDefault="00F04DEA" w:rsidP="00634191">
            <w:pPr>
              <w:ind w:right="135"/>
              <w:jc w:val="both"/>
            </w:pPr>
          </w:p>
          <w:p w:rsidR="00F04DEA" w:rsidRPr="005D22FF" w:rsidRDefault="00F04DEA" w:rsidP="00634191">
            <w:pPr>
              <w:ind w:right="135"/>
              <w:jc w:val="both"/>
            </w:pPr>
            <w:r w:rsidRPr="005D22FF">
              <w:t xml:space="preserve">  -Veselības ministrijas budžeta programmā 97.00.00 „Nozares vadība un politikas plānošana”:</w:t>
            </w:r>
          </w:p>
          <w:p w:rsidR="00F04DEA" w:rsidRPr="005D22FF" w:rsidRDefault="00F04DEA" w:rsidP="00634191">
            <w:pPr>
              <w:ind w:right="135"/>
              <w:jc w:val="both"/>
            </w:pPr>
            <w:r w:rsidRPr="005D22FF">
              <w:t>Resursi izdevumu segšanai: dotācija no vispārējiem ieņēmumiem 3 3</w:t>
            </w:r>
            <w:r>
              <w:t>44738</w:t>
            </w:r>
            <w:r w:rsidRPr="005D22FF">
              <w:t xml:space="preserve"> </w:t>
            </w:r>
            <w:proofErr w:type="spellStart"/>
            <w:r w:rsidRPr="005D22FF">
              <w:rPr>
                <w:i/>
              </w:rPr>
              <w:t>euro</w:t>
            </w:r>
            <w:proofErr w:type="spellEnd"/>
            <w:r w:rsidRPr="005D22FF">
              <w:t xml:space="preserve"> un no valsts budžeta daļēji finansēto atvasināto publisko personu un budžeta nefinansēto iestāžu </w:t>
            </w:r>
            <w:proofErr w:type="spellStart"/>
            <w:r w:rsidRPr="005D22FF">
              <w:t>transferti</w:t>
            </w:r>
            <w:proofErr w:type="spellEnd"/>
            <w:r w:rsidRPr="005D22FF">
              <w:t xml:space="preserve"> 72 </w:t>
            </w:r>
            <w:r>
              <w:t>973</w:t>
            </w:r>
            <w:r w:rsidRPr="005D22FF">
              <w:t xml:space="preserve"> </w:t>
            </w:r>
            <w:proofErr w:type="spellStart"/>
            <w:r w:rsidRPr="005D22FF">
              <w:rPr>
                <w:i/>
              </w:rPr>
              <w:t>euro</w:t>
            </w:r>
            <w:proofErr w:type="spellEnd"/>
            <w:r w:rsidRPr="005D22FF">
              <w:t xml:space="preserve">, dotācija no vispārējiem ieņēmumiem 3 271 765 </w:t>
            </w:r>
            <w:proofErr w:type="spellStart"/>
            <w:r w:rsidRPr="005D22FF">
              <w:t>euro</w:t>
            </w:r>
            <w:proofErr w:type="spellEnd"/>
            <w:r w:rsidRPr="005D22FF">
              <w:t>.</w:t>
            </w:r>
          </w:p>
          <w:p w:rsidR="00F04DEA" w:rsidRPr="005D22FF" w:rsidRDefault="00F04DEA" w:rsidP="00634191">
            <w:pPr>
              <w:ind w:right="135"/>
              <w:jc w:val="both"/>
            </w:pPr>
            <w:r w:rsidRPr="005D22FF">
              <w:t>Izdevumi 3</w:t>
            </w:r>
            <w:r>
              <w:t> </w:t>
            </w:r>
            <w:r w:rsidRPr="005D22FF">
              <w:t>3</w:t>
            </w:r>
            <w:r>
              <w:t>44 738</w:t>
            </w:r>
            <w:r w:rsidRPr="005D22FF">
              <w:t xml:space="preserve"> </w:t>
            </w:r>
            <w:proofErr w:type="spellStart"/>
            <w:r w:rsidRPr="005D22FF">
              <w:rPr>
                <w:i/>
              </w:rPr>
              <w:t>euro</w:t>
            </w:r>
            <w:proofErr w:type="spellEnd"/>
            <w:r w:rsidRPr="005D22FF">
              <w:t xml:space="preserve">, tai skaitā, atlīdzībai 2 641 719 </w:t>
            </w:r>
            <w:proofErr w:type="spellStart"/>
            <w:r w:rsidRPr="005D22FF">
              <w:rPr>
                <w:i/>
              </w:rPr>
              <w:t>euro</w:t>
            </w:r>
            <w:proofErr w:type="spellEnd"/>
            <w:r w:rsidRPr="005D22FF">
              <w:t xml:space="preserve">, precēm un pakalpojumiem 696 477 </w:t>
            </w:r>
            <w:proofErr w:type="spellStart"/>
            <w:r w:rsidRPr="005D22FF">
              <w:rPr>
                <w:i/>
              </w:rPr>
              <w:t>euro</w:t>
            </w:r>
            <w:proofErr w:type="spellEnd"/>
            <w:r w:rsidRPr="005D22FF">
              <w:t xml:space="preserve"> un pamatkapitāla veidošanai 5 569 </w:t>
            </w:r>
            <w:proofErr w:type="spellStart"/>
            <w:r w:rsidRPr="005D22FF">
              <w:rPr>
                <w:i/>
              </w:rPr>
              <w:t>euro</w:t>
            </w:r>
            <w:proofErr w:type="spellEnd"/>
            <w:r>
              <w:t xml:space="preserve">, uzturēšanas izdevumu </w:t>
            </w:r>
            <w:proofErr w:type="spellStart"/>
            <w:r>
              <w:t>transferti</w:t>
            </w:r>
            <w:proofErr w:type="spellEnd"/>
            <w:r>
              <w:t xml:space="preserve"> 973 </w:t>
            </w:r>
            <w:proofErr w:type="spellStart"/>
            <w:r>
              <w:t>euro</w:t>
            </w:r>
            <w:proofErr w:type="spellEnd"/>
            <w:r>
              <w:t>.</w:t>
            </w:r>
          </w:p>
          <w:p w:rsidR="00F04DEA" w:rsidRPr="005D22FF" w:rsidRDefault="00F04DEA" w:rsidP="00634191">
            <w:pPr>
              <w:tabs>
                <w:tab w:val="left" w:pos="512"/>
              </w:tabs>
              <w:ind w:right="136"/>
              <w:jc w:val="both"/>
              <w:rPr>
                <w:highlight w:val="yellow"/>
              </w:rPr>
            </w:pPr>
          </w:p>
          <w:p w:rsidR="00F04DEA" w:rsidRPr="005D22FF" w:rsidRDefault="00F04DEA" w:rsidP="00634191">
            <w:pPr>
              <w:jc w:val="both"/>
              <w:rPr>
                <w:rFonts w:eastAsia="Calibri"/>
                <w:bCs/>
              </w:rPr>
            </w:pPr>
            <w:r w:rsidRPr="005D22FF">
              <w:rPr>
                <w:rFonts w:eastAsia="Calibri"/>
                <w:bCs/>
              </w:rPr>
              <w:t xml:space="preserve">Atbilstoši Likumam “Par vidēja termiņa budžeta ietvaru 2018., 2019. un 2020.gadam” 2019. un 2020.gadam </w:t>
            </w:r>
            <w:r w:rsidRPr="005D22FF">
              <w:rPr>
                <w:noProof/>
              </w:rPr>
              <w:t>Veselības ministrijas (NVD) budžeta programmas 45.00.00 “Veselības aprūpes finansējuma administrēšana”:</w:t>
            </w:r>
            <w:r w:rsidRPr="005D22FF">
              <w:rPr>
                <w:i/>
              </w:rPr>
              <w:t xml:space="preserve"> </w:t>
            </w:r>
          </w:p>
          <w:p w:rsidR="00F04DEA" w:rsidRPr="005D22FF" w:rsidRDefault="00F04DEA" w:rsidP="00634191">
            <w:pPr>
              <w:widowControl w:val="0"/>
              <w:jc w:val="both"/>
              <w:rPr>
                <w:noProof/>
              </w:rPr>
            </w:pPr>
            <w:r w:rsidRPr="005D22FF">
              <w:rPr>
                <w:noProof/>
              </w:rPr>
              <w:t xml:space="preserve">   apakšprogrammā 45.01.00 “Veselības aprūpes finansējuma administrēšana un ekonomiskā novērtēšana”:</w:t>
            </w:r>
          </w:p>
          <w:p w:rsidR="00F04DEA" w:rsidRPr="005D22FF" w:rsidRDefault="00F04DEA" w:rsidP="00634191">
            <w:pPr>
              <w:rPr>
                <w:i/>
                <w:noProof/>
              </w:rPr>
            </w:pPr>
            <w:r w:rsidRPr="005D22FF">
              <w:rPr>
                <w:noProof/>
              </w:rPr>
              <w:t xml:space="preserve">Resursi izdevumu segšanai </w:t>
            </w:r>
            <w:r w:rsidRPr="005D22FF">
              <w:rPr>
                <w:shd w:val="clear" w:color="auto" w:fill="FFFFFF"/>
                <w:lang w:bidi="lv-LV"/>
              </w:rPr>
              <w:t xml:space="preserve">6 204 096 </w:t>
            </w:r>
            <w:r w:rsidRPr="005D22FF">
              <w:rPr>
                <w:i/>
                <w:noProof/>
              </w:rPr>
              <w:t>euro</w:t>
            </w:r>
          </w:p>
          <w:p w:rsidR="00F04DEA" w:rsidRPr="005D22FF" w:rsidRDefault="00F04DEA" w:rsidP="00634191">
            <w:pPr>
              <w:rPr>
                <w:noProof/>
              </w:rPr>
            </w:pPr>
            <w:r w:rsidRPr="005D22FF">
              <w:rPr>
                <w:i/>
                <w:noProof/>
              </w:rPr>
              <w:t xml:space="preserve">     </w:t>
            </w:r>
            <w:r w:rsidRPr="005D22FF">
              <w:rPr>
                <w:noProof/>
              </w:rPr>
              <w:t xml:space="preserve">Ieņēmumi no maksas pakalpojumiem 1 519 729 </w:t>
            </w:r>
            <w:r w:rsidRPr="005D22FF">
              <w:rPr>
                <w:i/>
                <w:noProof/>
              </w:rPr>
              <w:t>euro</w:t>
            </w:r>
          </w:p>
          <w:p w:rsidR="00F04DEA" w:rsidRPr="005D22FF" w:rsidRDefault="00F04DEA" w:rsidP="00634191">
            <w:pPr>
              <w:ind w:firstLine="259"/>
              <w:rPr>
                <w:noProof/>
              </w:rPr>
            </w:pPr>
            <w:r w:rsidRPr="005D22FF">
              <w:rPr>
                <w:noProof/>
              </w:rPr>
              <w:t xml:space="preserve">Dotācija no vispārējiem ieņēmumiem 4 684 367 </w:t>
            </w:r>
            <w:r w:rsidRPr="005D22FF">
              <w:rPr>
                <w:i/>
                <w:noProof/>
              </w:rPr>
              <w:t>euro</w:t>
            </w:r>
            <w:r w:rsidRPr="005D22FF">
              <w:rPr>
                <w:noProof/>
              </w:rPr>
              <w:t xml:space="preserve"> </w:t>
            </w:r>
          </w:p>
          <w:p w:rsidR="00F04DEA" w:rsidRPr="005D22FF" w:rsidRDefault="00F04DEA" w:rsidP="00634191">
            <w:pPr>
              <w:rPr>
                <w:noProof/>
              </w:rPr>
            </w:pPr>
            <w:r w:rsidRPr="005D22FF">
              <w:rPr>
                <w:noProof/>
              </w:rPr>
              <w:t>Izdevumi</w:t>
            </w:r>
            <w:r w:rsidRPr="005D22FF">
              <w:rPr>
                <w:shd w:val="clear" w:color="auto" w:fill="FFFFFF"/>
                <w:lang w:bidi="lv-LV"/>
              </w:rPr>
              <w:t xml:space="preserve"> 6 204 096  </w:t>
            </w:r>
            <w:r w:rsidRPr="005D22FF">
              <w:rPr>
                <w:i/>
                <w:noProof/>
              </w:rPr>
              <w:t>euro</w:t>
            </w:r>
            <w:r w:rsidRPr="005D22FF">
              <w:rPr>
                <w:noProof/>
              </w:rPr>
              <w:t>, tai skaitā:</w:t>
            </w:r>
          </w:p>
          <w:p w:rsidR="00F04DEA" w:rsidRPr="005D22FF" w:rsidRDefault="00F04DEA" w:rsidP="00634191">
            <w:pPr>
              <w:ind w:firstLine="259"/>
              <w:rPr>
                <w:i/>
                <w:noProof/>
              </w:rPr>
            </w:pPr>
            <w:r w:rsidRPr="005D22FF">
              <w:rPr>
                <w:noProof/>
              </w:rPr>
              <w:t xml:space="preserve">Subsīdijas un dotācijas </w:t>
            </w:r>
            <w:r w:rsidRPr="005D22FF">
              <w:rPr>
                <w:shd w:val="clear" w:color="auto" w:fill="FFFFFF"/>
                <w:lang w:bidi="lv-LV"/>
              </w:rPr>
              <w:t xml:space="preserve">201 161 </w:t>
            </w:r>
            <w:r w:rsidRPr="005D22FF">
              <w:rPr>
                <w:i/>
                <w:noProof/>
              </w:rPr>
              <w:t>euro</w:t>
            </w:r>
          </w:p>
          <w:p w:rsidR="00F04DEA" w:rsidRPr="005D22FF" w:rsidRDefault="00F04DEA" w:rsidP="00634191">
            <w:pPr>
              <w:ind w:firstLine="259"/>
              <w:rPr>
                <w:i/>
                <w:noProof/>
              </w:rPr>
            </w:pPr>
            <w:r w:rsidRPr="005D22FF">
              <w:rPr>
                <w:noProof/>
              </w:rPr>
              <w:t xml:space="preserve">Kārtējie izdevumi 5 892 464 </w:t>
            </w:r>
            <w:r w:rsidRPr="005D22FF">
              <w:rPr>
                <w:i/>
                <w:noProof/>
              </w:rPr>
              <w:t>euro</w:t>
            </w:r>
          </w:p>
          <w:p w:rsidR="00F04DEA" w:rsidRPr="005D22FF" w:rsidRDefault="00F04DEA" w:rsidP="00634191">
            <w:pPr>
              <w:ind w:firstLine="259"/>
              <w:rPr>
                <w:noProof/>
              </w:rPr>
            </w:pPr>
            <w:r w:rsidRPr="005D22FF">
              <w:rPr>
                <w:noProof/>
              </w:rPr>
              <w:t xml:space="preserve">Kapitālie izdevumi 110 471 </w:t>
            </w:r>
            <w:r w:rsidRPr="005D22FF">
              <w:rPr>
                <w:i/>
                <w:noProof/>
              </w:rPr>
              <w:t>euro</w:t>
            </w:r>
          </w:p>
          <w:p w:rsidR="00F04DEA" w:rsidRPr="005D22FF" w:rsidRDefault="00F04DEA" w:rsidP="00634191">
            <w:pPr>
              <w:widowControl w:val="0"/>
              <w:jc w:val="both"/>
              <w:rPr>
                <w:shd w:val="clear" w:color="auto" w:fill="FFFFFF"/>
                <w:lang w:bidi="lv-LV"/>
              </w:rPr>
            </w:pPr>
          </w:p>
          <w:p w:rsidR="00F04DEA" w:rsidRPr="005D22FF" w:rsidRDefault="00F04DEA" w:rsidP="00634191">
            <w:pPr>
              <w:widowControl w:val="0"/>
              <w:jc w:val="both"/>
              <w:rPr>
                <w:shd w:val="clear" w:color="auto" w:fill="FFFFFF"/>
                <w:lang w:bidi="lv-LV"/>
              </w:rPr>
            </w:pPr>
            <w:r w:rsidRPr="005D22FF">
              <w:rPr>
                <w:shd w:val="clear" w:color="auto" w:fill="FFFFFF"/>
                <w:lang w:bidi="lv-LV"/>
              </w:rPr>
              <w:lastRenderedPageBreak/>
              <w:t>Veselības ministrijas budžeta programmā 97.00.00 “Nozaru vadība un politikas plānošana”:</w:t>
            </w:r>
          </w:p>
          <w:p w:rsidR="00F04DEA" w:rsidRPr="005D22FF" w:rsidRDefault="00F04DEA" w:rsidP="00634191">
            <w:pPr>
              <w:widowControl w:val="0"/>
              <w:jc w:val="both"/>
              <w:rPr>
                <w:i/>
                <w:shd w:val="clear" w:color="auto" w:fill="FFFFFF"/>
                <w:lang w:bidi="lv-LV"/>
              </w:rPr>
            </w:pPr>
            <w:r w:rsidRPr="005D22FF">
              <w:rPr>
                <w:shd w:val="clear" w:color="auto" w:fill="FFFFFF"/>
                <w:lang w:bidi="lv-LV"/>
              </w:rPr>
              <w:t xml:space="preserve">Resursi izdevumu segšanai 2 935 501 </w:t>
            </w:r>
            <w:proofErr w:type="spellStart"/>
            <w:r w:rsidRPr="005D22FF">
              <w:rPr>
                <w:i/>
                <w:shd w:val="clear" w:color="auto" w:fill="FFFFFF"/>
                <w:lang w:bidi="lv-LV"/>
              </w:rPr>
              <w:t>euro</w:t>
            </w:r>
            <w:proofErr w:type="spellEnd"/>
            <w:r w:rsidRPr="005D22FF">
              <w:rPr>
                <w:i/>
                <w:shd w:val="clear" w:color="auto" w:fill="FFFFFF"/>
                <w:lang w:bidi="lv-LV"/>
              </w:rPr>
              <w:t xml:space="preserve"> </w:t>
            </w:r>
          </w:p>
          <w:p w:rsidR="00F04DEA" w:rsidRPr="005D22FF" w:rsidRDefault="00F04DEA" w:rsidP="00634191">
            <w:pPr>
              <w:widowControl w:val="0"/>
              <w:jc w:val="both"/>
              <w:rPr>
                <w:i/>
                <w:shd w:val="clear" w:color="auto" w:fill="FFFFFF"/>
                <w:lang w:bidi="lv-LV"/>
              </w:rPr>
            </w:pPr>
            <w:r w:rsidRPr="005D22FF">
              <w:rPr>
                <w:shd w:val="clear" w:color="auto" w:fill="FFFFFF"/>
                <w:lang w:bidi="lv-LV"/>
              </w:rPr>
              <w:t xml:space="preserve">    Dotācija no vispārējiem ieņēmumiem 2 935 501 </w:t>
            </w:r>
            <w:proofErr w:type="spellStart"/>
            <w:r w:rsidRPr="005D22FF">
              <w:rPr>
                <w:i/>
                <w:shd w:val="clear" w:color="auto" w:fill="FFFFFF"/>
                <w:lang w:bidi="lv-LV"/>
              </w:rPr>
              <w:t>euro</w:t>
            </w:r>
            <w:proofErr w:type="spellEnd"/>
          </w:p>
          <w:p w:rsidR="00F04DEA" w:rsidRPr="005D22FF" w:rsidRDefault="00F04DEA" w:rsidP="00634191">
            <w:pPr>
              <w:widowControl w:val="0"/>
              <w:jc w:val="both"/>
              <w:rPr>
                <w:i/>
                <w:shd w:val="clear" w:color="auto" w:fill="FFFFFF"/>
                <w:lang w:bidi="lv-LV"/>
              </w:rPr>
            </w:pPr>
            <w:r w:rsidRPr="005D22FF">
              <w:rPr>
                <w:shd w:val="clear" w:color="auto" w:fill="FFFFFF"/>
                <w:lang w:bidi="lv-LV"/>
              </w:rPr>
              <w:t xml:space="preserve">Izdevumi 2 935 501 </w:t>
            </w:r>
            <w:proofErr w:type="spellStart"/>
            <w:r w:rsidRPr="005D22FF">
              <w:rPr>
                <w:i/>
                <w:shd w:val="clear" w:color="auto" w:fill="FFFFFF"/>
                <w:lang w:bidi="lv-LV"/>
              </w:rPr>
              <w:t>euro</w:t>
            </w:r>
            <w:proofErr w:type="spellEnd"/>
          </w:p>
          <w:p w:rsidR="00F04DEA" w:rsidRPr="005D22FF" w:rsidRDefault="00F04DEA" w:rsidP="00634191">
            <w:pPr>
              <w:widowControl w:val="0"/>
              <w:jc w:val="both"/>
              <w:rPr>
                <w:i/>
                <w:shd w:val="clear" w:color="auto" w:fill="FFFFFF"/>
                <w:lang w:bidi="lv-LV"/>
              </w:rPr>
            </w:pPr>
            <w:r w:rsidRPr="005D22FF">
              <w:rPr>
                <w:shd w:val="clear" w:color="auto" w:fill="FFFFFF"/>
                <w:lang w:bidi="lv-LV"/>
              </w:rPr>
              <w:t xml:space="preserve">    Kārtējie izdevumi 2 929 932 </w:t>
            </w:r>
            <w:proofErr w:type="spellStart"/>
            <w:r w:rsidRPr="005D22FF">
              <w:rPr>
                <w:i/>
                <w:shd w:val="clear" w:color="auto" w:fill="FFFFFF"/>
                <w:lang w:bidi="lv-LV"/>
              </w:rPr>
              <w:t>euro</w:t>
            </w:r>
            <w:proofErr w:type="spellEnd"/>
          </w:p>
          <w:p w:rsidR="00F04DEA" w:rsidRPr="005D22FF" w:rsidRDefault="00F04DEA" w:rsidP="00634191">
            <w:pPr>
              <w:widowControl w:val="0"/>
              <w:jc w:val="both"/>
              <w:rPr>
                <w:shd w:val="clear" w:color="auto" w:fill="FFFFFF"/>
                <w:lang w:bidi="lv-LV"/>
              </w:rPr>
            </w:pPr>
            <w:r w:rsidRPr="005D22FF">
              <w:rPr>
                <w:shd w:val="clear" w:color="auto" w:fill="FFFFFF"/>
                <w:lang w:bidi="lv-LV"/>
              </w:rPr>
              <w:t xml:space="preserve">    Kapitālie izdevumi 5 569 </w:t>
            </w:r>
            <w:proofErr w:type="spellStart"/>
            <w:r w:rsidRPr="005D22FF">
              <w:rPr>
                <w:i/>
                <w:shd w:val="clear" w:color="auto" w:fill="FFFFFF"/>
                <w:lang w:bidi="lv-LV"/>
              </w:rPr>
              <w:t>euro</w:t>
            </w:r>
            <w:proofErr w:type="spellEnd"/>
          </w:p>
          <w:p w:rsidR="00F04DEA" w:rsidRPr="005D22FF" w:rsidRDefault="00F04DEA" w:rsidP="00634191">
            <w:pPr>
              <w:tabs>
                <w:tab w:val="left" w:pos="512"/>
              </w:tabs>
              <w:ind w:right="136"/>
              <w:jc w:val="both"/>
              <w:rPr>
                <w:highlight w:val="yellow"/>
              </w:rPr>
            </w:pPr>
          </w:p>
          <w:p w:rsidR="00F04DEA" w:rsidRPr="005D22FF" w:rsidRDefault="00F04DEA" w:rsidP="00634191">
            <w:pPr>
              <w:ind w:right="136"/>
              <w:jc w:val="both"/>
              <w:rPr>
                <w:b/>
                <w:u w:val="single"/>
              </w:rPr>
            </w:pPr>
            <w:r w:rsidRPr="005D22FF">
              <w:rPr>
                <w:b/>
                <w:u w:val="single"/>
              </w:rPr>
              <w:t>2019.gada un turpmāk ik gadu finansējuma izmaiņas pret likumu “Par vidēja termiņa budžeta ietvaru 2018., 2019. un 2020. gadam” tai skaitā pārdale:</w:t>
            </w:r>
          </w:p>
          <w:p w:rsidR="00F04DEA" w:rsidRPr="005D22FF" w:rsidRDefault="00F04DEA" w:rsidP="00634191">
            <w:pPr>
              <w:ind w:right="136"/>
              <w:jc w:val="both"/>
              <w:rPr>
                <w:b/>
              </w:rPr>
            </w:pPr>
            <w:r w:rsidRPr="005D22FF">
              <w:rPr>
                <w:b/>
              </w:rPr>
              <w:t>no NVD (apakšprogramma 45.01.00):</w:t>
            </w:r>
          </w:p>
          <w:p w:rsidR="00F04DEA" w:rsidRPr="005D22FF" w:rsidRDefault="00F04DEA" w:rsidP="00634191">
            <w:pPr>
              <w:pStyle w:val="ListParagraph"/>
              <w:numPr>
                <w:ilvl w:val="1"/>
                <w:numId w:val="40"/>
              </w:numPr>
              <w:ind w:left="528" w:hanging="425"/>
              <w:jc w:val="both"/>
            </w:pPr>
            <w:r w:rsidRPr="005D22FF">
              <w:rPr>
                <w:u w:val="single"/>
              </w:rPr>
              <w:t>pārdalot uz VM (programma 97.00.00)</w:t>
            </w:r>
            <w:r w:rsidRPr="005D22FF">
              <w:t xml:space="preserve"> veicot pārdali starp izdevumu kodiem, VM ieplānojot EKK 7350 “Valsts budžeta </w:t>
            </w:r>
            <w:proofErr w:type="spellStart"/>
            <w:r w:rsidRPr="005D22FF">
              <w:t>transferti</w:t>
            </w:r>
            <w:proofErr w:type="spellEnd"/>
            <w:r w:rsidRPr="005D22FF">
              <w:t xml:space="preserve"> valsts budžeta daļēji finansētām atvasinātajām publiskajām personām un budžeta nefinansētām iestādēm noteiktam mērķim”, lai nodrošinātu finanšu līdzekļus 77 334 </w:t>
            </w:r>
            <w:proofErr w:type="spellStart"/>
            <w:r w:rsidRPr="005D22FF">
              <w:rPr>
                <w:i/>
              </w:rPr>
              <w:t>euro</w:t>
            </w:r>
            <w:proofErr w:type="spellEnd"/>
            <w:r w:rsidRPr="005D22FF">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34 228 </w:t>
            </w:r>
            <w:proofErr w:type="spellStart"/>
            <w:r w:rsidRPr="005D22FF">
              <w:rPr>
                <w:i/>
              </w:rPr>
              <w:t>euro</w:t>
            </w:r>
            <w:proofErr w:type="spellEnd"/>
            <w:r w:rsidRPr="005D22FF">
              <w:rPr>
                <w:i/>
              </w:rPr>
              <w:t xml:space="preserve"> </w:t>
            </w:r>
            <w:r w:rsidRPr="005D22FF">
              <w:t xml:space="preserve">apmērā un novērtēt ārstniecībā lietojamo zāļu, medicīnisko ierīču un medicīnisko tehnoloģiju izmaksu efektivitāti 43 106 </w:t>
            </w:r>
            <w:proofErr w:type="spellStart"/>
            <w:r w:rsidRPr="005D22FF">
              <w:rPr>
                <w:i/>
              </w:rPr>
              <w:t>euro</w:t>
            </w:r>
            <w:proofErr w:type="spellEnd"/>
            <w:r w:rsidRPr="005D22FF">
              <w:t xml:space="preserve"> apmērā) īstenošanai samazinot 73 678 </w:t>
            </w:r>
            <w:proofErr w:type="spellStart"/>
            <w:r w:rsidRPr="005D22FF">
              <w:rPr>
                <w:i/>
              </w:rPr>
              <w:t>euro</w:t>
            </w:r>
            <w:proofErr w:type="spellEnd"/>
            <w:r w:rsidRPr="005D22FF">
              <w:t xml:space="preserve"> atlīdzībai un 3 656 </w:t>
            </w:r>
            <w:proofErr w:type="spellStart"/>
            <w:r w:rsidRPr="005D22FF">
              <w:rPr>
                <w:i/>
              </w:rPr>
              <w:t>euro</w:t>
            </w:r>
            <w:proofErr w:type="spellEnd"/>
            <w:r w:rsidRPr="005D22FF">
              <w:t xml:space="preserve"> no precēm un pakalpojumiem. (aprēķinus skatīt anotācijas pielikumā).</w:t>
            </w:r>
          </w:p>
          <w:p w:rsidR="00F04DEA" w:rsidRPr="005D22FF" w:rsidRDefault="00F04DEA" w:rsidP="00634191">
            <w:pPr>
              <w:pStyle w:val="ListParagraph"/>
              <w:numPr>
                <w:ilvl w:val="1"/>
                <w:numId w:val="40"/>
              </w:numPr>
              <w:ind w:left="512" w:hanging="425"/>
              <w:jc w:val="both"/>
            </w:pPr>
            <w:r w:rsidRPr="005D22FF">
              <w:rPr>
                <w:u w:val="single"/>
              </w:rPr>
              <w:t>samazinot NVD ieņēmumus no maksas pakalpojumiem un citiem pašu ieņēmumiem</w:t>
            </w:r>
            <w:r w:rsidRPr="005D22FF">
              <w:t xml:space="preserve"> un tiem atbilstošos izdevumus 39 699 </w:t>
            </w:r>
            <w:proofErr w:type="spellStart"/>
            <w:r w:rsidRPr="005D22FF">
              <w:rPr>
                <w:i/>
              </w:rPr>
              <w:t>euro</w:t>
            </w:r>
            <w:proofErr w:type="spellEnd"/>
            <w:r w:rsidRPr="005D22FF">
              <w:t xml:space="preserve">,  tai skaitā  atlīdzībai 37 871 </w:t>
            </w:r>
            <w:proofErr w:type="spellStart"/>
            <w:r w:rsidRPr="005D22FF">
              <w:rPr>
                <w:i/>
              </w:rPr>
              <w:t>euro</w:t>
            </w:r>
            <w:proofErr w:type="spellEnd"/>
            <w:r w:rsidRPr="005D22FF">
              <w:t xml:space="preserve"> un precēm un pakalpojumiem 1 828 </w:t>
            </w:r>
            <w:proofErr w:type="spellStart"/>
            <w:r w:rsidRPr="005D22FF">
              <w:rPr>
                <w:i/>
              </w:rPr>
              <w:t>euro</w:t>
            </w:r>
            <w:proofErr w:type="spellEnd"/>
            <w:r w:rsidRPr="005D22FF">
              <w:t>, jo no 201</w:t>
            </w:r>
            <w:r>
              <w:t>9</w:t>
            </w:r>
            <w:r w:rsidRPr="005D22FF">
              <w:t>.gada 1.</w:t>
            </w:r>
            <w:r>
              <w:t>janvāra</w:t>
            </w:r>
            <w:r w:rsidRPr="005D22FF">
              <w:t xml:space="preserve"> ZVA nodrošinās no NVD pārņemto jomu - novērtēt ārstniecībā lietojamo zāļu, medicīnisko ierīču un medicīnisko tehnoloģiju izmaksu efektivitāti, kas ir maksas pakalpojumi.</w:t>
            </w:r>
          </w:p>
          <w:p w:rsidR="00F04DEA" w:rsidRPr="005D22FF" w:rsidRDefault="00F04DEA" w:rsidP="00634191">
            <w:pPr>
              <w:tabs>
                <w:tab w:val="left" w:pos="228"/>
              </w:tabs>
              <w:ind w:right="135"/>
              <w:jc w:val="both"/>
              <w:rPr>
                <w:iCs/>
              </w:rPr>
            </w:pPr>
          </w:p>
          <w:p w:rsidR="00F04DEA" w:rsidRPr="005D22FF" w:rsidRDefault="00F04DEA" w:rsidP="00634191">
            <w:pPr>
              <w:jc w:val="both"/>
              <w:rPr>
                <w:iCs/>
              </w:rPr>
            </w:pPr>
            <w:r w:rsidRPr="005D22FF">
              <w:rPr>
                <w:iCs/>
              </w:rPr>
              <w:t xml:space="preserve">Veselības ministrija normatīvajos aktos noteiktajā kārtībā sagatavos un iesniegs Finanšu ministrijā pieprasījumu par apropriācijas pārdali starp programmām/apakšprogrammām un izdevumu kodiem atbilstoši ekonomiskajām kategorijām </w:t>
            </w:r>
            <w:r>
              <w:rPr>
                <w:iCs/>
              </w:rPr>
              <w:t xml:space="preserve">un ieņēmumu no maksas pakalpojumiem un citu pašu ieņēmumu un tiem atbilstošu izdevumu samazinājumu, </w:t>
            </w:r>
            <w:r w:rsidRPr="005D22FF">
              <w:rPr>
                <w:iCs/>
              </w:rPr>
              <w:t xml:space="preserve">atbilstoši anotācijas III sadaļā norādītajām plānotajām izmaiņām. </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F04DEA" w:rsidRPr="005D22FF" w:rsidRDefault="00F04DEA" w:rsidP="00634191">
            <w:pPr>
              <w:rPr>
                <w:iCs/>
              </w:rPr>
            </w:pPr>
          </w:p>
        </w:tc>
      </w:tr>
      <w:tr w:rsidR="00F04DEA" w:rsidRPr="005D22FF" w:rsidTr="00634191">
        <w:trPr>
          <w:trHeight w:val="501"/>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7. Amata vietu skaita izmaiņas</w:t>
            </w:r>
          </w:p>
        </w:tc>
        <w:tc>
          <w:tcPr>
            <w:tcW w:w="4064" w:type="pct"/>
            <w:gridSpan w:val="7"/>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jc w:val="both"/>
              <w:rPr>
                <w:rFonts w:eastAsia="Calibri"/>
                <w:noProof/>
              </w:rPr>
            </w:pPr>
            <w:r w:rsidRPr="005D22FF">
              <w:rPr>
                <w:rFonts w:eastAsia="Calibri"/>
                <w:noProof/>
              </w:rPr>
              <w:t>Nav.</w:t>
            </w:r>
          </w:p>
        </w:tc>
      </w:tr>
      <w:tr w:rsidR="00F04DEA" w:rsidRPr="005D22FF" w:rsidTr="00634191">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rPr>
                <w:iCs/>
              </w:rPr>
            </w:pPr>
            <w:r w:rsidRPr="005D22FF">
              <w:rPr>
                <w:iCs/>
              </w:rPr>
              <w:t>8. Cita informācija</w:t>
            </w:r>
          </w:p>
        </w:tc>
        <w:tc>
          <w:tcPr>
            <w:tcW w:w="4064" w:type="pct"/>
            <w:gridSpan w:val="7"/>
            <w:tcBorders>
              <w:top w:val="outset" w:sz="6" w:space="0" w:color="auto"/>
              <w:left w:val="outset" w:sz="6" w:space="0" w:color="auto"/>
              <w:bottom w:val="outset" w:sz="6" w:space="0" w:color="auto"/>
              <w:right w:val="outset" w:sz="6" w:space="0" w:color="auto"/>
            </w:tcBorders>
            <w:hideMark/>
          </w:tcPr>
          <w:p w:rsidR="00F04DEA" w:rsidRPr="005D22FF" w:rsidRDefault="00F04DEA" w:rsidP="00634191">
            <w:pPr>
              <w:spacing w:before="40" w:after="40"/>
              <w:ind w:right="135"/>
              <w:jc w:val="both"/>
              <w:rPr>
                <w:rFonts w:eastAsia="Calibri"/>
                <w:noProof/>
              </w:rPr>
            </w:pPr>
            <w:r w:rsidRPr="005D22FF">
              <w:rPr>
                <w:rFonts w:eastAsia="Calibri"/>
                <w:noProof/>
              </w:rPr>
              <w:t>Noteikumu projekts tiks īstenots Veselības ministrijai piešķirto valsts budžeta līdzekļu ietvaros.</w:t>
            </w:r>
          </w:p>
        </w:tc>
      </w:tr>
    </w:tbl>
    <w:p w:rsidR="002C35FA" w:rsidRPr="005D22FF" w:rsidRDefault="002C35FA" w:rsidP="00742F9E">
      <w:pPr>
        <w:pStyle w:val="naisf"/>
        <w:spacing w:before="0" w:after="0"/>
        <w:ind w:firstLine="289"/>
        <w:jc w:val="center"/>
      </w:pPr>
    </w:p>
    <w:p w:rsidR="006B0FF1" w:rsidRPr="005D22FF" w:rsidRDefault="006B0FF1" w:rsidP="006B0FF1">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2F9E" w:rsidRPr="005D22FF" w:rsidTr="00487D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r w:rsidRPr="005D22FF">
              <w:rPr>
                <w:b/>
                <w:bCs/>
                <w:iCs/>
                <w:color w:val="414142"/>
              </w:rPr>
              <w:t>IV. Tiesību akta projekta ietekme uz spēkā esošo tiesību normu sistēmu</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5D22FF">
            <w:pPr>
              <w:jc w:val="both"/>
            </w:pPr>
            <w:r w:rsidRPr="005D22FF">
              <w:t>Grozījumi Ministru kabineta 2012.gada 31.jūlija noteikumos Nr.537 „Zāļu valsts aģentūras nolikums”</w:t>
            </w:r>
          </w:p>
          <w:p w:rsidR="00742F9E" w:rsidRPr="005D22FF" w:rsidRDefault="00742F9E" w:rsidP="005D22FF">
            <w:pPr>
              <w:jc w:val="both"/>
            </w:pPr>
            <w:r w:rsidRPr="005D22FF">
              <w:t>Grozījumi Ministru kabineta 2011.gada 1.novembra noteikumos Nr.850 „Nacionālā veselības dienesta nolikums”</w:t>
            </w:r>
          </w:p>
          <w:p w:rsidR="00742F9E" w:rsidRPr="005D22FF" w:rsidRDefault="00742F9E" w:rsidP="005D22FF">
            <w:pPr>
              <w:jc w:val="both"/>
            </w:pPr>
            <w:r w:rsidRPr="005D22FF">
              <w:t>Grozījumi Ministru kabineta 2013.gada 3.septembra noteikumos Nr.744 „Nacionālā veselības dienesta maksas pakalpojumu cenrādis”</w:t>
            </w:r>
          </w:p>
          <w:p w:rsidR="00742F9E" w:rsidRPr="005D22FF" w:rsidRDefault="00742F9E" w:rsidP="005D22FF">
            <w:pPr>
              <w:jc w:val="both"/>
            </w:pPr>
            <w:r w:rsidRPr="005D22FF">
              <w:t>Grozījumi Ministru kabineta 2013.gada 17.septembra noteikumos Nr.873 „Zāļu valsts aģentūras maksas pakalpojumu cenrādis”</w:t>
            </w:r>
          </w:p>
          <w:p w:rsidR="00742F9E" w:rsidRPr="005D22FF" w:rsidRDefault="00742F9E" w:rsidP="005D22FF">
            <w:pPr>
              <w:jc w:val="both"/>
              <w:rPr>
                <w:iCs/>
                <w:color w:val="A6A6A6" w:themeColor="background1" w:themeShade="A6"/>
              </w:rPr>
            </w:pPr>
            <w:r w:rsidRPr="005D22FF">
              <w:t>Grozījumi Ministru kabineta 2006.gada 31.oktobra noteikumos Nr.899 „Ambulatorajai ārstēšanai paredzēto zāļu un medicīnisko ierīču iegādes izdevumu kompensācijas kārtība”</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rPr>
                <w:iCs/>
              </w:rPr>
              <w:t>Veselības ministrija</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3.</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rPr>
                <w:iCs/>
              </w:rPr>
              <w:t>Nav</w:t>
            </w:r>
          </w:p>
        </w:tc>
      </w:tr>
    </w:tbl>
    <w:p w:rsidR="00276595" w:rsidRPr="005D22FF" w:rsidRDefault="00276595" w:rsidP="006B0FF1">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2F9E" w:rsidRPr="005D22FF" w:rsidTr="00487D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r w:rsidRPr="005D22FF">
              <w:rPr>
                <w:b/>
                <w:bCs/>
                <w:iCs/>
                <w:color w:val="414142"/>
              </w:rPr>
              <w:t>V. Tiesību akta projekta atbilstība Latvijas Republikas starptautiskajām saistībām</w:t>
            </w:r>
          </w:p>
        </w:tc>
      </w:tr>
      <w:tr w:rsidR="00742F9E" w:rsidRPr="005D22FF" w:rsidTr="00742F9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42F9E" w:rsidRPr="005D22FF" w:rsidRDefault="00742F9E" w:rsidP="00742F9E">
            <w:pPr>
              <w:jc w:val="center"/>
              <w:rPr>
                <w:iCs/>
                <w:color w:val="A6A6A6" w:themeColor="background1" w:themeShade="A6"/>
              </w:rPr>
            </w:pPr>
            <w:r w:rsidRPr="005D22FF">
              <w:rPr>
                <w:iCs/>
                <w:color w:val="000000" w:themeColor="text1"/>
              </w:rPr>
              <w:t>Projekts šo jomu neskar.</w:t>
            </w:r>
          </w:p>
        </w:tc>
      </w:tr>
    </w:tbl>
    <w:p w:rsidR="00742F9E" w:rsidRPr="005D22FF" w:rsidRDefault="00742F9E" w:rsidP="006B0FF1">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2F9E" w:rsidRPr="005D22FF" w:rsidTr="00487D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r w:rsidRPr="005D22FF">
              <w:rPr>
                <w:b/>
                <w:bCs/>
                <w:iCs/>
                <w:color w:val="414142"/>
              </w:rPr>
              <w:t>VI. Sabiedrības līdzdalība un komunikācijas aktivitātes</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C09E6" w:rsidRPr="00255AF2" w:rsidRDefault="007C09E6" w:rsidP="007C09E6">
            <w:pPr>
              <w:jc w:val="both"/>
            </w:pPr>
            <w:r w:rsidRPr="00255AF2">
              <w:t xml:space="preserve">Ņemot vērā </w:t>
            </w:r>
            <w:r>
              <w:t xml:space="preserve">ar </w:t>
            </w:r>
            <w:r>
              <w:rPr>
                <w:rFonts w:eastAsia="Batang"/>
                <w:lang w:eastAsia="ko-KR"/>
              </w:rPr>
              <w:t>Ministru kabineta 2017.gada 7.augusta rīkojumu Nr.394 „Par konceptuālo ziņojumu</w:t>
            </w:r>
            <w:r w:rsidRPr="000B726F">
              <w:rPr>
                <w:rFonts w:eastAsia="Batang"/>
                <w:lang w:eastAsia="ko-KR"/>
              </w:rPr>
              <w:t xml:space="preserve"> „Par veselības aprūpes sistēmas reformu”</w:t>
            </w:r>
            <w:r w:rsidRPr="00255AF2">
              <w:t xml:space="preserve">, kas pirms pieņemšanas tika nodots sabiedriskai apspriešanai,  </w:t>
            </w:r>
            <w:r>
              <w:t xml:space="preserve">kā arī ar Ministru kabineta </w:t>
            </w:r>
            <w:r w:rsidRPr="00F11B28">
              <w:t>2018.gada 29.maija rīkojumu Nr.</w:t>
            </w:r>
            <w:r>
              <w:t>227 „</w:t>
            </w:r>
            <w:r w:rsidRPr="000B726F">
              <w:t>Par Veselības ministrijas padotībā esošo valsts</w:t>
            </w:r>
            <w:r>
              <w:t xml:space="preserve"> </w:t>
            </w:r>
            <w:r w:rsidRPr="000B726F">
              <w:t>pārvaldes iestāžu reorganizāciju</w:t>
            </w:r>
            <w:r>
              <w:t xml:space="preserve">” </w:t>
            </w:r>
            <w:r w:rsidRPr="00255AF2">
              <w:t>atbalstīto reformu, kā arī to, ka izmaiņas skar valsts pārvaldes iestādes funkcijas, sabied</w:t>
            </w:r>
            <w:r w:rsidRPr="007C09E6">
              <w:t>rības līdzdalība projektam netiek plānota, bet iepriekš tā īstenota uzklausot sabiedrības pārstāvju viedokli Veselības nozares Stratēģiskajā padomē.</w:t>
            </w:r>
          </w:p>
          <w:p w:rsidR="00742F9E" w:rsidRPr="005D22FF" w:rsidRDefault="007C09E6" w:rsidP="007C09E6">
            <w:pPr>
              <w:rPr>
                <w:iCs/>
                <w:color w:val="A6A6A6" w:themeColor="background1" w:themeShade="A6"/>
              </w:rPr>
            </w:pPr>
            <w:r w:rsidRPr="002B7BAF">
              <w:t xml:space="preserve">Noteikumu projekts pēc izsludināšanas Valsts sekretāru sanāksmē </w:t>
            </w:r>
            <w:r>
              <w:t xml:space="preserve">ir </w:t>
            </w:r>
            <w:r w:rsidRPr="002B7BAF">
              <w:t xml:space="preserve">pieejams arī Ministru kabineta tīmekļa vietnē: </w:t>
            </w:r>
            <w:hyperlink r:id="rId8" w:history="1">
              <w:r w:rsidRPr="002B7BAF">
                <w:rPr>
                  <w:rStyle w:val="Hyperlink"/>
                </w:rPr>
                <w:t>www.mk.gov.lv</w:t>
              </w:r>
            </w:hyperlink>
            <w:r w:rsidRPr="002B7BAF">
              <w:t>.</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C09E6" w:rsidRPr="007C09E6" w:rsidRDefault="007C09E6" w:rsidP="007C09E6">
            <w:pPr>
              <w:pStyle w:val="naisf"/>
              <w:tabs>
                <w:tab w:val="left" w:pos="34"/>
                <w:tab w:val="left" w:pos="459"/>
              </w:tabs>
              <w:ind w:left="33"/>
              <w:rPr>
                <w:rFonts w:eastAsia="Batang"/>
                <w:lang w:eastAsia="ko-KR"/>
              </w:rPr>
            </w:pPr>
            <w:r w:rsidRPr="007C09E6">
              <w:rPr>
                <w:rFonts w:eastAsia="Batang"/>
                <w:lang w:eastAsia="ko-KR"/>
              </w:rPr>
              <w:t xml:space="preserve">Ar Ministru kabineta 2017.gada 7.augusta rīkojumu Nr.394 „Par konceptuālo ziņojumu „Par veselības aprūpes sistēmas reformu” apstiprinātā konceptuālā ziņojuma izstrādē aktīvi tika iesaistīti sabiedrības pārstāvji, notika vairākkārtējas un detalizētas diskusijas Veselības nozares Stratēģiskajā padomē, kurā piedalās pārstāvji no Latvijas Ārstu biedrības, Latvijas Cilvēku ar īpašām vajadzībām sadarbības organizācijas SUSTENTO,  Latvijas Veselības </w:t>
            </w:r>
            <w:r w:rsidRPr="007C09E6">
              <w:rPr>
                <w:rFonts w:eastAsia="Batang"/>
                <w:lang w:eastAsia="ko-KR"/>
              </w:rPr>
              <w:lastRenderedPageBreak/>
              <w:t>ekonomikas asociācijas, Latvijas Universitātes,  Latvijas Specializēto pediatru biedrības, Rīgas Stradiņa universitātes, Latvijas Slimnīcu biedrības, Latvijas Pašvaldību savienības, Latvijas Veselības un sociālās aprūpes darbinieku arodbiedrības, Latvijas Farmaceitu biedrības, Latvijas Lauku Ģimenes ārstu asociācijas,  Rīgas Stradiņa universitātes,  Latvijas Jauno ārstu asociācijas,  Latvijas Māsu asociācijas,  Veselības aprūpes darba devēju asociācijas, Latvijas Ģimenes ārstu asociācijas.</w:t>
            </w:r>
          </w:p>
          <w:p w:rsidR="00742F9E" w:rsidRPr="005D22FF" w:rsidRDefault="007C09E6" w:rsidP="007C09E6">
            <w:pPr>
              <w:jc w:val="both"/>
              <w:rPr>
                <w:iCs/>
                <w:color w:val="A6A6A6" w:themeColor="background1" w:themeShade="A6"/>
              </w:rPr>
            </w:pPr>
            <w:r w:rsidRPr="007C09E6">
              <w:rPr>
                <w:rFonts w:eastAsia="Batang"/>
                <w:lang w:eastAsia="ko-KR"/>
              </w:rPr>
              <w:t>Informācija par Veselības nozares Stratēģiskās padomes darbību un tās sēdēs izskatītajiem jautājumiem, tajā skaitā arī par iepriekšminēto konceptuālo ziņojumu un tajā paredzētajām reformām, pieejami Veselības ministrijas tīmekļvietnē (sadaļā Ministrija &gt; Konsultatīvās padomes &gt; Veselības nozares stratēģiskā padome)</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42F9E" w:rsidRPr="007C09E6" w:rsidRDefault="007C09E6" w:rsidP="00742F9E">
            <w:pPr>
              <w:rPr>
                <w:iCs/>
                <w:color w:val="A6A6A6" w:themeColor="background1" w:themeShade="A6"/>
              </w:rPr>
            </w:pPr>
            <w:r w:rsidRPr="007C09E6">
              <w:t xml:space="preserve">Sabiedrības viedoklis tika iestrādāts </w:t>
            </w:r>
            <w:r w:rsidRPr="007C09E6">
              <w:rPr>
                <w:rFonts w:eastAsia="Batang"/>
                <w:lang w:eastAsia="ko-KR"/>
              </w:rPr>
              <w:t>Ministru kabineta 2017.gada 7.augusta rīkojumā Nr.394 „Par konceptuālo ziņojumu „Par veselības aprūpes sistēmas reformu”, līdz ar to ar Projektu tiek īstenots vienīgi iepriekš nolemtais.</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4.</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t>Nav</w:t>
            </w:r>
          </w:p>
        </w:tc>
      </w:tr>
    </w:tbl>
    <w:p w:rsidR="00742F9E" w:rsidRPr="005D22FF" w:rsidRDefault="00742F9E" w:rsidP="006B0FF1">
      <w:pPr>
        <w:jc w:val="both"/>
      </w:pPr>
    </w:p>
    <w:p w:rsidR="00BD66BD" w:rsidRPr="005D22FF" w:rsidRDefault="00BD66BD" w:rsidP="002C35FA">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2F9E" w:rsidRPr="005D22FF" w:rsidTr="00487D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F9E" w:rsidRPr="005D22FF" w:rsidRDefault="00742F9E" w:rsidP="00487DFC">
            <w:pPr>
              <w:rPr>
                <w:b/>
                <w:bCs/>
                <w:iCs/>
                <w:color w:val="414142"/>
              </w:rPr>
            </w:pPr>
            <w:r w:rsidRPr="005D22FF">
              <w:rPr>
                <w:b/>
                <w:bCs/>
                <w:iCs/>
                <w:color w:val="414142"/>
              </w:rPr>
              <w:t>VII. Tiesību akta projekta izpildes nodrošināšana un tās ietekme uz institūcijām</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1.</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jc w:val="both"/>
            </w:pPr>
            <w:r w:rsidRPr="005D22FF">
              <w:t>Nacionālais veselības dienests</w:t>
            </w:r>
          </w:p>
          <w:p w:rsidR="00742F9E" w:rsidRPr="005D22FF" w:rsidRDefault="00742F9E" w:rsidP="00742F9E">
            <w:pPr>
              <w:rPr>
                <w:iCs/>
                <w:color w:val="A6A6A6" w:themeColor="background1" w:themeShade="A6"/>
              </w:rPr>
            </w:pPr>
            <w:r w:rsidRPr="005D22FF">
              <w:t>Zāļu valsts aģentūra</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2.</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Projekta izpildes ietekme uz pārvaldes funkcijām un institucionālo struktūru.</w:t>
            </w:r>
            <w:r w:rsidRPr="005D22FF">
              <w:rPr>
                <w:iCs/>
                <w:color w:val="414142"/>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pStyle w:val="tvhtml"/>
              <w:spacing w:before="0" w:beforeAutospacing="0" w:after="0" w:afterAutospacing="0" w:line="293" w:lineRule="atLeast"/>
              <w:jc w:val="both"/>
              <w:rPr>
                <w:lang w:val="lv-LV"/>
              </w:rPr>
            </w:pPr>
            <w:r w:rsidRPr="005D22FF">
              <w:rPr>
                <w:lang w:val="lv-LV"/>
              </w:rPr>
              <w:t>Projekts paredz funkciju pārskatīšanu, izmaiņu ieviešanu un savstarpēju funkciju pārdali Veselības ministrijas padotības iestāžu starpā.</w:t>
            </w:r>
          </w:p>
          <w:p w:rsidR="00742F9E" w:rsidRPr="005D22FF" w:rsidRDefault="00742F9E" w:rsidP="00742F9E">
            <w:pPr>
              <w:rPr>
                <w:iCs/>
                <w:color w:val="A6A6A6" w:themeColor="background1" w:themeShade="A6"/>
              </w:rPr>
            </w:pPr>
            <w:r w:rsidRPr="005D22FF">
              <w:t>Projekta izpilde tiks nodrošināta nozares esošo cilvēkresursu ietvaros.</w:t>
            </w:r>
          </w:p>
        </w:tc>
      </w:tr>
      <w:tr w:rsidR="00742F9E" w:rsidRPr="005D22FF" w:rsidTr="00742F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3.</w:t>
            </w:r>
          </w:p>
        </w:tc>
        <w:tc>
          <w:tcPr>
            <w:tcW w:w="1678"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414142"/>
              </w:rPr>
            </w:pPr>
            <w:r w:rsidRPr="005D22FF">
              <w:rPr>
                <w:iCs/>
                <w:color w:val="414142"/>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42F9E" w:rsidRPr="005D22FF" w:rsidRDefault="00742F9E" w:rsidP="00742F9E">
            <w:pPr>
              <w:rPr>
                <w:iCs/>
                <w:color w:val="A6A6A6" w:themeColor="background1" w:themeShade="A6"/>
              </w:rPr>
            </w:pPr>
            <w:r w:rsidRPr="005D22FF">
              <w:t>Nav</w:t>
            </w:r>
          </w:p>
        </w:tc>
      </w:tr>
    </w:tbl>
    <w:p w:rsidR="00C6758B" w:rsidRPr="005D22FF" w:rsidRDefault="00C6758B" w:rsidP="00B1641A">
      <w:pPr>
        <w:pStyle w:val="naisf"/>
        <w:spacing w:before="0" w:after="0"/>
        <w:ind w:firstLine="289"/>
        <w:jc w:val="center"/>
      </w:pPr>
    </w:p>
    <w:p w:rsidR="00742F9E" w:rsidRPr="005D22FF" w:rsidRDefault="00742F9E" w:rsidP="00B1641A">
      <w:pPr>
        <w:pStyle w:val="naisf"/>
        <w:spacing w:before="0" w:after="0"/>
        <w:ind w:firstLine="289"/>
        <w:jc w:val="center"/>
      </w:pPr>
    </w:p>
    <w:p w:rsidR="00103BAD" w:rsidRPr="005D22FF" w:rsidRDefault="00103BAD" w:rsidP="00A57857">
      <w:pPr>
        <w:jc w:val="both"/>
        <w:rPr>
          <w:b/>
          <w:sz w:val="28"/>
          <w:szCs w:val="28"/>
        </w:rPr>
      </w:pPr>
    </w:p>
    <w:p w:rsidR="00AE2D74" w:rsidRPr="005D22FF" w:rsidRDefault="00AE2D74" w:rsidP="00AE2D74">
      <w:pPr>
        <w:rPr>
          <w:sz w:val="28"/>
          <w:szCs w:val="28"/>
        </w:rPr>
      </w:pPr>
      <w:r w:rsidRPr="005D22FF">
        <w:rPr>
          <w:sz w:val="28"/>
          <w:szCs w:val="28"/>
        </w:rPr>
        <w:t>Veselības ministr</w:t>
      </w:r>
      <w:r w:rsidR="00412677" w:rsidRPr="005D22FF">
        <w:rPr>
          <w:sz w:val="28"/>
          <w:szCs w:val="28"/>
        </w:rPr>
        <w:t>e</w:t>
      </w:r>
      <w:r w:rsidR="00412CFF" w:rsidRPr="005D22FF">
        <w:rPr>
          <w:sz w:val="28"/>
          <w:szCs w:val="28"/>
        </w:rPr>
        <w:t xml:space="preserve"> </w:t>
      </w:r>
      <w:r w:rsidR="00412CFF" w:rsidRPr="005D22FF">
        <w:rPr>
          <w:sz w:val="28"/>
          <w:szCs w:val="28"/>
        </w:rPr>
        <w:tab/>
      </w:r>
      <w:r w:rsidR="00412CFF" w:rsidRPr="005D22FF">
        <w:rPr>
          <w:sz w:val="28"/>
          <w:szCs w:val="28"/>
        </w:rPr>
        <w:tab/>
      </w:r>
      <w:r w:rsidR="00412CFF" w:rsidRPr="005D22FF">
        <w:rPr>
          <w:sz w:val="28"/>
          <w:szCs w:val="28"/>
        </w:rPr>
        <w:tab/>
      </w:r>
      <w:r w:rsidR="00412CFF" w:rsidRPr="005D22FF">
        <w:rPr>
          <w:sz w:val="28"/>
          <w:szCs w:val="28"/>
        </w:rPr>
        <w:tab/>
      </w:r>
      <w:r w:rsidR="00412CFF" w:rsidRPr="005D22FF">
        <w:rPr>
          <w:sz w:val="28"/>
          <w:szCs w:val="28"/>
        </w:rPr>
        <w:tab/>
      </w:r>
      <w:r w:rsidR="00412CFF" w:rsidRPr="005D22FF">
        <w:rPr>
          <w:sz w:val="28"/>
          <w:szCs w:val="28"/>
        </w:rPr>
        <w:tab/>
      </w:r>
      <w:r w:rsidR="00765024" w:rsidRPr="005D22FF">
        <w:rPr>
          <w:sz w:val="28"/>
          <w:szCs w:val="28"/>
        </w:rPr>
        <w:tab/>
      </w:r>
      <w:r w:rsidR="00765024" w:rsidRPr="005D22FF">
        <w:rPr>
          <w:sz w:val="28"/>
          <w:szCs w:val="28"/>
        </w:rPr>
        <w:tab/>
      </w:r>
      <w:proofErr w:type="spellStart"/>
      <w:r w:rsidR="006B6CCF" w:rsidRPr="005D22FF">
        <w:rPr>
          <w:sz w:val="28"/>
          <w:szCs w:val="28"/>
        </w:rPr>
        <w:t>A.Čakša</w:t>
      </w:r>
      <w:proofErr w:type="spellEnd"/>
      <w:r w:rsidR="00412CFF" w:rsidRPr="005D22FF">
        <w:rPr>
          <w:sz w:val="28"/>
          <w:szCs w:val="28"/>
        </w:rPr>
        <w:t xml:space="preserve"> </w:t>
      </w:r>
    </w:p>
    <w:p w:rsidR="0008107F" w:rsidRPr="005D22FF" w:rsidRDefault="0008107F" w:rsidP="00760AD6">
      <w:pPr>
        <w:rPr>
          <w:sz w:val="28"/>
          <w:szCs w:val="28"/>
        </w:rPr>
      </w:pPr>
    </w:p>
    <w:p w:rsidR="0008107F" w:rsidRPr="005D22FF" w:rsidRDefault="0008107F" w:rsidP="00760AD6">
      <w:pPr>
        <w:rPr>
          <w:sz w:val="28"/>
          <w:szCs w:val="28"/>
        </w:rPr>
      </w:pPr>
      <w:r w:rsidRPr="005D22FF">
        <w:rPr>
          <w:sz w:val="28"/>
          <w:szCs w:val="28"/>
        </w:rPr>
        <w:t>Vīza: Valsts sekretār</w:t>
      </w:r>
      <w:r w:rsidR="001642F9">
        <w:rPr>
          <w:sz w:val="28"/>
          <w:szCs w:val="28"/>
        </w:rPr>
        <w:t xml:space="preserve">a </w:t>
      </w:r>
      <w:proofErr w:type="spellStart"/>
      <w:r w:rsidR="001642F9">
        <w:rPr>
          <w:sz w:val="28"/>
          <w:szCs w:val="28"/>
        </w:rPr>
        <w:t>p.i</w:t>
      </w:r>
      <w:proofErr w:type="spellEnd"/>
      <w:r w:rsidR="001642F9">
        <w:rPr>
          <w:sz w:val="28"/>
          <w:szCs w:val="28"/>
        </w:rPr>
        <w:t>.</w:t>
      </w:r>
      <w:r w:rsidR="006B6CCF" w:rsidRPr="005D22FF">
        <w:rPr>
          <w:sz w:val="28"/>
          <w:szCs w:val="28"/>
        </w:rPr>
        <w:tab/>
      </w:r>
      <w:r w:rsidR="006B6CCF" w:rsidRPr="005D22FF">
        <w:rPr>
          <w:sz w:val="28"/>
          <w:szCs w:val="28"/>
        </w:rPr>
        <w:tab/>
      </w:r>
      <w:r w:rsidR="00765024" w:rsidRPr="005D22FF">
        <w:rPr>
          <w:sz w:val="28"/>
          <w:szCs w:val="28"/>
        </w:rPr>
        <w:tab/>
      </w:r>
      <w:r w:rsidR="00765024" w:rsidRPr="005D22FF">
        <w:rPr>
          <w:sz w:val="28"/>
          <w:szCs w:val="28"/>
        </w:rPr>
        <w:tab/>
      </w:r>
      <w:proofErr w:type="spellStart"/>
      <w:r w:rsidR="001642F9">
        <w:rPr>
          <w:sz w:val="28"/>
          <w:szCs w:val="28"/>
        </w:rPr>
        <w:t>D.Mūrmane-Umbraško</w:t>
      </w:r>
      <w:proofErr w:type="spellEnd"/>
    </w:p>
    <w:p w:rsidR="008F1E79" w:rsidRPr="005D22FF" w:rsidRDefault="008F1E79" w:rsidP="00760AD6">
      <w:pPr>
        <w:rPr>
          <w:sz w:val="28"/>
          <w:szCs w:val="28"/>
        </w:rPr>
      </w:pPr>
    </w:p>
    <w:p w:rsidR="008F1E79" w:rsidRPr="005D22FF" w:rsidRDefault="008F1E79" w:rsidP="00760AD6">
      <w:pPr>
        <w:rPr>
          <w:sz w:val="28"/>
          <w:szCs w:val="28"/>
        </w:rPr>
      </w:pPr>
    </w:p>
    <w:p w:rsidR="000F69B7" w:rsidRPr="005D22FF" w:rsidRDefault="000F69B7" w:rsidP="00760AD6">
      <w:pPr>
        <w:rPr>
          <w:sz w:val="20"/>
          <w:szCs w:val="20"/>
        </w:rPr>
      </w:pPr>
      <w:proofErr w:type="spellStart"/>
      <w:r w:rsidRPr="005D22FF">
        <w:rPr>
          <w:sz w:val="20"/>
          <w:szCs w:val="20"/>
        </w:rPr>
        <w:t>I.</w:t>
      </w:r>
      <w:r w:rsidR="000D5210" w:rsidRPr="005D22FF">
        <w:rPr>
          <w:sz w:val="20"/>
          <w:szCs w:val="20"/>
        </w:rPr>
        <w:t>Šķiņķe</w:t>
      </w:r>
      <w:proofErr w:type="spellEnd"/>
      <w:r w:rsidR="000D5210" w:rsidRPr="005D22FF">
        <w:rPr>
          <w:sz w:val="20"/>
          <w:szCs w:val="20"/>
        </w:rPr>
        <w:t>, 67876177</w:t>
      </w:r>
    </w:p>
    <w:p w:rsidR="000B5BAD" w:rsidRPr="005D22FF" w:rsidRDefault="005E321D" w:rsidP="007C09E6">
      <w:pPr>
        <w:tabs>
          <w:tab w:val="left" w:pos="6237"/>
        </w:tabs>
        <w:rPr>
          <w:sz w:val="20"/>
          <w:szCs w:val="20"/>
        </w:rPr>
      </w:pPr>
      <w:hyperlink r:id="rId9" w:history="1">
        <w:r w:rsidR="000B5BAD" w:rsidRPr="005D22FF">
          <w:rPr>
            <w:rStyle w:val="Hyperlink"/>
            <w:rFonts w:eastAsia="Calibri"/>
          </w:rPr>
          <w:t>Ilze.skinke@vm.gov.lv</w:t>
        </w:r>
      </w:hyperlink>
      <w:r w:rsidR="005F68D3" w:rsidRPr="005D22FF">
        <w:rPr>
          <w:sz w:val="20"/>
          <w:szCs w:val="20"/>
        </w:rPr>
        <w:tab/>
      </w:r>
    </w:p>
    <w:sectPr w:rsidR="000B5BAD" w:rsidRPr="005D22FF" w:rsidSect="00C50335">
      <w:headerReference w:type="even" r:id="rId10"/>
      <w:headerReference w:type="default" r:id="rId11"/>
      <w:footerReference w:type="default" r:id="rId12"/>
      <w:footerReference w:type="first" r:id="rId13"/>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FC" w:rsidRDefault="00487DFC">
      <w:r>
        <w:separator/>
      </w:r>
    </w:p>
  </w:endnote>
  <w:endnote w:type="continuationSeparator" w:id="0">
    <w:p w:rsidR="00487DFC" w:rsidRDefault="0048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Pr="00092D74" w:rsidRDefault="00487DFC" w:rsidP="002855E4">
    <w:pPr>
      <w:pStyle w:val="Footer"/>
      <w:jc w:val="both"/>
      <w:rPr>
        <w:sz w:val="20"/>
        <w:szCs w:val="20"/>
      </w:rPr>
    </w:pPr>
    <w:r w:rsidRPr="00092D74">
      <w:rPr>
        <w:sz w:val="20"/>
        <w:szCs w:val="20"/>
      </w:rPr>
      <w:t>VManot_</w:t>
    </w:r>
    <w:r w:rsidR="005E321D">
      <w:rPr>
        <w:sz w:val="20"/>
        <w:szCs w:val="20"/>
      </w:rPr>
      <w:t>13</w:t>
    </w:r>
    <w:r>
      <w:rPr>
        <w:sz w:val="20"/>
        <w:szCs w:val="20"/>
      </w:rPr>
      <w:t>11</w:t>
    </w:r>
    <w:r w:rsidRPr="00092D74">
      <w:rPr>
        <w:sz w:val="20"/>
        <w:szCs w:val="20"/>
      </w:rPr>
      <w:t>18_</w:t>
    </w:r>
    <w:r>
      <w:rPr>
        <w:sz w:val="20"/>
        <w:szCs w:val="20"/>
      </w:rPr>
      <w:t>FarmLik</w:t>
    </w:r>
    <w:r w:rsidRPr="00092D74">
      <w:rPr>
        <w:sz w:val="20"/>
        <w:szCs w:val="20"/>
      </w:rPr>
      <w:t xml:space="preserve">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Pr="00092D74" w:rsidRDefault="00487DFC" w:rsidP="00466E64">
    <w:pPr>
      <w:pStyle w:val="Footer"/>
      <w:jc w:val="both"/>
      <w:rPr>
        <w:sz w:val="20"/>
        <w:szCs w:val="20"/>
      </w:rPr>
    </w:pPr>
    <w:r w:rsidRPr="00092D74">
      <w:rPr>
        <w:sz w:val="20"/>
        <w:szCs w:val="20"/>
      </w:rPr>
      <w:t>VManot_</w:t>
    </w:r>
    <w:r w:rsidR="005E321D">
      <w:rPr>
        <w:sz w:val="20"/>
        <w:szCs w:val="20"/>
      </w:rPr>
      <w:t>13</w:t>
    </w:r>
    <w:r>
      <w:rPr>
        <w:sz w:val="20"/>
        <w:szCs w:val="20"/>
      </w:rPr>
      <w:t>1</w:t>
    </w:r>
    <w:r w:rsidRPr="00092D74">
      <w:rPr>
        <w:sz w:val="20"/>
        <w:szCs w:val="20"/>
      </w:rPr>
      <w:t>18_</w:t>
    </w:r>
    <w:r>
      <w:rPr>
        <w:sz w:val="20"/>
        <w:szCs w:val="20"/>
      </w:rPr>
      <w:t>FarmLik</w:t>
    </w:r>
    <w:r w:rsidRPr="00092D74">
      <w:rPr>
        <w:sz w:val="20"/>
        <w:szCs w:val="20"/>
      </w:rPr>
      <w:t xml:space="preserve">groz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FC" w:rsidRDefault="00487DFC">
      <w:r>
        <w:separator/>
      </w:r>
    </w:p>
  </w:footnote>
  <w:footnote w:type="continuationSeparator" w:id="0">
    <w:p w:rsidR="00487DFC" w:rsidRDefault="0048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Default="00487DFC"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DFC" w:rsidRDefault="00487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FC" w:rsidRDefault="00487DFC"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87DFC" w:rsidRDefault="0048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abstractNum w:abstractNumId="22"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25"/>
  </w:num>
  <w:num w:numId="5">
    <w:abstractNumId w:val="20"/>
  </w:num>
  <w:num w:numId="6">
    <w:abstractNumId w:val="4"/>
  </w:num>
  <w:num w:numId="7">
    <w:abstractNumId w:val="0"/>
  </w:num>
  <w:num w:numId="8">
    <w:abstractNumId w:val="12"/>
  </w:num>
  <w:num w:numId="9">
    <w:abstractNumId w:val="27"/>
  </w:num>
  <w:num w:numId="10">
    <w:abstractNumId w:val="23"/>
  </w:num>
  <w:num w:numId="11">
    <w:abstractNumId w:val="30"/>
  </w:num>
  <w:num w:numId="12">
    <w:abstractNumId w:val="15"/>
  </w:num>
  <w:num w:numId="13">
    <w:abstractNumId w:val="22"/>
  </w:num>
  <w:num w:numId="14">
    <w:abstractNumId w:val="10"/>
  </w:num>
  <w:num w:numId="15">
    <w:abstractNumId w:val="6"/>
  </w:num>
  <w:num w:numId="16">
    <w:abstractNumId w:val="5"/>
  </w:num>
  <w:num w:numId="17">
    <w:abstractNumId w:val="19"/>
  </w:num>
  <w:num w:numId="18">
    <w:abstractNumId w:val="33"/>
  </w:num>
  <w:num w:numId="19">
    <w:abstractNumId w:val="28"/>
  </w:num>
  <w:num w:numId="20">
    <w:abstractNumId w:val="16"/>
  </w:num>
  <w:num w:numId="21">
    <w:abstractNumId w:val="13"/>
  </w:num>
  <w:num w:numId="22">
    <w:abstractNumId w:val="26"/>
  </w:num>
  <w:num w:numId="23">
    <w:abstractNumId w:val="9"/>
  </w:num>
  <w:num w:numId="24">
    <w:abstractNumId w:val="7"/>
  </w:num>
  <w:num w:numId="25">
    <w:abstractNumId w:val="39"/>
  </w:num>
  <w:num w:numId="26">
    <w:abstractNumId w:val="24"/>
  </w:num>
  <w:num w:numId="27">
    <w:abstractNumId w:val="34"/>
  </w:num>
  <w:num w:numId="28">
    <w:abstractNumId w:val="11"/>
  </w:num>
  <w:num w:numId="29">
    <w:abstractNumId w:val="14"/>
  </w:num>
  <w:num w:numId="30">
    <w:abstractNumId w:val="35"/>
  </w:num>
  <w:num w:numId="31">
    <w:abstractNumId w:val="37"/>
  </w:num>
  <w:num w:numId="32">
    <w:abstractNumId w:val="32"/>
  </w:num>
  <w:num w:numId="33">
    <w:abstractNumId w:val="1"/>
  </w:num>
  <w:num w:numId="34">
    <w:abstractNumId w:val="3"/>
  </w:num>
  <w:num w:numId="35">
    <w:abstractNumId w:val="36"/>
  </w:num>
  <w:num w:numId="36">
    <w:abstractNumId w:val="38"/>
  </w:num>
  <w:num w:numId="37">
    <w:abstractNumId w:val="31"/>
  </w:num>
  <w:num w:numId="38">
    <w:abstractNumId w:val="18"/>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7F"/>
    <w:rsid w:val="000046B1"/>
    <w:rsid w:val="000054A6"/>
    <w:rsid w:val="000064E6"/>
    <w:rsid w:val="000077EC"/>
    <w:rsid w:val="00010AA2"/>
    <w:rsid w:val="00013BC0"/>
    <w:rsid w:val="00015225"/>
    <w:rsid w:val="00015E9A"/>
    <w:rsid w:val="00016787"/>
    <w:rsid w:val="000172AF"/>
    <w:rsid w:val="00017779"/>
    <w:rsid w:val="00021498"/>
    <w:rsid w:val="000227BF"/>
    <w:rsid w:val="00023494"/>
    <w:rsid w:val="000245E5"/>
    <w:rsid w:val="00025276"/>
    <w:rsid w:val="000254FA"/>
    <w:rsid w:val="000257F5"/>
    <w:rsid w:val="00026546"/>
    <w:rsid w:val="0002692D"/>
    <w:rsid w:val="00026EED"/>
    <w:rsid w:val="00030077"/>
    <w:rsid w:val="00030ABB"/>
    <w:rsid w:val="00031C78"/>
    <w:rsid w:val="00034357"/>
    <w:rsid w:val="000364E3"/>
    <w:rsid w:val="00036794"/>
    <w:rsid w:val="00040228"/>
    <w:rsid w:val="000406D6"/>
    <w:rsid w:val="00040CE9"/>
    <w:rsid w:val="00041927"/>
    <w:rsid w:val="000421DD"/>
    <w:rsid w:val="00042B6F"/>
    <w:rsid w:val="00043575"/>
    <w:rsid w:val="00043E73"/>
    <w:rsid w:val="00044963"/>
    <w:rsid w:val="000454A3"/>
    <w:rsid w:val="0004569F"/>
    <w:rsid w:val="00045F78"/>
    <w:rsid w:val="0004615A"/>
    <w:rsid w:val="000465BB"/>
    <w:rsid w:val="000471FC"/>
    <w:rsid w:val="0004721C"/>
    <w:rsid w:val="00047657"/>
    <w:rsid w:val="00047DFA"/>
    <w:rsid w:val="00051921"/>
    <w:rsid w:val="00052FDA"/>
    <w:rsid w:val="00053073"/>
    <w:rsid w:val="00054FE6"/>
    <w:rsid w:val="000561E6"/>
    <w:rsid w:val="0005682B"/>
    <w:rsid w:val="00056DA0"/>
    <w:rsid w:val="000579D6"/>
    <w:rsid w:val="000609EA"/>
    <w:rsid w:val="00062790"/>
    <w:rsid w:val="00063425"/>
    <w:rsid w:val="0006476C"/>
    <w:rsid w:val="000669D1"/>
    <w:rsid w:val="00066F08"/>
    <w:rsid w:val="00067F4B"/>
    <w:rsid w:val="00071E53"/>
    <w:rsid w:val="00072E71"/>
    <w:rsid w:val="00073583"/>
    <w:rsid w:val="00074412"/>
    <w:rsid w:val="00074CEC"/>
    <w:rsid w:val="00075D0A"/>
    <w:rsid w:val="00076197"/>
    <w:rsid w:val="00076ED5"/>
    <w:rsid w:val="0007701E"/>
    <w:rsid w:val="000772A4"/>
    <w:rsid w:val="00077FFE"/>
    <w:rsid w:val="000803B4"/>
    <w:rsid w:val="00080AD4"/>
    <w:rsid w:val="0008107F"/>
    <w:rsid w:val="00082405"/>
    <w:rsid w:val="0008485E"/>
    <w:rsid w:val="00084D87"/>
    <w:rsid w:val="00084E95"/>
    <w:rsid w:val="00084FA0"/>
    <w:rsid w:val="00087590"/>
    <w:rsid w:val="00090E33"/>
    <w:rsid w:val="0009188F"/>
    <w:rsid w:val="0009201D"/>
    <w:rsid w:val="00092D74"/>
    <w:rsid w:val="00093093"/>
    <w:rsid w:val="000931A6"/>
    <w:rsid w:val="00093DD1"/>
    <w:rsid w:val="00094AED"/>
    <w:rsid w:val="00095181"/>
    <w:rsid w:val="00096122"/>
    <w:rsid w:val="000A0639"/>
    <w:rsid w:val="000A397C"/>
    <w:rsid w:val="000B251A"/>
    <w:rsid w:val="000B2728"/>
    <w:rsid w:val="000B276A"/>
    <w:rsid w:val="000B406A"/>
    <w:rsid w:val="000B4158"/>
    <w:rsid w:val="000B4CB6"/>
    <w:rsid w:val="000B4E13"/>
    <w:rsid w:val="000B4E7F"/>
    <w:rsid w:val="000B5BAD"/>
    <w:rsid w:val="000B5E3F"/>
    <w:rsid w:val="000B6076"/>
    <w:rsid w:val="000B6B05"/>
    <w:rsid w:val="000B7202"/>
    <w:rsid w:val="000B76B8"/>
    <w:rsid w:val="000B7CAF"/>
    <w:rsid w:val="000C053E"/>
    <w:rsid w:val="000C06D3"/>
    <w:rsid w:val="000C11B5"/>
    <w:rsid w:val="000C1905"/>
    <w:rsid w:val="000C22C0"/>
    <w:rsid w:val="000C240E"/>
    <w:rsid w:val="000C3832"/>
    <w:rsid w:val="000C451A"/>
    <w:rsid w:val="000C65FC"/>
    <w:rsid w:val="000C68EE"/>
    <w:rsid w:val="000C75C7"/>
    <w:rsid w:val="000D0EEB"/>
    <w:rsid w:val="000D33D4"/>
    <w:rsid w:val="000D453D"/>
    <w:rsid w:val="000D5210"/>
    <w:rsid w:val="000D571E"/>
    <w:rsid w:val="000D7DCB"/>
    <w:rsid w:val="000E1211"/>
    <w:rsid w:val="000E2594"/>
    <w:rsid w:val="000E2B82"/>
    <w:rsid w:val="000E2EB4"/>
    <w:rsid w:val="000E4031"/>
    <w:rsid w:val="000E4D6C"/>
    <w:rsid w:val="000E4D99"/>
    <w:rsid w:val="000E5786"/>
    <w:rsid w:val="000E5F3A"/>
    <w:rsid w:val="000E791A"/>
    <w:rsid w:val="000E7C9C"/>
    <w:rsid w:val="000F1C29"/>
    <w:rsid w:val="000F36B7"/>
    <w:rsid w:val="000F3A0E"/>
    <w:rsid w:val="000F485F"/>
    <w:rsid w:val="000F4B70"/>
    <w:rsid w:val="000F5A27"/>
    <w:rsid w:val="000F69B7"/>
    <w:rsid w:val="000F7CE7"/>
    <w:rsid w:val="00100B54"/>
    <w:rsid w:val="00100CF6"/>
    <w:rsid w:val="00101A0B"/>
    <w:rsid w:val="00101B6F"/>
    <w:rsid w:val="001037F2"/>
    <w:rsid w:val="00103BAD"/>
    <w:rsid w:val="0010612C"/>
    <w:rsid w:val="00106B8D"/>
    <w:rsid w:val="00111051"/>
    <w:rsid w:val="00111AE7"/>
    <w:rsid w:val="00111C1F"/>
    <w:rsid w:val="001120BD"/>
    <w:rsid w:val="001129C1"/>
    <w:rsid w:val="00113901"/>
    <w:rsid w:val="00113AD1"/>
    <w:rsid w:val="00117784"/>
    <w:rsid w:val="001206A3"/>
    <w:rsid w:val="00122A9A"/>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78EE"/>
    <w:rsid w:val="00147E70"/>
    <w:rsid w:val="00150FC5"/>
    <w:rsid w:val="001534B5"/>
    <w:rsid w:val="00153B21"/>
    <w:rsid w:val="001545FA"/>
    <w:rsid w:val="00156268"/>
    <w:rsid w:val="001570AE"/>
    <w:rsid w:val="0015777E"/>
    <w:rsid w:val="00160811"/>
    <w:rsid w:val="0016196C"/>
    <w:rsid w:val="00162E38"/>
    <w:rsid w:val="00163018"/>
    <w:rsid w:val="001642F9"/>
    <w:rsid w:val="00164B9D"/>
    <w:rsid w:val="001656C8"/>
    <w:rsid w:val="00167E8F"/>
    <w:rsid w:val="0017106F"/>
    <w:rsid w:val="001742D6"/>
    <w:rsid w:val="001802CB"/>
    <w:rsid w:val="001802EA"/>
    <w:rsid w:val="00182307"/>
    <w:rsid w:val="001831F6"/>
    <w:rsid w:val="00186A14"/>
    <w:rsid w:val="00186BCC"/>
    <w:rsid w:val="001912FA"/>
    <w:rsid w:val="001913DD"/>
    <w:rsid w:val="001931A0"/>
    <w:rsid w:val="00194515"/>
    <w:rsid w:val="00194D38"/>
    <w:rsid w:val="001975CE"/>
    <w:rsid w:val="001A118D"/>
    <w:rsid w:val="001A1BCD"/>
    <w:rsid w:val="001A1DB8"/>
    <w:rsid w:val="001A3170"/>
    <w:rsid w:val="001A3E13"/>
    <w:rsid w:val="001A46E3"/>
    <w:rsid w:val="001A51C8"/>
    <w:rsid w:val="001A54C4"/>
    <w:rsid w:val="001A659F"/>
    <w:rsid w:val="001A69CE"/>
    <w:rsid w:val="001A6BF1"/>
    <w:rsid w:val="001A6E00"/>
    <w:rsid w:val="001A7BE0"/>
    <w:rsid w:val="001B257F"/>
    <w:rsid w:val="001B2BDB"/>
    <w:rsid w:val="001B4AE4"/>
    <w:rsid w:val="001B4F98"/>
    <w:rsid w:val="001B668C"/>
    <w:rsid w:val="001B66D2"/>
    <w:rsid w:val="001B6941"/>
    <w:rsid w:val="001C054F"/>
    <w:rsid w:val="001C160F"/>
    <w:rsid w:val="001C1873"/>
    <w:rsid w:val="001C3708"/>
    <w:rsid w:val="001C446E"/>
    <w:rsid w:val="001C7171"/>
    <w:rsid w:val="001D02F7"/>
    <w:rsid w:val="001D0852"/>
    <w:rsid w:val="001D0ADC"/>
    <w:rsid w:val="001D3970"/>
    <w:rsid w:val="001D6082"/>
    <w:rsid w:val="001D79D3"/>
    <w:rsid w:val="001E0CE6"/>
    <w:rsid w:val="001E1ECE"/>
    <w:rsid w:val="001E2CEF"/>
    <w:rsid w:val="001E3BC4"/>
    <w:rsid w:val="001E54AF"/>
    <w:rsid w:val="001E647D"/>
    <w:rsid w:val="001E670D"/>
    <w:rsid w:val="001E6FD7"/>
    <w:rsid w:val="001E7CB5"/>
    <w:rsid w:val="001F06D3"/>
    <w:rsid w:val="001F20A5"/>
    <w:rsid w:val="001F2E1A"/>
    <w:rsid w:val="001F342B"/>
    <w:rsid w:val="001F441A"/>
    <w:rsid w:val="001F488C"/>
    <w:rsid w:val="001F5C54"/>
    <w:rsid w:val="001F61B2"/>
    <w:rsid w:val="001F774C"/>
    <w:rsid w:val="001F7CC9"/>
    <w:rsid w:val="002013E2"/>
    <w:rsid w:val="00201594"/>
    <w:rsid w:val="00201666"/>
    <w:rsid w:val="00201766"/>
    <w:rsid w:val="0020523F"/>
    <w:rsid w:val="00205F02"/>
    <w:rsid w:val="00206B32"/>
    <w:rsid w:val="00206B42"/>
    <w:rsid w:val="00206C07"/>
    <w:rsid w:val="00207015"/>
    <w:rsid w:val="00207FE0"/>
    <w:rsid w:val="00210233"/>
    <w:rsid w:val="0021047A"/>
    <w:rsid w:val="002108CB"/>
    <w:rsid w:val="002111BB"/>
    <w:rsid w:val="002123C2"/>
    <w:rsid w:val="00213ED1"/>
    <w:rsid w:val="002169ED"/>
    <w:rsid w:val="00217A0E"/>
    <w:rsid w:val="002235EB"/>
    <w:rsid w:val="00224479"/>
    <w:rsid w:val="0022561C"/>
    <w:rsid w:val="00230385"/>
    <w:rsid w:val="00232053"/>
    <w:rsid w:val="0023250C"/>
    <w:rsid w:val="002325B8"/>
    <w:rsid w:val="00232771"/>
    <w:rsid w:val="00232ACE"/>
    <w:rsid w:val="00234889"/>
    <w:rsid w:val="00234E34"/>
    <w:rsid w:val="00234F9F"/>
    <w:rsid w:val="00236BC3"/>
    <w:rsid w:val="00237274"/>
    <w:rsid w:val="002406D4"/>
    <w:rsid w:val="00240F58"/>
    <w:rsid w:val="0024407A"/>
    <w:rsid w:val="00244990"/>
    <w:rsid w:val="002459C4"/>
    <w:rsid w:val="0025012E"/>
    <w:rsid w:val="00250311"/>
    <w:rsid w:val="002511F6"/>
    <w:rsid w:val="002513E8"/>
    <w:rsid w:val="00253991"/>
    <w:rsid w:val="00253C2D"/>
    <w:rsid w:val="002572DF"/>
    <w:rsid w:val="00257A4C"/>
    <w:rsid w:val="002603B6"/>
    <w:rsid w:val="0026412E"/>
    <w:rsid w:val="00265D76"/>
    <w:rsid w:val="002660C2"/>
    <w:rsid w:val="002662A3"/>
    <w:rsid w:val="00267BB8"/>
    <w:rsid w:val="00267D74"/>
    <w:rsid w:val="00271581"/>
    <w:rsid w:val="0027427F"/>
    <w:rsid w:val="00275B79"/>
    <w:rsid w:val="00275D3A"/>
    <w:rsid w:val="00276595"/>
    <w:rsid w:val="00277C40"/>
    <w:rsid w:val="00280A8C"/>
    <w:rsid w:val="002815B1"/>
    <w:rsid w:val="00282845"/>
    <w:rsid w:val="00284246"/>
    <w:rsid w:val="0028487C"/>
    <w:rsid w:val="00284E72"/>
    <w:rsid w:val="0028539B"/>
    <w:rsid w:val="002855E4"/>
    <w:rsid w:val="00286025"/>
    <w:rsid w:val="002916BA"/>
    <w:rsid w:val="002942E5"/>
    <w:rsid w:val="00295656"/>
    <w:rsid w:val="00295E54"/>
    <w:rsid w:val="00297C79"/>
    <w:rsid w:val="002A100E"/>
    <w:rsid w:val="002A511F"/>
    <w:rsid w:val="002A5501"/>
    <w:rsid w:val="002A58DD"/>
    <w:rsid w:val="002A5A9B"/>
    <w:rsid w:val="002A642B"/>
    <w:rsid w:val="002A66C5"/>
    <w:rsid w:val="002A66CE"/>
    <w:rsid w:val="002A6AEC"/>
    <w:rsid w:val="002A6C2F"/>
    <w:rsid w:val="002B0261"/>
    <w:rsid w:val="002B0345"/>
    <w:rsid w:val="002B0364"/>
    <w:rsid w:val="002B1586"/>
    <w:rsid w:val="002B15ED"/>
    <w:rsid w:val="002B17CD"/>
    <w:rsid w:val="002B22F4"/>
    <w:rsid w:val="002B2593"/>
    <w:rsid w:val="002B2E36"/>
    <w:rsid w:val="002B3B30"/>
    <w:rsid w:val="002B3CB2"/>
    <w:rsid w:val="002B3DC1"/>
    <w:rsid w:val="002B5C68"/>
    <w:rsid w:val="002B5FF6"/>
    <w:rsid w:val="002B69A0"/>
    <w:rsid w:val="002C0145"/>
    <w:rsid w:val="002C07F9"/>
    <w:rsid w:val="002C1B0E"/>
    <w:rsid w:val="002C2EF2"/>
    <w:rsid w:val="002C35FA"/>
    <w:rsid w:val="002C57B6"/>
    <w:rsid w:val="002C60FE"/>
    <w:rsid w:val="002C632F"/>
    <w:rsid w:val="002D0145"/>
    <w:rsid w:val="002D0B3E"/>
    <w:rsid w:val="002D0B50"/>
    <w:rsid w:val="002D20D0"/>
    <w:rsid w:val="002D3526"/>
    <w:rsid w:val="002D5400"/>
    <w:rsid w:val="002E0042"/>
    <w:rsid w:val="002E0790"/>
    <w:rsid w:val="002E21CB"/>
    <w:rsid w:val="002E489D"/>
    <w:rsid w:val="002E4D3B"/>
    <w:rsid w:val="002E61B5"/>
    <w:rsid w:val="002F0785"/>
    <w:rsid w:val="002F13CB"/>
    <w:rsid w:val="002F2C84"/>
    <w:rsid w:val="002F30DA"/>
    <w:rsid w:val="002F5BD2"/>
    <w:rsid w:val="00300CF4"/>
    <w:rsid w:val="0030185E"/>
    <w:rsid w:val="00301AFC"/>
    <w:rsid w:val="00302539"/>
    <w:rsid w:val="003026A9"/>
    <w:rsid w:val="003042BF"/>
    <w:rsid w:val="00304333"/>
    <w:rsid w:val="00304AFF"/>
    <w:rsid w:val="00304D1A"/>
    <w:rsid w:val="00304FBB"/>
    <w:rsid w:val="00306F67"/>
    <w:rsid w:val="0030744D"/>
    <w:rsid w:val="0030749C"/>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4A96"/>
    <w:rsid w:val="00335C7D"/>
    <w:rsid w:val="00335D5B"/>
    <w:rsid w:val="00336A7D"/>
    <w:rsid w:val="003379A9"/>
    <w:rsid w:val="00340DF4"/>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49E"/>
    <w:rsid w:val="003555CB"/>
    <w:rsid w:val="00355679"/>
    <w:rsid w:val="0035700A"/>
    <w:rsid w:val="00357434"/>
    <w:rsid w:val="00360E43"/>
    <w:rsid w:val="003642A9"/>
    <w:rsid w:val="0036478C"/>
    <w:rsid w:val="00371273"/>
    <w:rsid w:val="003726C0"/>
    <w:rsid w:val="003727CB"/>
    <w:rsid w:val="003729DA"/>
    <w:rsid w:val="00372E3B"/>
    <w:rsid w:val="00373AD6"/>
    <w:rsid w:val="00373C02"/>
    <w:rsid w:val="00374EF3"/>
    <w:rsid w:val="00376F7D"/>
    <w:rsid w:val="00377500"/>
    <w:rsid w:val="00380199"/>
    <w:rsid w:val="003801E2"/>
    <w:rsid w:val="003812D2"/>
    <w:rsid w:val="00381CD2"/>
    <w:rsid w:val="003823A2"/>
    <w:rsid w:val="0038289E"/>
    <w:rsid w:val="003861EF"/>
    <w:rsid w:val="0038683C"/>
    <w:rsid w:val="003868CE"/>
    <w:rsid w:val="0039227B"/>
    <w:rsid w:val="00392DB8"/>
    <w:rsid w:val="00392F5F"/>
    <w:rsid w:val="00393571"/>
    <w:rsid w:val="003942BD"/>
    <w:rsid w:val="00395E55"/>
    <w:rsid w:val="00397D48"/>
    <w:rsid w:val="003A2E66"/>
    <w:rsid w:val="003A35AA"/>
    <w:rsid w:val="003A4E85"/>
    <w:rsid w:val="003A5288"/>
    <w:rsid w:val="003A5681"/>
    <w:rsid w:val="003A61D8"/>
    <w:rsid w:val="003A65FC"/>
    <w:rsid w:val="003B0CEA"/>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E11"/>
    <w:rsid w:val="003D3E53"/>
    <w:rsid w:val="003D3F00"/>
    <w:rsid w:val="003D407E"/>
    <w:rsid w:val="003D4F5D"/>
    <w:rsid w:val="003D68A4"/>
    <w:rsid w:val="003D6A2E"/>
    <w:rsid w:val="003D759E"/>
    <w:rsid w:val="003D766A"/>
    <w:rsid w:val="003E1BD4"/>
    <w:rsid w:val="003E2E1F"/>
    <w:rsid w:val="003E49B8"/>
    <w:rsid w:val="003E4EE8"/>
    <w:rsid w:val="003E681E"/>
    <w:rsid w:val="003E6914"/>
    <w:rsid w:val="003F17CA"/>
    <w:rsid w:val="003F24EB"/>
    <w:rsid w:val="003F3CED"/>
    <w:rsid w:val="003F4AC1"/>
    <w:rsid w:val="00400D7D"/>
    <w:rsid w:val="00402052"/>
    <w:rsid w:val="004026ED"/>
    <w:rsid w:val="00402911"/>
    <w:rsid w:val="00403EB2"/>
    <w:rsid w:val="004044DD"/>
    <w:rsid w:val="0040476F"/>
    <w:rsid w:val="00407096"/>
    <w:rsid w:val="0040752F"/>
    <w:rsid w:val="00407547"/>
    <w:rsid w:val="004100DD"/>
    <w:rsid w:val="00410338"/>
    <w:rsid w:val="00410B73"/>
    <w:rsid w:val="004124A5"/>
    <w:rsid w:val="00412677"/>
    <w:rsid w:val="00412CFF"/>
    <w:rsid w:val="00413A82"/>
    <w:rsid w:val="004141EC"/>
    <w:rsid w:val="00414ACD"/>
    <w:rsid w:val="00414DD8"/>
    <w:rsid w:val="00415343"/>
    <w:rsid w:val="00415DC1"/>
    <w:rsid w:val="00416B15"/>
    <w:rsid w:val="00416CFF"/>
    <w:rsid w:val="00417457"/>
    <w:rsid w:val="00420FD0"/>
    <w:rsid w:val="004213D2"/>
    <w:rsid w:val="004236B9"/>
    <w:rsid w:val="004258AE"/>
    <w:rsid w:val="00425F08"/>
    <w:rsid w:val="00426541"/>
    <w:rsid w:val="0042715D"/>
    <w:rsid w:val="00427178"/>
    <w:rsid w:val="00431188"/>
    <w:rsid w:val="0043346E"/>
    <w:rsid w:val="0043384F"/>
    <w:rsid w:val="00433A22"/>
    <w:rsid w:val="00433DE1"/>
    <w:rsid w:val="00434FF6"/>
    <w:rsid w:val="00437FF5"/>
    <w:rsid w:val="004418E4"/>
    <w:rsid w:val="00442222"/>
    <w:rsid w:val="0044254C"/>
    <w:rsid w:val="00442653"/>
    <w:rsid w:val="004432B3"/>
    <w:rsid w:val="00443981"/>
    <w:rsid w:val="00444D5C"/>
    <w:rsid w:val="00445F97"/>
    <w:rsid w:val="004469EF"/>
    <w:rsid w:val="00450615"/>
    <w:rsid w:val="004516A0"/>
    <w:rsid w:val="004522ED"/>
    <w:rsid w:val="0045254B"/>
    <w:rsid w:val="00453870"/>
    <w:rsid w:val="00455379"/>
    <w:rsid w:val="00457934"/>
    <w:rsid w:val="00457C95"/>
    <w:rsid w:val="004601AA"/>
    <w:rsid w:val="00460EEE"/>
    <w:rsid w:val="00461494"/>
    <w:rsid w:val="00461C13"/>
    <w:rsid w:val="00463933"/>
    <w:rsid w:val="0046440D"/>
    <w:rsid w:val="00466914"/>
    <w:rsid w:val="00466975"/>
    <w:rsid w:val="00466E64"/>
    <w:rsid w:val="00470590"/>
    <w:rsid w:val="0047171E"/>
    <w:rsid w:val="00471DF7"/>
    <w:rsid w:val="004726BE"/>
    <w:rsid w:val="00472915"/>
    <w:rsid w:val="004731C6"/>
    <w:rsid w:val="00473B51"/>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87DFC"/>
    <w:rsid w:val="0049210B"/>
    <w:rsid w:val="00492C5A"/>
    <w:rsid w:val="0049443A"/>
    <w:rsid w:val="00494733"/>
    <w:rsid w:val="00494DAA"/>
    <w:rsid w:val="00494F06"/>
    <w:rsid w:val="00497FFE"/>
    <w:rsid w:val="004A058F"/>
    <w:rsid w:val="004A1975"/>
    <w:rsid w:val="004A19DA"/>
    <w:rsid w:val="004A1AF9"/>
    <w:rsid w:val="004A3E6D"/>
    <w:rsid w:val="004A43AD"/>
    <w:rsid w:val="004A556E"/>
    <w:rsid w:val="004A63BA"/>
    <w:rsid w:val="004A7C65"/>
    <w:rsid w:val="004B01E2"/>
    <w:rsid w:val="004B23E3"/>
    <w:rsid w:val="004B3888"/>
    <w:rsid w:val="004B3C5C"/>
    <w:rsid w:val="004B3F72"/>
    <w:rsid w:val="004B47AD"/>
    <w:rsid w:val="004B63B2"/>
    <w:rsid w:val="004C02AC"/>
    <w:rsid w:val="004C0DEC"/>
    <w:rsid w:val="004C1707"/>
    <w:rsid w:val="004C1A08"/>
    <w:rsid w:val="004C356F"/>
    <w:rsid w:val="004C489A"/>
    <w:rsid w:val="004C51A8"/>
    <w:rsid w:val="004C56E8"/>
    <w:rsid w:val="004C5781"/>
    <w:rsid w:val="004C5D92"/>
    <w:rsid w:val="004C5DF2"/>
    <w:rsid w:val="004D07B3"/>
    <w:rsid w:val="004D1AFC"/>
    <w:rsid w:val="004D1F9A"/>
    <w:rsid w:val="004D20C9"/>
    <w:rsid w:val="004D322A"/>
    <w:rsid w:val="004D60F9"/>
    <w:rsid w:val="004D6839"/>
    <w:rsid w:val="004D694B"/>
    <w:rsid w:val="004E0646"/>
    <w:rsid w:val="004E235D"/>
    <w:rsid w:val="004E300C"/>
    <w:rsid w:val="004E44AF"/>
    <w:rsid w:val="004F7F05"/>
    <w:rsid w:val="0050113E"/>
    <w:rsid w:val="005026F4"/>
    <w:rsid w:val="00504F0F"/>
    <w:rsid w:val="00510761"/>
    <w:rsid w:val="00510A20"/>
    <w:rsid w:val="0051443D"/>
    <w:rsid w:val="00515383"/>
    <w:rsid w:val="00515A37"/>
    <w:rsid w:val="00515C83"/>
    <w:rsid w:val="00515F19"/>
    <w:rsid w:val="00516272"/>
    <w:rsid w:val="005175E8"/>
    <w:rsid w:val="00521239"/>
    <w:rsid w:val="00522184"/>
    <w:rsid w:val="005226A3"/>
    <w:rsid w:val="00522E8C"/>
    <w:rsid w:val="00523724"/>
    <w:rsid w:val="00525077"/>
    <w:rsid w:val="00527113"/>
    <w:rsid w:val="00531725"/>
    <w:rsid w:val="00532626"/>
    <w:rsid w:val="00532E2C"/>
    <w:rsid w:val="005346EE"/>
    <w:rsid w:val="00535AEA"/>
    <w:rsid w:val="0053655A"/>
    <w:rsid w:val="00537E88"/>
    <w:rsid w:val="00540A89"/>
    <w:rsid w:val="005415B4"/>
    <w:rsid w:val="0054329E"/>
    <w:rsid w:val="005435EA"/>
    <w:rsid w:val="00543664"/>
    <w:rsid w:val="005455D8"/>
    <w:rsid w:val="00546610"/>
    <w:rsid w:val="00550099"/>
    <w:rsid w:val="0055132B"/>
    <w:rsid w:val="005513FC"/>
    <w:rsid w:val="005518E8"/>
    <w:rsid w:val="0055215F"/>
    <w:rsid w:val="0055221A"/>
    <w:rsid w:val="00560190"/>
    <w:rsid w:val="0056080D"/>
    <w:rsid w:val="00562215"/>
    <w:rsid w:val="0056287E"/>
    <w:rsid w:val="00563574"/>
    <w:rsid w:val="00563B1F"/>
    <w:rsid w:val="00563F77"/>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5401"/>
    <w:rsid w:val="005862B4"/>
    <w:rsid w:val="00586903"/>
    <w:rsid w:val="00590CAF"/>
    <w:rsid w:val="00592438"/>
    <w:rsid w:val="00592972"/>
    <w:rsid w:val="0059329D"/>
    <w:rsid w:val="00593B81"/>
    <w:rsid w:val="005948E5"/>
    <w:rsid w:val="0059678B"/>
    <w:rsid w:val="005A0428"/>
    <w:rsid w:val="005A0A55"/>
    <w:rsid w:val="005A1ADD"/>
    <w:rsid w:val="005A1FB9"/>
    <w:rsid w:val="005A201A"/>
    <w:rsid w:val="005A579F"/>
    <w:rsid w:val="005A686A"/>
    <w:rsid w:val="005A6B99"/>
    <w:rsid w:val="005A719A"/>
    <w:rsid w:val="005A748A"/>
    <w:rsid w:val="005B064B"/>
    <w:rsid w:val="005B08E3"/>
    <w:rsid w:val="005B3AE8"/>
    <w:rsid w:val="005B441D"/>
    <w:rsid w:val="005B4D16"/>
    <w:rsid w:val="005B61D7"/>
    <w:rsid w:val="005B708E"/>
    <w:rsid w:val="005C031D"/>
    <w:rsid w:val="005C0344"/>
    <w:rsid w:val="005C3AFC"/>
    <w:rsid w:val="005C3CFA"/>
    <w:rsid w:val="005C43D2"/>
    <w:rsid w:val="005C5288"/>
    <w:rsid w:val="005C75D7"/>
    <w:rsid w:val="005D0942"/>
    <w:rsid w:val="005D0E5A"/>
    <w:rsid w:val="005D1063"/>
    <w:rsid w:val="005D1CE0"/>
    <w:rsid w:val="005D22FF"/>
    <w:rsid w:val="005D25C0"/>
    <w:rsid w:val="005D35D5"/>
    <w:rsid w:val="005D480C"/>
    <w:rsid w:val="005D4B4E"/>
    <w:rsid w:val="005D6209"/>
    <w:rsid w:val="005D64CB"/>
    <w:rsid w:val="005D6D53"/>
    <w:rsid w:val="005E25A1"/>
    <w:rsid w:val="005E2A6A"/>
    <w:rsid w:val="005E321D"/>
    <w:rsid w:val="005E3D6A"/>
    <w:rsid w:val="005E50AA"/>
    <w:rsid w:val="005E553F"/>
    <w:rsid w:val="005E5FE6"/>
    <w:rsid w:val="005E72BB"/>
    <w:rsid w:val="005E74A2"/>
    <w:rsid w:val="005E7E72"/>
    <w:rsid w:val="005F1E31"/>
    <w:rsid w:val="005F254D"/>
    <w:rsid w:val="005F31A9"/>
    <w:rsid w:val="005F4AD6"/>
    <w:rsid w:val="005F53DF"/>
    <w:rsid w:val="005F686E"/>
    <w:rsid w:val="005F68D3"/>
    <w:rsid w:val="005F6A47"/>
    <w:rsid w:val="005F6D99"/>
    <w:rsid w:val="005F7ED6"/>
    <w:rsid w:val="006008C6"/>
    <w:rsid w:val="00600BB3"/>
    <w:rsid w:val="00601B38"/>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DC7"/>
    <w:rsid w:val="00626130"/>
    <w:rsid w:val="00627135"/>
    <w:rsid w:val="00630F07"/>
    <w:rsid w:val="00632B55"/>
    <w:rsid w:val="00633147"/>
    <w:rsid w:val="00633B7F"/>
    <w:rsid w:val="00636F49"/>
    <w:rsid w:val="006372A3"/>
    <w:rsid w:val="0064020D"/>
    <w:rsid w:val="00640702"/>
    <w:rsid w:val="0064115C"/>
    <w:rsid w:val="006414CC"/>
    <w:rsid w:val="0064347E"/>
    <w:rsid w:val="00643B96"/>
    <w:rsid w:val="0064571F"/>
    <w:rsid w:val="00650250"/>
    <w:rsid w:val="0065041B"/>
    <w:rsid w:val="00651F2C"/>
    <w:rsid w:val="006532C0"/>
    <w:rsid w:val="00654D8D"/>
    <w:rsid w:val="00655B00"/>
    <w:rsid w:val="00655DFA"/>
    <w:rsid w:val="006560A2"/>
    <w:rsid w:val="00656190"/>
    <w:rsid w:val="0065651D"/>
    <w:rsid w:val="006578DA"/>
    <w:rsid w:val="006579D1"/>
    <w:rsid w:val="00657B78"/>
    <w:rsid w:val="006637F8"/>
    <w:rsid w:val="0066403E"/>
    <w:rsid w:val="00664494"/>
    <w:rsid w:val="00665D59"/>
    <w:rsid w:val="00665EED"/>
    <w:rsid w:val="0067019E"/>
    <w:rsid w:val="00672E84"/>
    <w:rsid w:val="0067484B"/>
    <w:rsid w:val="00674D22"/>
    <w:rsid w:val="0067644C"/>
    <w:rsid w:val="006764C9"/>
    <w:rsid w:val="0068071C"/>
    <w:rsid w:val="006809FB"/>
    <w:rsid w:val="00680CCF"/>
    <w:rsid w:val="0068323F"/>
    <w:rsid w:val="006833DE"/>
    <w:rsid w:val="00683D97"/>
    <w:rsid w:val="006844FE"/>
    <w:rsid w:val="006859E2"/>
    <w:rsid w:val="00686BAC"/>
    <w:rsid w:val="00691126"/>
    <w:rsid w:val="006911D3"/>
    <w:rsid w:val="00691556"/>
    <w:rsid w:val="006929E3"/>
    <w:rsid w:val="006970F6"/>
    <w:rsid w:val="006A1C59"/>
    <w:rsid w:val="006A2892"/>
    <w:rsid w:val="006A2B6F"/>
    <w:rsid w:val="006A59C7"/>
    <w:rsid w:val="006A5B22"/>
    <w:rsid w:val="006A64D9"/>
    <w:rsid w:val="006B023A"/>
    <w:rsid w:val="006B0FF1"/>
    <w:rsid w:val="006B17B3"/>
    <w:rsid w:val="006B1942"/>
    <w:rsid w:val="006B243C"/>
    <w:rsid w:val="006B28BF"/>
    <w:rsid w:val="006B3BCC"/>
    <w:rsid w:val="006B3BF2"/>
    <w:rsid w:val="006B4AEE"/>
    <w:rsid w:val="006B66AE"/>
    <w:rsid w:val="006B6CCF"/>
    <w:rsid w:val="006B73A8"/>
    <w:rsid w:val="006B7477"/>
    <w:rsid w:val="006B77A4"/>
    <w:rsid w:val="006B7F06"/>
    <w:rsid w:val="006C4191"/>
    <w:rsid w:val="006C4E9E"/>
    <w:rsid w:val="006C5464"/>
    <w:rsid w:val="006C5F7B"/>
    <w:rsid w:val="006C641B"/>
    <w:rsid w:val="006C6BD9"/>
    <w:rsid w:val="006C75CB"/>
    <w:rsid w:val="006C778E"/>
    <w:rsid w:val="006D0519"/>
    <w:rsid w:val="006D07FA"/>
    <w:rsid w:val="006D21E3"/>
    <w:rsid w:val="006D24B0"/>
    <w:rsid w:val="006D4DBA"/>
    <w:rsid w:val="006D579F"/>
    <w:rsid w:val="006D676C"/>
    <w:rsid w:val="006E02A3"/>
    <w:rsid w:val="006E22A9"/>
    <w:rsid w:val="006E669B"/>
    <w:rsid w:val="006E6BF6"/>
    <w:rsid w:val="006F0750"/>
    <w:rsid w:val="006F240A"/>
    <w:rsid w:val="006F2FF2"/>
    <w:rsid w:val="006F316E"/>
    <w:rsid w:val="006F5AEA"/>
    <w:rsid w:val="006F6B57"/>
    <w:rsid w:val="006F7FFD"/>
    <w:rsid w:val="00701E3E"/>
    <w:rsid w:val="0070244A"/>
    <w:rsid w:val="00702BB3"/>
    <w:rsid w:val="007042B7"/>
    <w:rsid w:val="00704853"/>
    <w:rsid w:val="007050D7"/>
    <w:rsid w:val="007116DD"/>
    <w:rsid w:val="00712225"/>
    <w:rsid w:val="00713C69"/>
    <w:rsid w:val="007153E5"/>
    <w:rsid w:val="00716D8E"/>
    <w:rsid w:val="007177A0"/>
    <w:rsid w:val="00720D94"/>
    <w:rsid w:val="00721E21"/>
    <w:rsid w:val="007241EC"/>
    <w:rsid w:val="00727790"/>
    <w:rsid w:val="00727BFF"/>
    <w:rsid w:val="00731036"/>
    <w:rsid w:val="007317B5"/>
    <w:rsid w:val="00732AF4"/>
    <w:rsid w:val="00732BA1"/>
    <w:rsid w:val="0073447B"/>
    <w:rsid w:val="00735FDE"/>
    <w:rsid w:val="007365C1"/>
    <w:rsid w:val="00737B54"/>
    <w:rsid w:val="00741D06"/>
    <w:rsid w:val="00742F9E"/>
    <w:rsid w:val="00744CC1"/>
    <w:rsid w:val="0074614E"/>
    <w:rsid w:val="0074651A"/>
    <w:rsid w:val="00747C2A"/>
    <w:rsid w:val="007512BA"/>
    <w:rsid w:val="00751FA7"/>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4DFA"/>
    <w:rsid w:val="00765024"/>
    <w:rsid w:val="00765223"/>
    <w:rsid w:val="00765ED8"/>
    <w:rsid w:val="007663BB"/>
    <w:rsid w:val="007667D0"/>
    <w:rsid w:val="00766945"/>
    <w:rsid w:val="00771C3C"/>
    <w:rsid w:val="00776098"/>
    <w:rsid w:val="00776344"/>
    <w:rsid w:val="00781282"/>
    <w:rsid w:val="0078257B"/>
    <w:rsid w:val="00782D12"/>
    <w:rsid w:val="00786120"/>
    <w:rsid w:val="007874EA"/>
    <w:rsid w:val="00792B50"/>
    <w:rsid w:val="007940CD"/>
    <w:rsid w:val="00795C00"/>
    <w:rsid w:val="007A0DA1"/>
    <w:rsid w:val="007A1714"/>
    <w:rsid w:val="007A4356"/>
    <w:rsid w:val="007A5EAD"/>
    <w:rsid w:val="007A7A39"/>
    <w:rsid w:val="007A7FD0"/>
    <w:rsid w:val="007B08D7"/>
    <w:rsid w:val="007B1637"/>
    <w:rsid w:val="007B20FE"/>
    <w:rsid w:val="007B22C0"/>
    <w:rsid w:val="007B5031"/>
    <w:rsid w:val="007B645B"/>
    <w:rsid w:val="007B71CE"/>
    <w:rsid w:val="007B7DD0"/>
    <w:rsid w:val="007C09E6"/>
    <w:rsid w:val="007C0DCD"/>
    <w:rsid w:val="007C2FFD"/>
    <w:rsid w:val="007C518B"/>
    <w:rsid w:val="007C59E2"/>
    <w:rsid w:val="007C5AD1"/>
    <w:rsid w:val="007C6155"/>
    <w:rsid w:val="007D1652"/>
    <w:rsid w:val="007D4596"/>
    <w:rsid w:val="007D51B2"/>
    <w:rsid w:val="007D5400"/>
    <w:rsid w:val="007D763B"/>
    <w:rsid w:val="007D7AEE"/>
    <w:rsid w:val="007E1265"/>
    <w:rsid w:val="007E1DD7"/>
    <w:rsid w:val="007E2F37"/>
    <w:rsid w:val="007E3879"/>
    <w:rsid w:val="007E3AD7"/>
    <w:rsid w:val="007E5814"/>
    <w:rsid w:val="007E7E8C"/>
    <w:rsid w:val="007F16AD"/>
    <w:rsid w:val="007F3A5B"/>
    <w:rsid w:val="007F460F"/>
    <w:rsid w:val="007F59CB"/>
    <w:rsid w:val="007F5BD3"/>
    <w:rsid w:val="007F6F8A"/>
    <w:rsid w:val="007F7247"/>
    <w:rsid w:val="007F7829"/>
    <w:rsid w:val="0080006E"/>
    <w:rsid w:val="00800649"/>
    <w:rsid w:val="0080153B"/>
    <w:rsid w:val="00802C1D"/>
    <w:rsid w:val="008039C4"/>
    <w:rsid w:val="00803D6B"/>
    <w:rsid w:val="00803E0A"/>
    <w:rsid w:val="008048C7"/>
    <w:rsid w:val="008054B8"/>
    <w:rsid w:val="00812D66"/>
    <w:rsid w:val="00814D1D"/>
    <w:rsid w:val="008169AD"/>
    <w:rsid w:val="00816A14"/>
    <w:rsid w:val="00816DFA"/>
    <w:rsid w:val="008171DC"/>
    <w:rsid w:val="00821455"/>
    <w:rsid w:val="00824785"/>
    <w:rsid w:val="00826165"/>
    <w:rsid w:val="008264D3"/>
    <w:rsid w:val="00826C40"/>
    <w:rsid w:val="00835392"/>
    <w:rsid w:val="0083561B"/>
    <w:rsid w:val="00840275"/>
    <w:rsid w:val="00840543"/>
    <w:rsid w:val="008410FE"/>
    <w:rsid w:val="00843C78"/>
    <w:rsid w:val="00844F63"/>
    <w:rsid w:val="00846098"/>
    <w:rsid w:val="00846C7D"/>
    <w:rsid w:val="0085006F"/>
    <w:rsid w:val="008513BD"/>
    <w:rsid w:val="0085378F"/>
    <w:rsid w:val="008545C2"/>
    <w:rsid w:val="0085463D"/>
    <w:rsid w:val="008546A4"/>
    <w:rsid w:val="00855242"/>
    <w:rsid w:val="00855443"/>
    <w:rsid w:val="00856545"/>
    <w:rsid w:val="008567A3"/>
    <w:rsid w:val="00857C4E"/>
    <w:rsid w:val="008616AF"/>
    <w:rsid w:val="008646D1"/>
    <w:rsid w:val="00864BFE"/>
    <w:rsid w:val="00866390"/>
    <w:rsid w:val="00866971"/>
    <w:rsid w:val="0087206B"/>
    <w:rsid w:val="008732BC"/>
    <w:rsid w:val="00874764"/>
    <w:rsid w:val="008774C3"/>
    <w:rsid w:val="00877F17"/>
    <w:rsid w:val="00881C93"/>
    <w:rsid w:val="008825FD"/>
    <w:rsid w:val="00882726"/>
    <w:rsid w:val="00882785"/>
    <w:rsid w:val="00882AEB"/>
    <w:rsid w:val="00885BB3"/>
    <w:rsid w:val="0088600B"/>
    <w:rsid w:val="00886720"/>
    <w:rsid w:val="00886AA2"/>
    <w:rsid w:val="00887812"/>
    <w:rsid w:val="00887979"/>
    <w:rsid w:val="008906B7"/>
    <w:rsid w:val="0089098C"/>
    <w:rsid w:val="0089098E"/>
    <w:rsid w:val="0089236B"/>
    <w:rsid w:val="0089250D"/>
    <w:rsid w:val="00893B20"/>
    <w:rsid w:val="00893F46"/>
    <w:rsid w:val="00896496"/>
    <w:rsid w:val="00896674"/>
    <w:rsid w:val="0089674A"/>
    <w:rsid w:val="008A118E"/>
    <w:rsid w:val="008A15ED"/>
    <w:rsid w:val="008A1FEF"/>
    <w:rsid w:val="008A28E9"/>
    <w:rsid w:val="008A3457"/>
    <w:rsid w:val="008A4330"/>
    <w:rsid w:val="008A4BC9"/>
    <w:rsid w:val="008B0472"/>
    <w:rsid w:val="008B0892"/>
    <w:rsid w:val="008B08C3"/>
    <w:rsid w:val="008B2D51"/>
    <w:rsid w:val="008B3A42"/>
    <w:rsid w:val="008B6D25"/>
    <w:rsid w:val="008B6DE1"/>
    <w:rsid w:val="008B7443"/>
    <w:rsid w:val="008C2A2F"/>
    <w:rsid w:val="008C357E"/>
    <w:rsid w:val="008C3BB1"/>
    <w:rsid w:val="008C4838"/>
    <w:rsid w:val="008C49B4"/>
    <w:rsid w:val="008C5105"/>
    <w:rsid w:val="008C6483"/>
    <w:rsid w:val="008C6EE3"/>
    <w:rsid w:val="008D1173"/>
    <w:rsid w:val="008D4C70"/>
    <w:rsid w:val="008D5DE4"/>
    <w:rsid w:val="008D7B99"/>
    <w:rsid w:val="008E1039"/>
    <w:rsid w:val="008E11E4"/>
    <w:rsid w:val="008E275B"/>
    <w:rsid w:val="008E2D1F"/>
    <w:rsid w:val="008E34A6"/>
    <w:rsid w:val="008E3E9C"/>
    <w:rsid w:val="008E4D5B"/>
    <w:rsid w:val="008E5581"/>
    <w:rsid w:val="008E5839"/>
    <w:rsid w:val="008E5A3D"/>
    <w:rsid w:val="008F08C5"/>
    <w:rsid w:val="008F13D6"/>
    <w:rsid w:val="008F1E79"/>
    <w:rsid w:val="008F2CBF"/>
    <w:rsid w:val="008F39DD"/>
    <w:rsid w:val="008F5717"/>
    <w:rsid w:val="008F588F"/>
    <w:rsid w:val="008F65D3"/>
    <w:rsid w:val="008F732C"/>
    <w:rsid w:val="008F775F"/>
    <w:rsid w:val="009004A8"/>
    <w:rsid w:val="00900727"/>
    <w:rsid w:val="009027D5"/>
    <w:rsid w:val="0090291D"/>
    <w:rsid w:val="00903814"/>
    <w:rsid w:val="00903885"/>
    <w:rsid w:val="00904D47"/>
    <w:rsid w:val="00905112"/>
    <w:rsid w:val="00907165"/>
    <w:rsid w:val="00907912"/>
    <w:rsid w:val="009100E7"/>
    <w:rsid w:val="00910177"/>
    <w:rsid w:val="00911003"/>
    <w:rsid w:val="009113AB"/>
    <w:rsid w:val="0091189C"/>
    <w:rsid w:val="009121BD"/>
    <w:rsid w:val="0091297A"/>
    <w:rsid w:val="00913468"/>
    <w:rsid w:val="0091535D"/>
    <w:rsid w:val="009163C0"/>
    <w:rsid w:val="00916D97"/>
    <w:rsid w:val="00916E35"/>
    <w:rsid w:val="00916F98"/>
    <w:rsid w:val="009172F3"/>
    <w:rsid w:val="00917401"/>
    <w:rsid w:val="009203C2"/>
    <w:rsid w:val="0092233B"/>
    <w:rsid w:val="00923570"/>
    <w:rsid w:val="0092530C"/>
    <w:rsid w:val="00926A71"/>
    <w:rsid w:val="009271C7"/>
    <w:rsid w:val="00931CEF"/>
    <w:rsid w:val="009332B6"/>
    <w:rsid w:val="009332C7"/>
    <w:rsid w:val="0093340F"/>
    <w:rsid w:val="00933715"/>
    <w:rsid w:val="0093397C"/>
    <w:rsid w:val="00934C3F"/>
    <w:rsid w:val="00935064"/>
    <w:rsid w:val="009363AC"/>
    <w:rsid w:val="0094074E"/>
    <w:rsid w:val="0094083C"/>
    <w:rsid w:val="00945C86"/>
    <w:rsid w:val="00947153"/>
    <w:rsid w:val="009478E4"/>
    <w:rsid w:val="00950158"/>
    <w:rsid w:val="0095016A"/>
    <w:rsid w:val="00950A41"/>
    <w:rsid w:val="00953A53"/>
    <w:rsid w:val="00954137"/>
    <w:rsid w:val="0095424D"/>
    <w:rsid w:val="00956311"/>
    <w:rsid w:val="009608AB"/>
    <w:rsid w:val="00960FFA"/>
    <w:rsid w:val="009612BA"/>
    <w:rsid w:val="0096335B"/>
    <w:rsid w:val="0096385C"/>
    <w:rsid w:val="009645BC"/>
    <w:rsid w:val="00965448"/>
    <w:rsid w:val="00965B17"/>
    <w:rsid w:val="009660D0"/>
    <w:rsid w:val="00966610"/>
    <w:rsid w:val="00966AD0"/>
    <w:rsid w:val="00967730"/>
    <w:rsid w:val="00967B71"/>
    <w:rsid w:val="00967C51"/>
    <w:rsid w:val="00970F2D"/>
    <w:rsid w:val="0097194A"/>
    <w:rsid w:val="00971D00"/>
    <w:rsid w:val="00971D6F"/>
    <w:rsid w:val="009733FE"/>
    <w:rsid w:val="0097370A"/>
    <w:rsid w:val="00975610"/>
    <w:rsid w:val="009761C8"/>
    <w:rsid w:val="00976891"/>
    <w:rsid w:val="00982F0A"/>
    <w:rsid w:val="00984AE2"/>
    <w:rsid w:val="009856D4"/>
    <w:rsid w:val="00985FD7"/>
    <w:rsid w:val="00986C82"/>
    <w:rsid w:val="00986CD4"/>
    <w:rsid w:val="00986F0B"/>
    <w:rsid w:val="009873DF"/>
    <w:rsid w:val="00991667"/>
    <w:rsid w:val="00991B19"/>
    <w:rsid w:val="0099262F"/>
    <w:rsid w:val="00992871"/>
    <w:rsid w:val="009932A3"/>
    <w:rsid w:val="00993E9D"/>
    <w:rsid w:val="00994C6A"/>
    <w:rsid w:val="0099592D"/>
    <w:rsid w:val="009973CC"/>
    <w:rsid w:val="009A041F"/>
    <w:rsid w:val="009A2357"/>
    <w:rsid w:val="009A286B"/>
    <w:rsid w:val="009A54C7"/>
    <w:rsid w:val="009A7172"/>
    <w:rsid w:val="009A7C48"/>
    <w:rsid w:val="009B1173"/>
    <w:rsid w:val="009B186D"/>
    <w:rsid w:val="009B187D"/>
    <w:rsid w:val="009B2B6E"/>
    <w:rsid w:val="009B3510"/>
    <w:rsid w:val="009B362D"/>
    <w:rsid w:val="009B3B52"/>
    <w:rsid w:val="009B4F99"/>
    <w:rsid w:val="009B56CE"/>
    <w:rsid w:val="009B58F4"/>
    <w:rsid w:val="009B591F"/>
    <w:rsid w:val="009B5F79"/>
    <w:rsid w:val="009B6411"/>
    <w:rsid w:val="009C093A"/>
    <w:rsid w:val="009C0B2D"/>
    <w:rsid w:val="009C1172"/>
    <w:rsid w:val="009C177F"/>
    <w:rsid w:val="009C23AB"/>
    <w:rsid w:val="009C2C88"/>
    <w:rsid w:val="009C483D"/>
    <w:rsid w:val="009C4D40"/>
    <w:rsid w:val="009C531C"/>
    <w:rsid w:val="009C5CC3"/>
    <w:rsid w:val="009C74FB"/>
    <w:rsid w:val="009C7A52"/>
    <w:rsid w:val="009D1680"/>
    <w:rsid w:val="009D29B3"/>
    <w:rsid w:val="009D3696"/>
    <w:rsid w:val="009D3A31"/>
    <w:rsid w:val="009D5635"/>
    <w:rsid w:val="009D5CE3"/>
    <w:rsid w:val="009D6719"/>
    <w:rsid w:val="009D7D9B"/>
    <w:rsid w:val="009E2661"/>
    <w:rsid w:val="009E37B5"/>
    <w:rsid w:val="009E40B0"/>
    <w:rsid w:val="009E420B"/>
    <w:rsid w:val="009E6CB2"/>
    <w:rsid w:val="009E7AEF"/>
    <w:rsid w:val="009F0D89"/>
    <w:rsid w:val="009F1CB7"/>
    <w:rsid w:val="009F3202"/>
    <w:rsid w:val="009F4B8F"/>
    <w:rsid w:val="009F6ACB"/>
    <w:rsid w:val="00A0015B"/>
    <w:rsid w:val="00A01DFB"/>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72B8"/>
    <w:rsid w:val="00A177B7"/>
    <w:rsid w:val="00A17FFE"/>
    <w:rsid w:val="00A21465"/>
    <w:rsid w:val="00A21A09"/>
    <w:rsid w:val="00A22135"/>
    <w:rsid w:val="00A25144"/>
    <w:rsid w:val="00A26445"/>
    <w:rsid w:val="00A26D48"/>
    <w:rsid w:val="00A26F24"/>
    <w:rsid w:val="00A2704C"/>
    <w:rsid w:val="00A27718"/>
    <w:rsid w:val="00A27F54"/>
    <w:rsid w:val="00A27FB2"/>
    <w:rsid w:val="00A30D84"/>
    <w:rsid w:val="00A30E76"/>
    <w:rsid w:val="00A31445"/>
    <w:rsid w:val="00A32E76"/>
    <w:rsid w:val="00A330AB"/>
    <w:rsid w:val="00A337EE"/>
    <w:rsid w:val="00A33B54"/>
    <w:rsid w:val="00A3682E"/>
    <w:rsid w:val="00A372C1"/>
    <w:rsid w:val="00A37C77"/>
    <w:rsid w:val="00A40F40"/>
    <w:rsid w:val="00A42919"/>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340"/>
    <w:rsid w:val="00A57857"/>
    <w:rsid w:val="00A616CF"/>
    <w:rsid w:val="00A61A7A"/>
    <w:rsid w:val="00A6385B"/>
    <w:rsid w:val="00A64255"/>
    <w:rsid w:val="00A64B50"/>
    <w:rsid w:val="00A64C98"/>
    <w:rsid w:val="00A66DC9"/>
    <w:rsid w:val="00A67038"/>
    <w:rsid w:val="00A67CEE"/>
    <w:rsid w:val="00A7101B"/>
    <w:rsid w:val="00A7131B"/>
    <w:rsid w:val="00A718AA"/>
    <w:rsid w:val="00A71B52"/>
    <w:rsid w:val="00A71BE5"/>
    <w:rsid w:val="00A720EA"/>
    <w:rsid w:val="00A7447C"/>
    <w:rsid w:val="00A748F1"/>
    <w:rsid w:val="00A74C76"/>
    <w:rsid w:val="00A75F61"/>
    <w:rsid w:val="00A77C81"/>
    <w:rsid w:val="00A817BB"/>
    <w:rsid w:val="00A82BBF"/>
    <w:rsid w:val="00A82C0B"/>
    <w:rsid w:val="00A83D15"/>
    <w:rsid w:val="00A83E37"/>
    <w:rsid w:val="00A84688"/>
    <w:rsid w:val="00A87CD7"/>
    <w:rsid w:val="00A915FE"/>
    <w:rsid w:val="00A9282E"/>
    <w:rsid w:val="00A92B6E"/>
    <w:rsid w:val="00A932A9"/>
    <w:rsid w:val="00A93BEF"/>
    <w:rsid w:val="00A94DF1"/>
    <w:rsid w:val="00A95D05"/>
    <w:rsid w:val="00A9725C"/>
    <w:rsid w:val="00A97C3E"/>
    <w:rsid w:val="00AA0446"/>
    <w:rsid w:val="00AA1E32"/>
    <w:rsid w:val="00AA3B68"/>
    <w:rsid w:val="00AA3C5C"/>
    <w:rsid w:val="00AA51C4"/>
    <w:rsid w:val="00AA5824"/>
    <w:rsid w:val="00AA6324"/>
    <w:rsid w:val="00AA72F7"/>
    <w:rsid w:val="00AB07E4"/>
    <w:rsid w:val="00AB25C8"/>
    <w:rsid w:val="00AB266F"/>
    <w:rsid w:val="00AB2F92"/>
    <w:rsid w:val="00AB3340"/>
    <w:rsid w:val="00AB41E8"/>
    <w:rsid w:val="00AB53D5"/>
    <w:rsid w:val="00AB6B93"/>
    <w:rsid w:val="00AB785F"/>
    <w:rsid w:val="00AC1378"/>
    <w:rsid w:val="00AC2F50"/>
    <w:rsid w:val="00AC42D0"/>
    <w:rsid w:val="00AC42E3"/>
    <w:rsid w:val="00AC4E5E"/>
    <w:rsid w:val="00AC6B1F"/>
    <w:rsid w:val="00AC7DD5"/>
    <w:rsid w:val="00AD0697"/>
    <w:rsid w:val="00AD0E97"/>
    <w:rsid w:val="00AD1560"/>
    <w:rsid w:val="00AD1A01"/>
    <w:rsid w:val="00AD1ACB"/>
    <w:rsid w:val="00AD20E7"/>
    <w:rsid w:val="00AD27DF"/>
    <w:rsid w:val="00AD4E62"/>
    <w:rsid w:val="00AD67F1"/>
    <w:rsid w:val="00AD7C6D"/>
    <w:rsid w:val="00AE05A3"/>
    <w:rsid w:val="00AE2D74"/>
    <w:rsid w:val="00AE348F"/>
    <w:rsid w:val="00AE39A3"/>
    <w:rsid w:val="00AE3D33"/>
    <w:rsid w:val="00AE452D"/>
    <w:rsid w:val="00AE5EEF"/>
    <w:rsid w:val="00AE63FE"/>
    <w:rsid w:val="00AE6525"/>
    <w:rsid w:val="00AF2026"/>
    <w:rsid w:val="00AF2333"/>
    <w:rsid w:val="00AF4637"/>
    <w:rsid w:val="00AF46AA"/>
    <w:rsid w:val="00AF4D8A"/>
    <w:rsid w:val="00AF5548"/>
    <w:rsid w:val="00AF5D4C"/>
    <w:rsid w:val="00AF6823"/>
    <w:rsid w:val="00AF7171"/>
    <w:rsid w:val="00AF73C2"/>
    <w:rsid w:val="00AF79CF"/>
    <w:rsid w:val="00B010BE"/>
    <w:rsid w:val="00B06314"/>
    <w:rsid w:val="00B06C1F"/>
    <w:rsid w:val="00B07458"/>
    <w:rsid w:val="00B105F2"/>
    <w:rsid w:val="00B129D9"/>
    <w:rsid w:val="00B13CE2"/>
    <w:rsid w:val="00B1587D"/>
    <w:rsid w:val="00B159FF"/>
    <w:rsid w:val="00B15CBB"/>
    <w:rsid w:val="00B15F49"/>
    <w:rsid w:val="00B1641A"/>
    <w:rsid w:val="00B165F2"/>
    <w:rsid w:val="00B175C7"/>
    <w:rsid w:val="00B1765C"/>
    <w:rsid w:val="00B216E5"/>
    <w:rsid w:val="00B232AB"/>
    <w:rsid w:val="00B24118"/>
    <w:rsid w:val="00B24DA9"/>
    <w:rsid w:val="00B25B6A"/>
    <w:rsid w:val="00B26AE4"/>
    <w:rsid w:val="00B27354"/>
    <w:rsid w:val="00B277C8"/>
    <w:rsid w:val="00B316F4"/>
    <w:rsid w:val="00B32D16"/>
    <w:rsid w:val="00B3355F"/>
    <w:rsid w:val="00B338D2"/>
    <w:rsid w:val="00B345D6"/>
    <w:rsid w:val="00B3671E"/>
    <w:rsid w:val="00B375CE"/>
    <w:rsid w:val="00B40740"/>
    <w:rsid w:val="00B40B33"/>
    <w:rsid w:val="00B40CD8"/>
    <w:rsid w:val="00B43602"/>
    <w:rsid w:val="00B4388F"/>
    <w:rsid w:val="00B44720"/>
    <w:rsid w:val="00B463D1"/>
    <w:rsid w:val="00B474A5"/>
    <w:rsid w:val="00B510FC"/>
    <w:rsid w:val="00B51674"/>
    <w:rsid w:val="00B52A1D"/>
    <w:rsid w:val="00B52E81"/>
    <w:rsid w:val="00B54967"/>
    <w:rsid w:val="00B54BE8"/>
    <w:rsid w:val="00B550E4"/>
    <w:rsid w:val="00B552B8"/>
    <w:rsid w:val="00B558E3"/>
    <w:rsid w:val="00B55B03"/>
    <w:rsid w:val="00B56CF1"/>
    <w:rsid w:val="00B57233"/>
    <w:rsid w:val="00B57B19"/>
    <w:rsid w:val="00B57BB1"/>
    <w:rsid w:val="00B57EFA"/>
    <w:rsid w:val="00B604EE"/>
    <w:rsid w:val="00B61252"/>
    <w:rsid w:val="00B6283B"/>
    <w:rsid w:val="00B63102"/>
    <w:rsid w:val="00B6327E"/>
    <w:rsid w:val="00B647B6"/>
    <w:rsid w:val="00B647F0"/>
    <w:rsid w:val="00B655E1"/>
    <w:rsid w:val="00B66737"/>
    <w:rsid w:val="00B70FD2"/>
    <w:rsid w:val="00B7181F"/>
    <w:rsid w:val="00B72380"/>
    <w:rsid w:val="00B7449E"/>
    <w:rsid w:val="00B74886"/>
    <w:rsid w:val="00B75D3A"/>
    <w:rsid w:val="00B7614C"/>
    <w:rsid w:val="00B77968"/>
    <w:rsid w:val="00B77AAE"/>
    <w:rsid w:val="00B801C2"/>
    <w:rsid w:val="00B80CCB"/>
    <w:rsid w:val="00B82DC6"/>
    <w:rsid w:val="00B85CE4"/>
    <w:rsid w:val="00B86355"/>
    <w:rsid w:val="00B869AB"/>
    <w:rsid w:val="00B871DC"/>
    <w:rsid w:val="00B8748E"/>
    <w:rsid w:val="00B90CDC"/>
    <w:rsid w:val="00B912CE"/>
    <w:rsid w:val="00B914ED"/>
    <w:rsid w:val="00B91F3C"/>
    <w:rsid w:val="00B924E1"/>
    <w:rsid w:val="00B93C6A"/>
    <w:rsid w:val="00B93F77"/>
    <w:rsid w:val="00B941C3"/>
    <w:rsid w:val="00B95D98"/>
    <w:rsid w:val="00B964F2"/>
    <w:rsid w:val="00B97A92"/>
    <w:rsid w:val="00BA042B"/>
    <w:rsid w:val="00BA15EE"/>
    <w:rsid w:val="00BA2F4C"/>
    <w:rsid w:val="00BA3013"/>
    <w:rsid w:val="00BA3C63"/>
    <w:rsid w:val="00BA4D66"/>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26A4"/>
    <w:rsid w:val="00BC2859"/>
    <w:rsid w:val="00BC33AD"/>
    <w:rsid w:val="00BC34F1"/>
    <w:rsid w:val="00BC4498"/>
    <w:rsid w:val="00BC4610"/>
    <w:rsid w:val="00BC4878"/>
    <w:rsid w:val="00BC48C5"/>
    <w:rsid w:val="00BC4F67"/>
    <w:rsid w:val="00BC5BDC"/>
    <w:rsid w:val="00BD1A67"/>
    <w:rsid w:val="00BD2572"/>
    <w:rsid w:val="00BD4046"/>
    <w:rsid w:val="00BD42DF"/>
    <w:rsid w:val="00BD478D"/>
    <w:rsid w:val="00BD66BD"/>
    <w:rsid w:val="00BD6CC2"/>
    <w:rsid w:val="00BD7A4E"/>
    <w:rsid w:val="00BD7C3E"/>
    <w:rsid w:val="00BE058B"/>
    <w:rsid w:val="00BE33A3"/>
    <w:rsid w:val="00BE3E71"/>
    <w:rsid w:val="00BE42D5"/>
    <w:rsid w:val="00BE508E"/>
    <w:rsid w:val="00BE6CA1"/>
    <w:rsid w:val="00BF0E25"/>
    <w:rsid w:val="00BF29FC"/>
    <w:rsid w:val="00BF3240"/>
    <w:rsid w:val="00BF4376"/>
    <w:rsid w:val="00BF43D5"/>
    <w:rsid w:val="00C02315"/>
    <w:rsid w:val="00C034DC"/>
    <w:rsid w:val="00C03E2E"/>
    <w:rsid w:val="00C04874"/>
    <w:rsid w:val="00C06B1E"/>
    <w:rsid w:val="00C0748C"/>
    <w:rsid w:val="00C07817"/>
    <w:rsid w:val="00C10DBF"/>
    <w:rsid w:val="00C12D15"/>
    <w:rsid w:val="00C13543"/>
    <w:rsid w:val="00C13D52"/>
    <w:rsid w:val="00C14A2B"/>
    <w:rsid w:val="00C16472"/>
    <w:rsid w:val="00C17DBE"/>
    <w:rsid w:val="00C22D6A"/>
    <w:rsid w:val="00C2347B"/>
    <w:rsid w:val="00C235D7"/>
    <w:rsid w:val="00C257D8"/>
    <w:rsid w:val="00C26B61"/>
    <w:rsid w:val="00C2709D"/>
    <w:rsid w:val="00C332B6"/>
    <w:rsid w:val="00C33484"/>
    <w:rsid w:val="00C343F5"/>
    <w:rsid w:val="00C346EF"/>
    <w:rsid w:val="00C351BE"/>
    <w:rsid w:val="00C36835"/>
    <w:rsid w:val="00C3703B"/>
    <w:rsid w:val="00C373AC"/>
    <w:rsid w:val="00C37600"/>
    <w:rsid w:val="00C37B9E"/>
    <w:rsid w:val="00C4001A"/>
    <w:rsid w:val="00C40E51"/>
    <w:rsid w:val="00C411FA"/>
    <w:rsid w:val="00C41336"/>
    <w:rsid w:val="00C41DA7"/>
    <w:rsid w:val="00C41EF8"/>
    <w:rsid w:val="00C422AA"/>
    <w:rsid w:val="00C424C3"/>
    <w:rsid w:val="00C437E4"/>
    <w:rsid w:val="00C50335"/>
    <w:rsid w:val="00C50D59"/>
    <w:rsid w:val="00C512C0"/>
    <w:rsid w:val="00C51368"/>
    <w:rsid w:val="00C5141D"/>
    <w:rsid w:val="00C51C25"/>
    <w:rsid w:val="00C53282"/>
    <w:rsid w:val="00C5437C"/>
    <w:rsid w:val="00C56CCD"/>
    <w:rsid w:val="00C6227D"/>
    <w:rsid w:val="00C6269B"/>
    <w:rsid w:val="00C630B9"/>
    <w:rsid w:val="00C66E1F"/>
    <w:rsid w:val="00C6758B"/>
    <w:rsid w:val="00C67E75"/>
    <w:rsid w:val="00C7005B"/>
    <w:rsid w:val="00C7016A"/>
    <w:rsid w:val="00C70385"/>
    <w:rsid w:val="00C728C4"/>
    <w:rsid w:val="00C72E76"/>
    <w:rsid w:val="00C72E95"/>
    <w:rsid w:val="00C741F0"/>
    <w:rsid w:val="00C7433F"/>
    <w:rsid w:val="00C74AE6"/>
    <w:rsid w:val="00C75019"/>
    <w:rsid w:val="00C75465"/>
    <w:rsid w:val="00C76F22"/>
    <w:rsid w:val="00C77B21"/>
    <w:rsid w:val="00C8222D"/>
    <w:rsid w:val="00C82302"/>
    <w:rsid w:val="00C8232A"/>
    <w:rsid w:val="00C844EE"/>
    <w:rsid w:val="00C8585E"/>
    <w:rsid w:val="00C8662D"/>
    <w:rsid w:val="00C86B01"/>
    <w:rsid w:val="00C91FE1"/>
    <w:rsid w:val="00C936C8"/>
    <w:rsid w:val="00C97B32"/>
    <w:rsid w:val="00CA272C"/>
    <w:rsid w:val="00CA2D94"/>
    <w:rsid w:val="00CA3B78"/>
    <w:rsid w:val="00CA4E21"/>
    <w:rsid w:val="00CA6A90"/>
    <w:rsid w:val="00CA7D00"/>
    <w:rsid w:val="00CB15E9"/>
    <w:rsid w:val="00CB1AE3"/>
    <w:rsid w:val="00CB2055"/>
    <w:rsid w:val="00CB5CC0"/>
    <w:rsid w:val="00CB640A"/>
    <w:rsid w:val="00CB6CB6"/>
    <w:rsid w:val="00CB7191"/>
    <w:rsid w:val="00CC459A"/>
    <w:rsid w:val="00CC56BB"/>
    <w:rsid w:val="00CC57DF"/>
    <w:rsid w:val="00CC66B1"/>
    <w:rsid w:val="00CC6D83"/>
    <w:rsid w:val="00CC7C6D"/>
    <w:rsid w:val="00CD0AFD"/>
    <w:rsid w:val="00CD0E31"/>
    <w:rsid w:val="00CD1774"/>
    <w:rsid w:val="00CD1D26"/>
    <w:rsid w:val="00CD3B23"/>
    <w:rsid w:val="00CD5690"/>
    <w:rsid w:val="00CD5B2E"/>
    <w:rsid w:val="00CD5FCC"/>
    <w:rsid w:val="00CD6668"/>
    <w:rsid w:val="00CD683C"/>
    <w:rsid w:val="00CD733F"/>
    <w:rsid w:val="00CE0612"/>
    <w:rsid w:val="00CE086A"/>
    <w:rsid w:val="00CE0E26"/>
    <w:rsid w:val="00CE110E"/>
    <w:rsid w:val="00CE2181"/>
    <w:rsid w:val="00CE2950"/>
    <w:rsid w:val="00CE2E7B"/>
    <w:rsid w:val="00CE3B7C"/>
    <w:rsid w:val="00CE5B25"/>
    <w:rsid w:val="00CE5B46"/>
    <w:rsid w:val="00CE5B80"/>
    <w:rsid w:val="00CE5BF6"/>
    <w:rsid w:val="00CE63D3"/>
    <w:rsid w:val="00CE700B"/>
    <w:rsid w:val="00CE7830"/>
    <w:rsid w:val="00CF0317"/>
    <w:rsid w:val="00CF38BF"/>
    <w:rsid w:val="00CF4976"/>
    <w:rsid w:val="00CF5A69"/>
    <w:rsid w:val="00CF676A"/>
    <w:rsid w:val="00D02B3A"/>
    <w:rsid w:val="00D04DFF"/>
    <w:rsid w:val="00D06BA3"/>
    <w:rsid w:val="00D07095"/>
    <w:rsid w:val="00D07F9B"/>
    <w:rsid w:val="00D107BE"/>
    <w:rsid w:val="00D10B29"/>
    <w:rsid w:val="00D10C10"/>
    <w:rsid w:val="00D11615"/>
    <w:rsid w:val="00D122BD"/>
    <w:rsid w:val="00D127ED"/>
    <w:rsid w:val="00D13C58"/>
    <w:rsid w:val="00D14125"/>
    <w:rsid w:val="00D14C69"/>
    <w:rsid w:val="00D14CF6"/>
    <w:rsid w:val="00D14EFF"/>
    <w:rsid w:val="00D159AF"/>
    <w:rsid w:val="00D15D38"/>
    <w:rsid w:val="00D21A8E"/>
    <w:rsid w:val="00D225E5"/>
    <w:rsid w:val="00D24189"/>
    <w:rsid w:val="00D25A59"/>
    <w:rsid w:val="00D26272"/>
    <w:rsid w:val="00D31C54"/>
    <w:rsid w:val="00D32A69"/>
    <w:rsid w:val="00D336E6"/>
    <w:rsid w:val="00D33720"/>
    <w:rsid w:val="00D3452D"/>
    <w:rsid w:val="00D3546B"/>
    <w:rsid w:val="00D37301"/>
    <w:rsid w:val="00D37CD3"/>
    <w:rsid w:val="00D40DF4"/>
    <w:rsid w:val="00D428E1"/>
    <w:rsid w:val="00D4305F"/>
    <w:rsid w:val="00D438DE"/>
    <w:rsid w:val="00D45046"/>
    <w:rsid w:val="00D467D4"/>
    <w:rsid w:val="00D46FED"/>
    <w:rsid w:val="00D477F0"/>
    <w:rsid w:val="00D47B38"/>
    <w:rsid w:val="00D47E0D"/>
    <w:rsid w:val="00D52A3A"/>
    <w:rsid w:val="00D54E5F"/>
    <w:rsid w:val="00D55AAD"/>
    <w:rsid w:val="00D55DF5"/>
    <w:rsid w:val="00D55F42"/>
    <w:rsid w:val="00D55F54"/>
    <w:rsid w:val="00D566B1"/>
    <w:rsid w:val="00D61DDC"/>
    <w:rsid w:val="00D63260"/>
    <w:rsid w:val="00D64997"/>
    <w:rsid w:val="00D64D8F"/>
    <w:rsid w:val="00D659DE"/>
    <w:rsid w:val="00D65B00"/>
    <w:rsid w:val="00D65D1F"/>
    <w:rsid w:val="00D65D5C"/>
    <w:rsid w:val="00D673A9"/>
    <w:rsid w:val="00D67DA3"/>
    <w:rsid w:val="00D70377"/>
    <w:rsid w:val="00D712C7"/>
    <w:rsid w:val="00D734D7"/>
    <w:rsid w:val="00D738F7"/>
    <w:rsid w:val="00D73B4A"/>
    <w:rsid w:val="00D75A18"/>
    <w:rsid w:val="00D75C30"/>
    <w:rsid w:val="00D760CE"/>
    <w:rsid w:val="00D76FB9"/>
    <w:rsid w:val="00D804A0"/>
    <w:rsid w:val="00D8055F"/>
    <w:rsid w:val="00D80C4B"/>
    <w:rsid w:val="00D80FA6"/>
    <w:rsid w:val="00D80FFE"/>
    <w:rsid w:val="00D84C98"/>
    <w:rsid w:val="00D85235"/>
    <w:rsid w:val="00D85BB9"/>
    <w:rsid w:val="00D85DEE"/>
    <w:rsid w:val="00D86DEC"/>
    <w:rsid w:val="00D87995"/>
    <w:rsid w:val="00D90575"/>
    <w:rsid w:val="00D94F5E"/>
    <w:rsid w:val="00D9537D"/>
    <w:rsid w:val="00D954B5"/>
    <w:rsid w:val="00D9599A"/>
    <w:rsid w:val="00DA2ABC"/>
    <w:rsid w:val="00DA2F45"/>
    <w:rsid w:val="00DA3D3C"/>
    <w:rsid w:val="00DA4B4C"/>
    <w:rsid w:val="00DA6D13"/>
    <w:rsid w:val="00DA78BB"/>
    <w:rsid w:val="00DB2776"/>
    <w:rsid w:val="00DB2D26"/>
    <w:rsid w:val="00DB2D65"/>
    <w:rsid w:val="00DB3D6F"/>
    <w:rsid w:val="00DB65C5"/>
    <w:rsid w:val="00DB6B01"/>
    <w:rsid w:val="00DB755F"/>
    <w:rsid w:val="00DC0477"/>
    <w:rsid w:val="00DC157A"/>
    <w:rsid w:val="00DC1EFE"/>
    <w:rsid w:val="00DC2E1E"/>
    <w:rsid w:val="00DC5B95"/>
    <w:rsid w:val="00DC62B9"/>
    <w:rsid w:val="00DC681A"/>
    <w:rsid w:val="00DD10D1"/>
    <w:rsid w:val="00DD18D4"/>
    <w:rsid w:val="00DD29C7"/>
    <w:rsid w:val="00DD2DCB"/>
    <w:rsid w:val="00DD3B3F"/>
    <w:rsid w:val="00DD4998"/>
    <w:rsid w:val="00DD7D02"/>
    <w:rsid w:val="00DE1076"/>
    <w:rsid w:val="00DE2911"/>
    <w:rsid w:val="00DE2D9B"/>
    <w:rsid w:val="00DE393A"/>
    <w:rsid w:val="00DE4AF8"/>
    <w:rsid w:val="00DE611F"/>
    <w:rsid w:val="00DE765A"/>
    <w:rsid w:val="00DF011B"/>
    <w:rsid w:val="00DF233D"/>
    <w:rsid w:val="00DF4515"/>
    <w:rsid w:val="00DF4BAA"/>
    <w:rsid w:val="00DF74FE"/>
    <w:rsid w:val="00DF7FBA"/>
    <w:rsid w:val="00E00A08"/>
    <w:rsid w:val="00E00FF9"/>
    <w:rsid w:val="00E03021"/>
    <w:rsid w:val="00E04170"/>
    <w:rsid w:val="00E05DA2"/>
    <w:rsid w:val="00E05E9C"/>
    <w:rsid w:val="00E064FE"/>
    <w:rsid w:val="00E067E4"/>
    <w:rsid w:val="00E073E9"/>
    <w:rsid w:val="00E106BE"/>
    <w:rsid w:val="00E12EA6"/>
    <w:rsid w:val="00E1348E"/>
    <w:rsid w:val="00E15224"/>
    <w:rsid w:val="00E162B5"/>
    <w:rsid w:val="00E17C3F"/>
    <w:rsid w:val="00E17D1D"/>
    <w:rsid w:val="00E2417D"/>
    <w:rsid w:val="00E24D38"/>
    <w:rsid w:val="00E2511F"/>
    <w:rsid w:val="00E319C6"/>
    <w:rsid w:val="00E32971"/>
    <w:rsid w:val="00E33FBD"/>
    <w:rsid w:val="00E3411D"/>
    <w:rsid w:val="00E3465C"/>
    <w:rsid w:val="00E36FC0"/>
    <w:rsid w:val="00E37D79"/>
    <w:rsid w:val="00E40B99"/>
    <w:rsid w:val="00E41032"/>
    <w:rsid w:val="00E41C13"/>
    <w:rsid w:val="00E421A6"/>
    <w:rsid w:val="00E4237B"/>
    <w:rsid w:val="00E42951"/>
    <w:rsid w:val="00E46CC7"/>
    <w:rsid w:val="00E50614"/>
    <w:rsid w:val="00E51D36"/>
    <w:rsid w:val="00E520D6"/>
    <w:rsid w:val="00E53129"/>
    <w:rsid w:val="00E536DD"/>
    <w:rsid w:val="00E53D6A"/>
    <w:rsid w:val="00E559C9"/>
    <w:rsid w:val="00E55A7F"/>
    <w:rsid w:val="00E5692F"/>
    <w:rsid w:val="00E572A8"/>
    <w:rsid w:val="00E604CD"/>
    <w:rsid w:val="00E60C29"/>
    <w:rsid w:val="00E62A7C"/>
    <w:rsid w:val="00E62B22"/>
    <w:rsid w:val="00E62CC0"/>
    <w:rsid w:val="00E6337B"/>
    <w:rsid w:val="00E66AA5"/>
    <w:rsid w:val="00E67B75"/>
    <w:rsid w:val="00E705A5"/>
    <w:rsid w:val="00E70D9D"/>
    <w:rsid w:val="00E717F9"/>
    <w:rsid w:val="00E71946"/>
    <w:rsid w:val="00E719CF"/>
    <w:rsid w:val="00E727BF"/>
    <w:rsid w:val="00E7527F"/>
    <w:rsid w:val="00E75BEB"/>
    <w:rsid w:val="00E75E0C"/>
    <w:rsid w:val="00E763F7"/>
    <w:rsid w:val="00E77496"/>
    <w:rsid w:val="00E778B7"/>
    <w:rsid w:val="00E77D7E"/>
    <w:rsid w:val="00E82D42"/>
    <w:rsid w:val="00E8632D"/>
    <w:rsid w:val="00E9020B"/>
    <w:rsid w:val="00E903C3"/>
    <w:rsid w:val="00E93279"/>
    <w:rsid w:val="00E977F1"/>
    <w:rsid w:val="00EA052F"/>
    <w:rsid w:val="00EA2412"/>
    <w:rsid w:val="00EA323C"/>
    <w:rsid w:val="00EA4B14"/>
    <w:rsid w:val="00EA5E5C"/>
    <w:rsid w:val="00EB0906"/>
    <w:rsid w:val="00EB1F5C"/>
    <w:rsid w:val="00EB37A9"/>
    <w:rsid w:val="00EB63B6"/>
    <w:rsid w:val="00EB6CDD"/>
    <w:rsid w:val="00EC054A"/>
    <w:rsid w:val="00EC06F3"/>
    <w:rsid w:val="00EC0EEB"/>
    <w:rsid w:val="00EC1904"/>
    <w:rsid w:val="00EC5EEF"/>
    <w:rsid w:val="00EC630D"/>
    <w:rsid w:val="00ED053F"/>
    <w:rsid w:val="00ED127D"/>
    <w:rsid w:val="00ED12AB"/>
    <w:rsid w:val="00ED2CFA"/>
    <w:rsid w:val="00ED339E"/>
    <w:rsid w:val="00ED4296"/>
    <w:rsid w:val="00ED4E3C"/>
    <w:rsid w:val="00ED519B"/>
    <w:rsid w:val="00ED7B4F"/>
    <w:rsid w:val="00ED7BA0"/>
    <w:rsid w:val="00EE1172"/>
    <w:rsid w:val="00EE1A3C"/>
    <w:rsid w:val="00EE25DB"/>
    <w:rsid w:val="00EE2679"/>
    <w:rsid w:val="00EE2935"/>
    <w:rsid w:val="00EE3907"/>
    <w:rsid w:val="00EE53E8"/>
    <w:rsid w:val="00EE5D92"/>
    <w:rsid w:val="00EE7ABC"/>
    <w:rsid w:val="00EF0587"/>
    <w:rsid w:val="00EF1987"/>
    <w:rsid w:val="00EF1F79"/>
    <w:rsid w:val="00EF20D0"/>
    <w:rsid w:val="00EF4126"/>
    <w:rsid w:val="00EF7DC8"/>
    <w:rsid w:val="00F0040B"/>
    <w:rsid w:val="00F01AA0"/>
    <w:rsid w:val="00F03129"/>
    <w:rsid w:val="00F0330C"/>
    <w:rsid w:val="00F0379E"/>
    <w:rsid w:val="00F03BBD"/>
    <w:rsid w:val="00F03C82"/>
    <w:rsid w:val="00F04DEA"/>
    <w:rsid w:val="00F056DD"/>
    <w:rsid w:val="00F05E66"/>
    <w:rsid w:val="00F06995"/>
    <w:rsid w:val="00F06D87"/>
    <w:rsid w:val="00F10940"/>
    <w:rsid w:val="00F11919"/>
    <w:rsid w:val="00F11A0E"/>
    <w:rsid w:val="00F155F0"/>
    <w:rsid w:val="00F15637"/>
    <w:rsid w:val="00F1579B"/>
    <w:rsid w:val="00F17500"/>
    <w:rsid w:val="00F20584"/>
    <w:rsid w:val="00F205B6"/>
    <w:rsid w:val="00F2166D"/>
    <w:rsid w:val="00F217E2"/>
    <w:rsid w:val="00F22FAC"/>
    <w:rsid w:val="00F23232"/>
    <w:rsid w:val="00F24D2F"/>
    <w:rsid w:val="00F265F4"/>
    <w:rsid w:val="00F27732"/>
    <w:rsid w:val="00F3046A"/>
    <w:rsid w:val="00F30570"/>
    <w:rsid w:val="00F31087"/>
    <w:rsid w:val="00F31672"/>
    <w:rsid w:val="00F3393E"/>
    <w:rsid w:val="00F3452A"/>
    <w:rsid w:val="00F3575D"/>
    <w:rsid w:val="00F40755"/>
    <w:rsid w:val="00F40805"/>
    <w:rsid w:val="00F40EAE"/>
    <w:rsid w:val="00F41B15"/>
    <w:rsid w:val="00F4222A"/>
    <w:rsid w:val="00F42920"/>
    <w:rsid w:val="00F44F53"/>
    <w:rsid w:val="00F4525C"/>
    <w:rsid w:val="00F46380"/>
    <w:rsid w:val="00F46FDC"/>
    <w:rsid w:val="00F4719B"/>
    <w:rsid w:val="00F47742"/>
    <w:rsid w:val="00F477DB"/>
    <w:rsid w:val="00F50503"/>
    <w:rsid w:val="00F5241A"/>
    <w:rsid w:val="00F52D77"/>
    <w:rsid w:val="00F54B02"/>
    <w:rsid w:val="00F54B6C"/>
    <w:rsid w:val="00F54E8E"/>
    <w:rsid w:val="00F552C2"/>
    <w:rsid w:val="00F55FF2"/>
    <w:rsid w:val="00F566FB"/>
    <w:rsid w:val="00F56D24"/>
    <w:rsid w:val="00F57632"/>
    <w:rsid w:val="00F5797D"/>
    <w:rsid w:val="00F579EF"/>
    <w:rsid w:val="00F61AF1"/>
    <w:rsid w:val="00F62A72"/>
    <w:rsid w:val="00F62D78"/>
    <w:rsid w:val="00F64077"/>
    <w:rsid w:val="00F6486B"/>
    <w:rsid w:val="00F70483"/>
    <w:rsid w:val="00F722C7"/>
    <w:rsid w:val="00F73E11"/>
    <w:rsid w:val="00F76661"/>
    <w:rsid w:val="00F76C01"/>
    <w:rsid w:val="00F76DA5"/>
    <w:rsid w:val="00F76F5B"/>
    <w:rsid w:val="00F80953"/>
    <w:rsid w:val="00F8096C"/>
    <w:rsid w:val="00F82946"/>
    <w:rsid w:val="00F83ABC"/>
    <w:rsid w:val="00F84F5A"/>
    <w:rsid w:val="00F870DA"/>
    <w:rsid w:val="00F9001C"/>
    <w:rsid w:val="00F90642"/>
    <w:rsid w:val="00F908B8"/>
    <w:rsid w:val="00F91FC8"/>
    <w:rsid w:val="00F9254E"/>
    <w:rsid w:val="00F92CFC"/>
    <w:rsid w:val="00F945E3"/>
    <w:rsid w:val="00F94C56"/>
    <w:rsid w:val="00F95A0F"/>
    <w:rsid w:val="00FA15BC"/>
    <w:rsid w:val="00FA4DD5"/>
    <w:rsid w:val="00FA4FA1"/>
    <w:rsid w:val="00FA6071"/>
    <w:rsid w:val="00FA6136"/>
    <w:rsid w:val="00FA66CB"/>
    <w:rsid w:val="00FA6861"/>
    <w:rsid w:val="00FA71E7"/>
    <w:rsid w:val="00FA773B"/>
    <w:rsid w:val="00FA7DF3"/>
    <w:rsid w:val="00FB21F6"/>
    <w:rsid w:val="00FB3346"/>
    <w:rsid w:val="00FB3602"/>
    <w:rsid w:val="00FB3E28"/>
    <w:rsid w:val="00FB3F4C"/>
    <w:rsid w:val="00FB7340"/>
    <w:rsid w:val="00FC047C"/>
    <w:rsid w:val="00FC0491"/>
    <w:rsid w:val="00FC0F00"/>
    <w:rsid w:val="00FC3603"/>
    <w:rsid w:val="00FC36FB"/>
    <w:rsid w:val="00FC5E47"/>
    <w:rsid w:val="00FC7587"/>
    <w:rsid w:val="00FC78CC"/>
    <w:rsid w:val="00FC7F22"/>
    <w:rsid w:val="00FD11C6"/>
    <w:rsid w:val="00FD551F"/>
    <w:rsid w:val="00FD584D"/>
    <w:rsid w:val="00FD7F4A"/>
    <w:rsid w:val="00FE262C"/>
    <w:rsid w:val="00FE522B"/>
    <w:rsid w:val="00FE535E"/>
    <w:rsid w:val="00FE71C7"/>
    <w:rsid w:val="00FF17F8"/>
    <w:rsid w:val="00FF3876"/>
    <w:rsid w:val="00FF6729"/>
    <w:rsid w:val="00FF6A2F"/>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C0177"/>
  <w15:docId w15:val="{6CD5EB2D-BDFC-49DA-A2BA-ACFAB77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C6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313416176">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1148871">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skink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B316-58FC-42EB-8A5A-F1CD6F2C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2885</Words>
  <Characters>20070</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Likumprojekta „Grozījumi Farmācijas likumā” sākotnējās ietekmes novērtējuma ziņojums (anotācija)</vt:lpstr>
    </vt:vector>
  </TitlesOfParts>
  <Company>Veselības ministrija</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Farmācijas likumā” sākotnējās ietekmes novērtējuma ziņojums (anotācija)</dc:title>
  <dc:subject>Anotācija</dc:subject>
  <dc:creator>Ilze Šķiņķe</dc:creator>
  <dc:description>Ilze.Skinke@vm.gov.lv, 67876177
Maris.Mudelis@vi.gov.lv, 67507986</dc:description>
  <cp:lastModifiedBy>Ilze Šķiņķe</cp:lastModifiedBy>
  <cp:revision>20</cp:revision>
  <cp:lastPrinted>2016-10-20T08:39:00Z</cp:lastPrinted>
  <dcterms:created xsi:type="dcterms:W3CDTF">2018-10-27T13:20:00Z</dcterms:created>
  <dcterms:modified xsi:type="dcterms:W3CDTF">2018-11-13T14:46:00Z</dcterms:modified>
</cp:coreProperties>
</file>