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A1285" w14:textId="7CF547FA" w:rsidR="009C05F8" w:rsidRPr="00ED5C33" w:rsidRDefault="009C05F8" w:rsidP="00CB5ECD">
      <w:pPr>
        <w:pStyle w:val="Heading2"/>
        <w:rPr>
          <w:szCs w:val="28"/>
        </w:rPr>
      </w:pPr>
      <w:r w:rsidRPr="00ED5C33">
        <w:rPr>
          <w:szCs w:val="28"/>
        </w:rPr>
        <w:t>Rīgā</w:t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="001A76A2">
        <w:rPr>
          <w:szCs w:val="28"/>
        </w:rPr>
        <w:t>Nr.</w:t>
      </w:r>
      <w:r w:rsidR="001A76A2">
        <w:rPr>
          <w:szCs w:val="28"/>
        </w:rPr>
        <w:tab/>
      </w:r>
      <w:r w:rsidR="001A76A2">
        <w:rPr>
          <w:szCs w:val="28"/>
        </w:rPr>
        <w:tab/>
        <w:t xml:space="preserve"> </w:t>
      </w:r>
      <w:r w:rsidR="00CB5ECD">
        <w:rPr>
          <w:szCs w:val="28"/>
        </w:rPr>
        <w:tab/>
      </w:r>
      <w:r w:rsidR="001A76A2">
        <w:rPr>
          <w:szCs w:val="28"/>
        </w:rPr>
        <w:t xml:space="preserve">2018. gada </w:t>
      </w:r>
      <w:r w:rsidR="00CB5ECD">
        <w:rPr>
          <w:szCs w:val="28"/>
        </w:rPr>
        <w:t xml:space="preserve">     .</w:t>
      </w:r>
    </w:p>
    <w:p w14:paraId="13357526" w14:textId="77777777" w:rsidR="009C05F8" w:rsidRPr="00ED5C33" w:rsidRDefault="009C05F8" w:rsidP="009C05F8">
      <w:pPr>
        <w:pStyle w:val="Heading2"/>
        <w:jc w:val="center"/>
        <w:rPr>
          <w:b/>
          <w:szCs w:val="28"/>
        </w:rPr>
      </w:pPr>
    </w:p>
    <w:p w14:paraId="06AA80F7" w14:textId="05B22F11" w:rsidR="009C05F8" w:rsidRDefault="009C05F8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14:paraId="562238DB" w14:textId="77777777" w:rsidR="00CB5ECD" w:rsidRPr="00ED5C33" w:rsidRDefault="00CB5ECD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</w:p>
    <w:p w14:paraId="6D0C2014" w14:textId="4776AD7A" w:rsidR="009C05F8" w:rsidRPr="00ED5C33" w:rsidRDefault="009C05F8" w:rsidP="00AB1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 w:rsidRPr="00ED5C33">
        <w:rPr>
          <w:rFonts w:ascii="Times New Roman" w:hAnsi="Times New Roman"/>
          <w:b/>
          <w:sz w:val="28"/>
          <w:szCs w:val="28"/>
        </w:rPr>
        <w:t>Informatīvais ziņojums “</w:t>
      </w:r>
      <w:bookmarkStart w:id="4" w:name="_Hlk526251446"/>
      <w:bookmarkStart w:id="5" w:name="_Hlk523127964"/>
      <w:r w:rsidR="00AB1AF0" w:rsidRPr="00AB1AF0">
        <w:rPr>
          <w:rFonts w:ascii="Times New Roman" w:hAnsi="Times New Roman"/>
          <w:b/>
          <w:bCs/>
          <w:sz w:val="28"/>
          <w:szCs w:val="28"/>
        </w:rPr>
        <w:t>Par ārstniecības personu un ārstniecības iestāžu pārējā personāla atlīdzības palielināšanu 2019.- 2021.</w:t>
      </w:r>
      <w:r w:rsidR="00C03B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1AF0" w:rsidRPr="00AB1AF0">
        <w:rPr>
          <w:rFonts w:ascii="Times New Roman" w:hAnsi="Times New Roman"/>
          <w:b/>
          <w:bCs/>
          <w:sz w:val="28"/>
          <w:szCs w:val="28"/>
        </w:rPr>
        <w:t>gadam</w:t>
      </w:r>
      <w:bookmarkEnd w:id="4"/>
      <w:bookmarkEnd w:id="5"/>
      <w:r w:rsidRPr="00ED5C33">
        <w:rPr>
          <w:rFonts w:ascii="Times New Roman" w:hAnsi="Times New Roman"/>
          <w:b/>
          <w:sz w:val="28"/>
          <w:szCs w:val="28"/>
        </w:rPr>
        <w:t>”</w:t>
      </w:r>
    </w:p>
    <w:bookmarkEnd w:id="0"/>
    <w:bookmarkEnd w:id="1"/>
    <w:p w14:paraId="05379C2D" w14:textId="77777777" w:rsidR="009C05F8" w:rsidRPr="00ED5C33" w:rsidRDefault="009C05F8" w:rsidP="009C05F8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End w:id="2"/>
    <w:bookmarkEnd w:id="3"/>
    <w:p w14:paraId="416F1608" w14:textId="77777777" w:rsidR="00765669" w:rsidRPr="009A5210" w:rsidRDefault="00765669" w:rsidP="001A76A2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14:paraId="5DAD06C6" w14:textId="77777777" w:rsidR="001A76A2" w:rsidRPr="009A5210" w:rsidRDefault="001A76A2" w:rsidP="001A76A2">
      <w:pPr>
        <w:pStyle w:val="BodyText2"/>
        <w:numPr>
          <w:ilvl w:val="0"/>
          <w:numId w:val="2"/>
        </w:numPr>
        <w:tabs>
          <w:tab w:val="left" w:pos="1276"/>
        </w:tabs>
        <w:ind w:left="0" w:firstLine="851"/>
        <w:rPr>
          <w:szCs w:val="28"/>
        </w:rPr>
      </w:pPr>
      <w:r w:rsidRPr="009A5210">
        <w:rPr>
          <w:szCs w:val="22"/>
        </w:rPr>
        <w:t xml:space="preserve">Pieņemt zināšanai iesniegto </w:t>
      </w:r>
      <w:bookmarkStart w:id="6" w:name="_Hlk525826497"/>
      <w:r w:rsidRPr="009A5210">
        <w:rPr>
          <w:szCs w:val="22"/>
        </w:rPr>
        <w:t>informatīvo ziņojumu</w:t>
      </w:r>
      <w:bookmarkEnd w:id="6"/>
      <w:r w:rsidRPr="009A5210">
        <w:rPr>
          <w:szCs w:val="22"/>
        </w:rPr>
        <w:t>.</w:t>
      </w:r>
    </w:p>
    <w:p w14:paraId="3A5051DB" w14:textId="0934CC3B" w:rsidR="00551638" w:rsidRPr="00DF115A" w:rsidRDefault="006A5BC8" w:rsidP="00DF115A">
      <w:pPr>
        <w:pStyle w:val="BodyText2"/>
        <w:numPr>
          <w:ilvl w:val="0"/>
          <w:numId w:val="2"/>
        </w:numPr>
        <w:tabs>
          <w:tab w:val="left" w:pos="1276"/>
        </w:tabs>
        <w:ind w:left="0" w:firstLine="851"/>
        <w:rPr>
          <w:szCs w:val="28"/>
        </w:rPr>
      </w:pPr>
      <w:r w:rsidRPr="009A5210">
        <w:rPr>
          <w:szCs w:val="28"/>
        </w:rPr>
        <w:t>Jautājum</w:t>
      </w:r>
      <w:r w:rsidR="009B4E52" w:rsidRPr="009A5210">
        <w:rPr>
          <w:szCs w:val="28"/>
        </w:rPr>
        <w:t>s</w:t>
      </w:r>
      <w:r w:rsidRPr="009A5210">
        <w:rPr>
          <w:szCs w:val="28"/>
        </w:rPr>
        <w:t xml:space="preserve"> par papildu valsts budžeta līdzekļu piešķiršanu 2019.</w:t>
      </w:r>
      <w:r w:rsidR="00646EF6">
        <w:rPr>
          <w:szCs w:val="28"/>
        </w:rPr>
        <w:t xml:space="preserve"> </w:t>
      </w:r>
      <w:r w:rsidR="00646EF6" w:rsidRPr="009A5210">
        <w:rPr>
          <w:szCs w:val="28"/>
        </w:rPr>
        <w:t>gadam</w:t>
      </w:r>
      <w:r w:rsidR="00646EF6">
        <w:rPr>
          <w:szCs w:val="28"/>
        </w:rPr>
        <w:t xml:space="preserve"> - 87 483 708 </w:t>
      </w:r>
      <w:r w:rsidR="00646EF6" w:rsidRPr="000854C2">
        <w:rPr>
          <w:i/>
          <w:szCs w:val="28"/>
        </w:rPr>
        <w:t>euro</w:t>
      </w:r>
      <w:r w:rsidR="00646EF6">
        <w:rPr>
          <w:szCs w:val="28"/>
        </w:rPr>
        <w:t xml:space="preserve"> apmērā</w:t>
      </w:r>
      <w:r w:rsidRPr="009A5210">
        <w:rPr>
          <w:szCs w:val="28"/>
        </w:rPr>
        <w:t xml:space="preserve">, 2020. </w:t>
      </w:r>
      <w:r w:rsidR="00646EF6" w:rsidRPr="009A5210">
        <w:rPr>
          <w:szCs w:val="28"/>
        </w:rPr>
        <w:t>gadam</w:t>
      </w:r>
      <w:r w:rsidR="00646EF6">
        <w:rPr>
          <w:szCs w:val="28"/>
        </w:rPr>
        <w:t xml:space="preserve"> - 191</w:t>
      </w:r>
      <w:r w:rsidR="00527C44">
        <w:rPr>
          <w:szCs w:val="28"/>
        </w:rPr>
        <w:t> 227 820</w:t>
      </w:r>
      <w:r w:rsidR="00646EF6">
        <w:rPr>
          <w:szCs w:val="28"/>
        </w:rPr>
        <w:t xml:space="preserve"> </w:t>
      </w:r>
      <w:r w:rsidR="00646EF6" w:rsidRPr="000854C2">
        <w:rPr>
          <w:i/>
          <w:szCs w:val="28"/>
        </w:rPr>
        <w:t>euro</w:t>
      </w:r>
      <w:r w:rsidR="00646EF6">
        <w:rPr>
          <w:szCs w:val="28"/>
        </w:rPr>
        <w:t xml:space="preserve"> apmērā</w:t>
      </w:r>
      <w:r w:rsidR="00646EF6" w:rsidRPr="009A5210">
        <w:rPr>
          <w:szCs w:val="28"/>
        </w:rPr>
        <w:t xml:space="preserve"> </w:t>
      </w:r>
      <w:r w:rsidRPr="009A5210">
        <w:rPr>
          <w:szCs w:val="28"/>
        </w:rPr>
        <w:t xml:space="preserve">un 2021. gadam </w:t>
      </w:r>
      <w:r w:rsidR="00646EF6">
        <w:rPr>
          <w:szCs w:val="28"/>
        </w:rPr>
        <w:t xml:space="preserve">- 314 599 953 </w:t>
      </w:r>
      <w:r w:rsidR="00646EF6" w:rsidRPr="000854C2">
        <w:rPr>
          <w:i/>
          <w:szCs w:val="28"/>
        </w:rPr>
        <w:t>euro</w:t>
      </w:r>
      <w:r w:rsidR="00646EF6">
        <w:rPr>
          <w:szCs w:val="28"/>
        </w:rPr>
        <w:t xml:space="preserve"> apmērā</w:t>
      </w:r>
      <w:r w:rsidR="00646EF6" w:rsidRPr="009A5210">
        <w:rPr>
          <w:szCs w:val="28"/>
        </w:rPr>
        <w:t xml:space="preserve"> </w:t>
      </w:r>
      <w:r w:rsidR="003D3D2C" w:rsidRPr="009A5210">
        <w:rPr>
          <w:bCs/>
          <w:szCs w:val="28"/>
        </w:rPr>
        <w:t>atlīdzības</w:t>
      </w:r>
      <w:r w:rsidRPr="009A5210">
        <w:rPr>
          <w:bCs/>
          <w:szCs w:val="28"/>
        </w:rPr>
        <w:t xml:space="preserve"> palielināšanai </w:t>
      </w:r>
      <w:r w:rsidR="003C7271" w:rsidRPr="00551638">
        <w:rPr>
          <w:szCs w:val="28"/>
        </w:rPr>
        <w:t>saistībā ar plānoto 20% darba samaksas pieaugumu</w:t>
      </w:r>
      <w:r w:rsidR="003C7271" w:rsidRPr="009A5210">
        <w:rPr>
          <w:bCs/>
          <w:szCs w:val="28"/>
        </w:rPr>
        <w:t xml:space="preserve"> </w:t>
      </w:r>
      <w:r w:rsidR="003D3D2C" w:rsidRPr="009A5210">
        <w:rPr>
          <w:bCs/>
          <w:szCs w:val="28"/>
        </w:rPr>
        <w:t>atbilstoši</w:t>
      </w:r>
      <w:r w:rsidR="003D3D2C" w:rsidRPr="009A5210">
        <w:rPr>
          <w:rFonts w:ascii="Calibri" w:hAnsi="Calibri"/>
          <w:sz w:val="22"/>
          <w:szCs w:val="22"/>
          <w:lang w:eastAsia="lv-LV"/>
        </w:rPr>
        <w:t xml:space="preserve"> </w:t>
      </w:r>
      <w:r w:rsidR="005948F9" w:rsidRPr="003C7271">
        <w:rPr>
          <w:bCs/>
          <w:szCs w:val="28"/>
        </w:rPr>
        <w:t>informatīvajam ziņojumam</w:t>
      </w:r>
      <w:r w:rsidR="009B4E52" w:rsidRPr="003C7271">
        <w:rPr>
          <w:bCs/>
          <w:szCs w:val="28"/>
        </w:rPr>
        <w:t>,</w:t>
      </w:r>
      <w:r w:rsidRPr="003C7271">
        <w:rPr>
          <w:bCs/>
          <w:szCs w:val="28"/>
        </w:rPr>
        <w:t xml:space="preserve"> </w:t>
      </w:r>
      <w:r w:rsidR="003C7271" w:rsidRPr="003C7271">
        <w:rPr>
          <w:bCs/>
          <w:szCs w:val="28"/>
        </w:rPr>
        <w:t>kas ietver Satversmes tiesas 2018. gada 15. maija spriedumu lietā Nr. 2017-15-01 nolemto</w:t>
      </w:r>
      <w:r w:rsidR="00BF793A">
        <w:rPr>
          <w:bCs/>
          <w:szCs w:val="28"/>
        </w:rPr>
        <w:t xml:space="preserve"> un </w:t>
      </w:r>
      <w:r w:rsidR="00DF115A">
        <w:rPr>
          <w:szCs w:val="28"/>
        </w:rPr>
        <w:t>j</w:t>
      </w:r>
      <w:r w:rsidR="00DF115A" w:rsidRPr="003C7271">
        <w:rPr>
          <w:szCs w:val="28"/>
        </w:rPr>
        <w:t>autājums par papildu valsts budžeta līdzekļu piešķiršanu 2019.</w:t>
      </w:r>
      <w:r w:rsidR="00DF115A">
        <w:rPr>
          <w:szCs w:val="28"/>
        </w:rPr>
        <w:t xml:space="preserve">-2021. </w:t>
      </w:r>
      <w:r w:rsidR="00DF115A" w:rsidRPr="003C7271">
        <w:rPr>
          <w:szCs w:val="28"/>
        </w:rPr>
        <w:t xml:space="preserve">gadam </w:t>
      </w:r>
      <w:r w:rsidR="00DF115A">
        <w:rPr>
          <w:szCs w:val="28"/>
        </w:rPr>
        <w:t>ik gadu 16 </w:t>
      </w:r>
      <w:r w:rsidR="00DF115A" w:rsidRPr="00DF115A">
        <w:t>097</w:t>
      </w:r>
      <w:r w:rsidR="00DF115A">
        <w:t> </w:t>
      </w:r>
      <w:r w:rsidR="00DF115A" w:rsidRPr="00DF115A">
        <w:t>729</w:t>
      </w:r>
      <w:r w:rsidR="00DF115A" w:rsidRPr="003C7271">
        <w:rPr>
          <w:szCs w:val="28"/>
        </w:rPr>
        <w:t xml:space="preserve"> </w:t>
      </w:r>
      <w:r w:rsidR="00DF115A" w:rsidRPr="003C7271">
        <w:rPr>
          <w:i/>
          <w:szCs w:val="28"/>
        </w:rPr>
        <w:t xml:space="preserve">euro </w:t>
      </w:r>
      <w:r w:rsidR="00DF115A" w:rsidRPr="003C7271">
        <w:rPr>
          <w:szCs w:val="28"/>
        </w:rPr>
        <w:t>apmērā</w:t>
      </w:r>
      <w:r w:rsidR="00DF115A" w:rsidRPr="003C7271">
        <w:rPr>
          <w:bCs/>
          <w:szCs w:val="28"/>
        </w:rPr>
        <w:t xml:space="preserve"> atbilstoši Satversmes tiesas 2018. gada 15. maija spriedumu lietā Nr. 2017-15-01 nolemtajam</w:t>
      </w:r>
      <w:r w:rsidR="003C7271" w:rsidRPr="00DF115A">
        <w:rPr>
          <w:bCs/>
          <w:szCs w:val="28"/>
        </w:rPr>
        <w:t xml:space="preserve">, </w:t>
      </w:r>
      <w:r w:rsidRPr="00DF115A">
        <w:rPr>
          <w:szCs w:val="28"/>
        </w:rPr>
        <w:t>skatāms Ministru kabinetā kopā ar visu ministriju un citu centrālo valsts iestāžu iesniegtajiem prioritāro pasākumu pieteikumiem likumprojekta "Par valsts budžetu 2019.</w:t>
      </w:r>
      <w:r w:rsidR="008761AD" w:rsidRPr="00DF115A">
        <w:rPr>
          <w:szCs w:val="28"/>
        </w:rPr>
        <w:t xml:space="preserve"> </w:t>
      </w:r>
      <w:r w:rsidRPr="00DF115A">
        <w:rPr>
          <w:szCs w:val="28"/>
        </w:rPr>
        <w:t>gadam" un likumprojekta "Par vidēja termiņa budžeta ietvaru 2019., 2020. un 2021.</w:t>
      </w:r>
      <w:r w:rsidR="008761AD" w:rsidRPr="00DF115A">
        <w:rPr>
          <w:szCs w:val="28"/>
        </w:rPr>
        <w:t xml:space="preserve"> </w:t>
      </w:r>
      <w:r w:rsidRPr="00DF115A">
        <w:rPr>
          <w:szCs w:val="28"/>
        </w:rPr>
        <w:t>gadam" sagatavošanas un izskatīšanas procesā atbilstoši valsts budžeta finansiālajām iespējām.</w:t>
      </w:r>
    </w:p>
    <w:p w14:paraId="652BEC5B" w14:textId="3CFC1840" w:rsidR="005948F9" w:rsidRDefault="005948F9" w:rsidP="009A5210">
      <w:pPr>
        <w:pStyle w:val="BodyText2"/>
        <w:tabs>
          <w:tab w:val="left" w:pos="1276"/>
        </w:tabs>
        <w:ind w:left="851"/>
        <w:rPr>
          <w:szCs w:val="28"/>
        </w:rPr>
      </w:pPr>
    </w:p>
    <w:p w14:paraId="2E3B342E" w14:textId="15EED25B" w:rsidR="00DF115A" w:rsidRDefault="00DF115A" w:rsidP="009A5210">
      <w:pPr>
        <w:pStyle w:val="BodyText2"/>
        <w:tabs>
          <w:tab w:val="left" w:pos="1276"/>
        </w:tabs>
        <w:ind w:left="851"/>
        <w:rPr>
          <w:color w:val="548DD4" w:themeColor="text2" w:themeTint="99"/>
          <w:szCs w:val="28"/>
        </w:rPr>
      </w:pPr>
    </w:p>
    <w:p w14:paraId="06089DEA" w14:textId="77777777" w:rsidR="00DF115A" w:rsidRPr="005948F9" w:rsidRDefault="00DF115A" w:rsidP="009A5210">
      <w:pPr>
        <w:pStyle w:val="BodyText2"/>
        <w:tabs>
          <w:tab w:val="left" w:pos="1276"/>
        </w:tabs>
        <w:ind w:left="851"/>
        <w:rPr>
          <w:color w:val="548DD4" w:themeColor="text2" w:themeTint="99"/>
          <w:szCs w:val="28"/>
        </w:rPr>
      </w:pPr>
    </w:p>
    <w:p w14:paraId="7A005712" w14:textId="4DBD9526" w:rsidR="009C05F8" w:rsidRPr="00ED0858" w:rsidRDefault="009C05F8" w:rsidP="001A76A2">
      <w:pPr>
        <w:spacing w:after="480" w:line="240" w:lineRule="auto"/>
        <w:ind w:right="-766" w:firstLine="851"/>
        <w:rPr>
          <w:rFonts w:ascii="Times New Roman" w:eastAsia="Calibri" w:hAnsi="Times New Roman"/>
          <w:sz w:val="28"/>
          <w:szCs w:val="28"/>
        </w:rPr>
      </w:pPr>
      <w:r w:rsidRPr="00ED5C33">
        <w:rPr>
          <w:rFonts w:ascii="Times New Roman" w:eastAsia="Calibri" w:hAnsi="Times New Roman"/>
          <w:sz w:val="28"/>
          <w:szCs w:val="28"/>
        </w:rPr>
        <w:t>Ministru prezidents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0858">
        <w:rPr>
          <w:rFonts w:ascii="Times New Roman" w:eastAsia="Calibri" w:hAnsi="Times New Roman"/>
          <w:sz w:val="28"/>
          <w:szCs w:val="28"/>
        </w:rPr>
        <w:t>Māris Kučinskis</w:t>
      </w:r>
    </w:p>
    <w:p w14:paraId="7A1951EF" w14:textId="197D08A4" w:rsidR="009C05F8" w:rsidRPr="00ED0858" w:rsidRDefault="009C05F8" w:rsidP="001A76A2">
      <w:pPr>
        <w:pStyle w:val="Heading2"/>
        <w:spacing w:after="720"/>
        <w:ind w:firstLine="851"/>
        <w:rPr>
          <w:szCs w:val="28"/>
        </w:rPr>
      </w:pPr>
      <w:r w:rsidRPr="00ED0858">
        <w:rPr>
          <w:szCs w:val="28"/>
        </w:rPr>
        <w:t>Valsts kancelejas direktors</w:t>
      </w:r>
      <w:r w:rsidRPr="00ED0858">
        <w:rPr>
          <w:szCs w:val="28"/>
        </w:rPr>
        <w:tab/>
      </w:r>
      <w:r w:rsidRPr="00ED0858">
        <w:rPr>
          <w:szCs w:val="28"/>
        </w:rPr>
        <w:tab/>
      </w:r>
      <w:r w:rsidRPr="00ED0858">
        <w:rPr>
          <w:szCs w:val="28"/>
        </w:rPr>
        <w:tab/>
      </w:r>
      <w:r w:rsidRPr="00ED0858">
        <w:rPr>
          <w:szCs w:val="28"/>
        </w:rPr>
        <w:tab/>
      </w:r>
      <w:r w:rsidR="00ED0858" w:rsidRPr="00ED0858">
        <w:rPr>
          <w:szCs w:val="28"/>
        </w:rPr>
        <w:t>Jānis Citskovskis</w:t>
      </w:r>
    </w:p>
    <w:p w14:paraId="38693C87" w14:textId="395C001C" w:rsidR="009C05F8" w:rsidRPr="00ED0858" w:rsidRDefault="001A76A2" w:rsidP="001A76A2">
      <w:pPr>
        <w:spacing w:after="240"/>
        <w:ind w:right="-766" w:firstLine="851"/>
        <w:rPr>
          <w:rFonts w:ascii="Times New Roman" w:hAnsi="Times New Roman"/>
          <w:sz w:val="28"/>
          <w:szCs w:val="28"/>
          <w:lang w:eastAsia="en-US"/>
        </w:rPr>
      </w:pPr>
      <w:r w:rsidRPr="00ED0858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Pr="00ED0858">
        <w:rPr>
          <w:rFonts w:ascii="Times New Roman" w:hAnsi="Times New Roman"/>
          <w:sz w:val="28"/>
          <w:szCs w:val="28"/>
          <w:lang w:eastAsia="en-US"/>
        </w:rPr>
        <w:tab/>
      </w:r>
      <w:r w:rsidRPr="00ED0858">
        <w:rPr>
          <w:rFonts w:ascii="Times New Roman" w:hAnsi="Times New Roman"/>
          <w:sz w:val="28"/>
          <w:szCs w:val="28"/>
          <w:lang w:eastAsia="en-US"/>
        </w:rPr>
        <w:tab/>
      </w:r>
      <w:r w:rsidRPr="00ED0858">
        <w:rPr>
          <w:rFonts w:ascii="Times New Roman" w:hAnsi="Times New Roman"/>
          <w:sz w:val="28"/>
          <w:szCs w:val="28"/>
          <w:lang w:eastAsia="en-US"/>
        </w:rPr>
        <w:tab/>
      </w:r>
      <w:r w:rsidRPr="00ED0858">
        <w:rPr>
          <w:rFonts w:ascii="Times New Roman" w:hAnsi="Times New Roman"/>
          <w:sz w:val="28"/>
          <w:szCs w:val="28"/>
          <w:lang w:eastAsia="en-US"/>
        </w:rPr>
        <w:tab/>
      </w:r>
      <w:r w:rsidR="009C05F8" w:rsidRPr="00ED0858">
        <w:rPr>
          <w:rFonts w:ascii="Times New Roman" w:hAnsi="Times New Roman"/>
          <w:sz w:val="28"/>
          <w:szCs w:val="28"/>
          <w:lang w:eastAsia="en-US"/>
        </w:rPr>
        <w:t>Anda Čakša</w:t>
      </w:r>
    </w:p>
    <w:p w14:paraId="3843E6E1" w14:textId="77777777" w:rsidR="009C05F8" w:rsidRPr="00ED0858" w:rsidRDefault="009C05F8" w:rsidP="001A76A2">
      <w:pPr>
        <w:tabs>
          <w:tab w:val="left" w:pos="7088"/>
          <w:tab w:val="right" w:pos="9072"/>
        </w:tabs>
        <w:ind w:right="-766" w:firstLine="851"/>
        <w:rPr>
          <w:rFonts w:ascii="Times New Roman" w:hAnsi="Times New Roman"/>
          <w:sz w:val="28"/>
          <w:szCs w:val="28"/>
          <w:lang w:eastAsia="en-US"/>
        </w:rPr>
      </w:pPr>
    </w:p>
    <w:p w14:paraId="1FFD056E" w14:textId="21EA6CC8" w:rsidR="009C05F8" w:rsidRPr="009C05F8" w:rsidRDefault="008A3B3E" w:rsidP="00386AE5">
      <w:pPr>
        <w:spacing w:after="0" w:line="240" w:lineRule="auto"/>
        <w:ind w:right="-766" w:firstLine="851"/>
        <w:rPr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Vīza: Valsts sekretāra p.i.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="00B05D4D" w:rsidRPr="00541E19">
        <w:rPr>
          <w:rFonts w:ascii="Times New Roman" w:eastAsia="Calibri" w:hAnsi="Times New Roman"/>
          <w:sz w:val="28"/>
          <w:szCs w:val="28"/>
        </w:rPr>
        <w:t>Daina Mūrmane-Umbraško</w:t>
      </w:r>
    </w:p>
    <w:p w14:paraId="48C60F92" w14:textId="77777777" w:rsidR="00ED6BF3" w:rsidRDefault="00ED6BF3" w:rsidP="00B05D4D">
      <w:pPr>
        <w:tabs>
          <w:tab w:val="left" w:pos="6521"/>
        </w:tabs>
        <w:ind w:firstLine="851"/>
      </w:pPr>
    </w:p>
    <w:sectPr w:rsidR="00ED6BF3" w:rsidSect="007E1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8B1DD" w14:textId="77777777" w:rsidR="009819B4" w:rsidRDefault="009819B4" w:rsidP="001E776B">
      <w:pPr>
        <w:spacing w:after="0" w:line="240" w:lineRule="auto"/>
      </w:pPr>
      <w:r>
        <w:separator/>
      </w:r>
    </w:p>
  </w:endnote>
  <w:endnote w:type="continuationSeparator" w:id="0">
    <w:p w14:paraId="5F1265C2" w14:textId="77777777" w:rsidR="009819B4" w:rsidRDefault="009819B4" w:rsidP="001E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6284" w14:textId="77777777" w:rsidR="00027392" w:rsidRDefault="00027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B60F7" w14:textId="2E271BDB" w:rsidR="00AF02FD" w:rsidRPr="00AF02FD" w:rsidRDefault="00AF02FD" w:rsidP="00AF02FD">
    <w:pPr>
      <w:pStyle w:val="Footer"/>
      <w:rPr>
        <w:rFonts w:ascii="Times New Roman" w:hAnsi="Times New Roman"/>
        <w:sz w:val="20"/>
        <w:szCs w:val="20"/>
      </w:rPr>
    </w:pPr>
    <w:bookmarkStart w:id="7" w:name="_Hlk523130033"/>
    <w:bookmarkStart w:id="8" w:name="_Hlk523130034"/>
    <w:bookmarkStart w:id="9" w:name="_Hlk523130035"/>
    <w:bookmarkStart w:id="10" w:name="_Hlk523130036"/>
    <w:bookmarkStart w:id="11" w:name="_Hlk523130037"/>
    <w:bookmarkStart w:id="12" w:name="_Hlk523130038"/>
    <w:r w:rsidRPr="00AF02FD">
      <w:rPr>
        <w:rFonts w:ascii="Times New Roman" w:hAnsi="Times New Roman"/>
        <w:sz w:val="20"/>
        <w:szCs w:val="20"/>
      </w:rPr>
      <w:t>VM</w:t>
    </w:r>
    <w:r w:rsidR="009A2D6F">
      <w:rPr>
        <w:rFonts w:ascii="Times New Roman" w:hAnsi="Times New Roman"/>
        <w:sz w:val="20"/>
        <w:szCs w:val="20"/>
      </w:rPr>
      <w:t>pr</w:t>
    </w:r>
    <w:r w:rsidRPr="00AF02FD">
      <w:rPr>
        <w:rFonts w:ascii="Times New Roman" w:hAnsi="Times New Roman"/>
        <w:sz w:val="20"/>
        <w:szCs w:val="20"/>
      </w:rPr>
      <w:t>o</w:t>
    </w:r>
    <w:r w:rsidR="009A2D6F">
      <w:rPr>
        <w:rFonts w:ascii="Times New Roman" w:hAnsi="Times New Roman"/>
        <w:sz w:val="20"/>
        <w:szCs w:val="20"/>
      </w:rPr>
      <w:t>t</w:t>
    </w:r>
    <w:r w:rsidRPr="00AF02FD">
      <w:rPr>
        <w:rFonts w:ascii="Times New Roman" w:hAnsi="Times New Roman"/>
        <w:sz w:val="20"/>
        <w:szCs w:val="20"/>
      </w:rPr>
      <w:t>_</w:t>
    </w:r>
    <w:r w:rsidR="00027392">
      <w:rPr>
        <w:rFonts w:ascii="Times New Roman" w:hAnsi="Times New Roman"/>
        <w:sz w:val="20"/>
        <w:szCs w:val="20"/>
      </w:rPr>
      <w:t>31</w:t>
    </w:r>
    <w:bookmarkStart w:id="13" w:name="_GoBack"/>
    <w:bookmarkEnd w:id="13"/>
    <w:r w:rsidR="00AB1AF0">
      <w:rPr>
        <w:rFonts w:ascii="Times New Roman" w:hAnsi="Times New Roman"/>
        <w:sz w:val="20"/>
        <w:szCs w:val="20"/>
      </w:rPr>
      <w:t>1</w:t>
    </w:r>
    <w:r w:rsidR="009762B7">
      <w:rPr>
        <w:rFonts w:ascii="Times New Roman" w:hAnsi="Times New Roman"/>
        <w:sz w:val="20"/>
        <w:szCs w:val="20"/>
      </w:rPr>
      <w:t>0</w:t>
    </w:r>
    <w:r w:rsidRPr="00AF02FD">
      <w:rPr>
        <w:rFonts w:ascii="Times New Roman" w:hAnsi="Times New Roman"/>
        <w:sz w:val="20"/>
        <w:szCs w:val="20"/>
      </w:rPr>
      <w:t>18_</w:t>
    </w:r>
    <w:bookmarkEnd w:id="7"/>
    <w:bookmarkEnd w:id="8"/>
    <w:bookmarkEnd w:id="9"/>
    <w:bookmarkEnd w:id="10"/>
    <w:bookmarkEnd w:id="11"/>
    <w:bookmarkEnd w:id="12"/>
    <w:r w:rsidR="002C1B50">
      <w:rPr>
        <w:rFonts w:ascii="Times New Roman" w:hAnsi="Times New Roman"/>
        <w:sz w:val="20"/>
        <w:szCs w:val="20"/>
      </w:rPr>
      <w:t>atlidziba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4984" w14:textId="77777777" w:rsidR="00027392" w:rsidRDefault="00027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46558" w14:textId="77777777" w:rsidR="009819B4" w:rsidRDefault="009819B4" w:rsidP="001E776B">
      <w:pPr>
        <w:spacing w:after="0" w:line="240" w:lineRule="auto"/>
      </w:pPr>
      <w:r>
        <w:separator/>
      </w:r>
    </w:p>
  </w:footnote>
  <w:footnote w:type="continuationSeparator" w:id="0">
    <w:p w14:paraId="5BA1D6A7" w14:textId="77777777" w:rsidR="009819B4" w:rsidRDefault="009819B4" w:rsidP="001E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DE381" w14:textId="77777777" w:rsidR="00027392" w:rsidRDefault="00027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78712" w14:textId="77777777" w:rsidR="00027392" w:rsidRDefault="000273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F6E9" w14:textId="77777777" w:rsidR="00027392" w:rsidRDefault="00027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382187D"/>
    <w:multiLevelType w:val="hybridMultilevel"/>
    <w:tmpl w:val="760E8776"/>
    <w:lvl w:ilvl="0" w:tplc="08F2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154E3"/>
    <w:rsid w:val="000168EC"/>
    <w:rsid w:val="00027392"/>
    <w:rsid w:val="0003545F"/>
    <w:rsid w:val="000618B4"/>
    <w:rsid w:val="00066C9E"/>
    <w:rsid w:val="000755A6"/>
    <w:rsid w:val="00076EFC"/>
    <w:rsid w:val="00077B61"/>
    <w:rsid w:val="000854C2"/>
    <w:rsid w:val="000D44C9"/>
    <w:rsid w:val="000E2F7A"/>
    <w:rsid w:val="001220E6"/>
    <w:rsid w:val="00125440"/>
    <w:rsid w:val="0015153B"/>
    <w:rsid w:val="00165295"/>
    <w:rsid w:val="001653D0"/>
    <w:rsid w:val="00175660"/>
    <w:rsid w:val="00182419"/>
    <w:rsid w:val="00195BFA"/>
    <w:rsid w:val="0019611F"/>
    <w:rsid w:val="001A76A2"/>
    <w:rsid w:val="001B03CA"/>
    <w:rsid w:val="001B41BD"/>
    <w:rsid w:val="001B6BDE"/>
    <w:rsid w:val="001C3080"/>
    <w:rsid w:val="001E06C7"/>
    <w:rsid w:val="001E5926"/>
    <w:rsid w:val="001E776B"/>
    <w:rsid w:val="00204B87"/>
    <w:rsid w:val="00281D1C"/>
    <w:rsid w:val="00297B92"/>
    <w:rsid w:val="002B09F8"/>
    <w:rsid w:val="002C1B50"/>
    <w:rsid w:val="002C29B7"/>
    <w:rsid w:val="00334255"/>
    <w:rsid w:val="00361490"/>
    <w:rsid w:val="0037686E"/>
    <w:rsid w:val="00380683"/>
    <w:rsid w:val="003848CE"/>
    <w:rsid w:val="00386AE5"/>
    <w:rsid w:val="003965DE"/>
    <w:rsid w:val="003C7271"/>
    <w:rsid w:val="003D3D2C"/>
    <w:rsid w:val="00407A38"/>
    <w:rsid w:val="00430819"/>
    <w:rsid w:val="004400BB"/>
    <w:rsid w:val="00466EBF"/>
    <w:rsid w:val="00467ADD"/>
    <w:rsid w:val="00482809"/>
    <w:rsid w:val="004C46AB"/>
    <w:rsid w:val="004F0D54"/>
    <w:rsid w:val="004F6E47"/>
    <w:rsid w:val="005161B7"/>
    <w:rsid w:val="0051685B"/>
    <w:rsid w:val="005242BD"/>
    <w:rsid w:val="00527C44"/>
    <w:rsid w:val="00542713"/>
    <w:rsid w:val="00551638"/>
    <w:rsid w:val="00567B03"/>
    <w:rsid w:val="005948F9"/>
    <w:rsid w:val="005A4126"/>
    <w:rsid w:val="00646EF6"/>
    <w:rsid w:val="00652447"/>
    <w:rsid w:val="006A5BC8"/>
    <w:rsid w:val="006B78AF"/>
    <w:rsid w:val="00707285"/>
    <w:rsid w:val="00735EB6"/>
    <w:rsid w:val="00740B1F"/>
    <w:rsid w:val="0074102C"/>
    <w:rsid w:val="00757BB0"/>
    <w:rsid w:val="00765669"/>
    <w:rsid w:val="00782F35"/>
    <w:rsid w:val="007A34F0"/>
    <w:rsid w:val="007B2848"/>
    <w:rsid w:val="007C362C"/>
    <w:rsid w:val="007C3C9D"/>
    <w:rsid w:val="007C54AB"/>
    <w:rsid w:val="007E1FA5"/>
    <w:rsid w:val="007F4B3C"/>
    <w:rsid w:val="00836378"/>
    <w:rsid w:val="00854702"/>
    <w:rsid w:val="00870317"/>
    <w:rsid w:val="008761AD"/>
    <w:rsid w:val="008A3B3E"/>
    <w:rsid w:val="008F36C1"/>
    <w:rsid w:val="00917F2E"/>
    <w:rsid w:val="009201A9"/>
    <w:rsid w:val="00947359"/>
    <w:rsid w:val="00951D44"/>
    <w:rsid w:val="009668E9"/>
    <w:rsid w:val="009762B7"/>
    <w:rsid w:val="009819B4"/>
    <w:rsid w:val="00990440"/>
    <w:rsid w:val="009A1D41"/>
    <w:rsid w:val="009A2D6F"/>
    <w:rsid w:val="009A5210"/>
    <w:rsid w:val="009B4E52"/>
    <w:rsid w:val="009C05F8"/>
    <w:rsid w:val="009F0838"/>
    <w:rsid w:val="00A61DFB"/>
    <w:rsid w:val="00A90111"/>
    <w:rsid w:val="00AB1AF0"/>
    <w:rsid w:val="00AF02FD"/>
    <w:rsid w:val="00B05D4D"/>
    <w:rsid w:val="00B202D0"/>
    <w:rsid w:val="00B463FA"/>
    <w:rsid w:val="00B603A5"/>
    <w:rsid w:val="00B86004"/>
    <w:rsid w:val="00BC38C6"/>
    <w:rsid w:val="00BF58B7"/>
    <w:rsid w:val="00BF793A"/>
    <w:rsid w:val="00C03BB6"/>
    <w:rsid w:val="00C13BB2"/>
    <w:rsid w:val="00C2012E"/>
    <w:rsid w:val="00C32646"/>
    <w:rsid w:val="00C61F07"/>
    <w:rsid w:val="00C71044"/>
    <w:rsid w:val="00CA15F8"/>
    <w:rsid w:val="00CB2094"/>
    <w:rsid w:val="00CB5ECD"/>
    <w:rsid w:val="00CC54B3"/>
    <w:rsid w:val="00CE44CF"/>
    <w:rsid w:val="00CE6587"/>
    <w:rsid w:val="00CE6D43"/>
    <w:rsid w:val="00D203FA"/>
    <w:rsid w:val="00DA1EAE"/>
    <w:rsid w:val="00DF115A"/>
    <w:rsid w:val="00E47FBB"/>
    <w:rsid w:val="00EC44B5"/>
    <w:rsid w:val="00ED0858"/>
    <w:rsid w:val="00ED5C33"/>
    <w:rsid w:val="00ED6BF3"/>
    <w:rsid w:val="00EE3A8E"/>
    <w:rsid w:val="00EF3A68"/>
    <w:rsid w:val="00F00220"/>
    <w:rsid w:val="00F31C75"/>
    <w:rsid w:val="00F92521"/>
    <w:rsid w:val="00FD7874"/>
    <w:rsid w:val="00FF28D3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EAAF51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 "Informatīvais ziņojums "Par ārstniecības personu un ārstniecības iestāžu pārējā personāla atlīdzības palielināšanu 2019.- 2021.gadam"</vt:lpstr>
    </vt:vector>
  </TitlesOfParts>
  <Company>Veselības ministrija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"Informatīvais ziņojums "Par ārstniecības personu un ārstniecības iestāžu pārējā personāla atlīdzības palielināšanu 2019.- 2021.gadam"</dc:title>
  <dc:subject>Protokollēmums</dc:subject>
  <dc:creator>Inga Vinničenko</dc:creator>
  <cp:keywords/>
  <dc:description>Inga.Vinnicenko@vm.gov.lv, tel. Nr.67876029, Nozares budžeta plānošanas departamenta vecākā referente;</dc:description>
  <cp:lastModifiedBy>Signe Vītoliņa</cp:lastModifiedBy>
  <cp:revision>16</cp:revision>
  <cp:lastPrinted>2016-12-13T09:07:00Z</cp:lastPrinted>
  <dcterms:created xsi:type="dcterms:W3CDTF">2018-10-09T13:35:00Z</dcterms:created>
  <dcterms:modified xsi:type="dcterms:W3CDTF">2018-10-31T07:16:00Z</dcterms:modified>
</cp:coreProperties>
</file>