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D8" w:rsidRPr="00756BDE" w:rsidRDefault="00997EE2" w:rsidP="003961D8">
      <w:pPr>
        <w:pStyle w:val="Nosaukums"/>
      </w:pPr>
      <w:r w:rsidRPr="00756BDE">
        <w:t>LATVIJAS REPUBLIKAS MINISTRU KABINETA SĒDES PROTOKOLLĒMUMS</w:t>
      </w:r>
    </w:p>
    <w:p w:rsidR="003961D8" w:rsidRPr="00756BDE" w:rsidRDefault="00997EE2" w:rsidP="003961D8">
      <w:pPr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</w:t>
      </w:r>
    </w:p>
    <w:p w:rsidR="003961D8" w:rsidRPr="00756BDE" w:rsidRDefault="00997EE2" w:rsidP="003961D8">
      <w:pPr>
        <w:pStyle w:val="Virsraksts1"/>
        <w:keepNext w:val="0"/>
        <w:widowControl w:val="0"/>
      </w:pPr>
      <w:r w:rsidRPr="00756BDE">
        <w:t>Rīgā</w:t>
      </w:r>
      <w:r w:rsidRPr="00756BDE">
        <w:tab/>
      </w:r>
      <w:r w:rsidRPr="00756BDE">
        <w:tab/>
      </w:r>
      <w:r w:rsidRPr="00756BDE">
        <w:tab/>
      </w:r>
      <w:r w:rsidRPr="00756BDE">
        <w:tab/>
      </w:r>
      <w:r w:rsidRPr="00756BDE">
        <w:tab/>
      </w:r>
      <w:r w:rsidRPr="00756BDE">
        <w:tab/>
        <w:t>Nr.</w:t>
      </w:r>
      <w:r w:rsidRPr="00756BDE">
        <w:tab/>
      </w:r>
      <w:r w:rsidRPr="00756BDE">
        <w:tab/>
      </w:r>
      <w:proofErr w:type="gramStart"/>
      <w:r w:rsidRPr="00756BDE">
        <w:t xml:space="preserve">      </w:t>
      </w:r>
      <w:proofErr w:type="gramEnd"/>
      <w:r w:rsidRPr="00756BDE">
        <w:tab/>
        <w:t>201</w:t>
      </w:r>
      <w:r w:rsidR="00F367C2">
        <w:t>8</w:t>
      </w:r>
      <w:r w:rsidRPr="00756BDE">
        <w:t>.</w:t>
      </w:r>
      <w:r w:rsidR="005224B2">
        <w:t xml:space="preserve"> </w:t>
      </w:r>
      <w:r w:rsidRPr="00756BDE">
        <w:t xml:space="preserve">gada </w:t>
      </w:r>
      <w:r w:rsidR="002E3D40">
        <w:t xml:space="preserve">    </w:t>
      </w:r>
      <w:r w:rsidRPr="00756BDE">
        <w:t>.</w:t>
      </w:r>
      <w:r w:rsidR="00217C4D">
        <w:t>dec</w:t>
      </w:r>
      <w:r w:rsidR="003E0B9E">
        <w:t>embrī</w:t>
      </w:r>
    </w:p>
    <w:p w:rsidR="003961D8" w:rsidRPr="008C2EDE" w:rsidRDefault="003961D8" w:rsidP="003961D8">
      <w:pPr>
        <w:jc w:val="both"/>
        <w:rPr>
          <w:sz w:val="20"/>
          <w:szCs w:val="28"/>
          <w:lang w:val="lv-LV"/>
        </w:rPr>
      </w:pPr>
    </w:p>
    <w:p w:rsidR="003961D8" w:rsidRPr="00756BDE" w:rsidRDefault="00997EE2" w:rsidP="003961D8">
      <w:pPr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  <w:t>.§</w:t>
      </w:r>
    </w:p>
    <w:p w:rsidR="003961D8" w:rsidRPr="008C2EDE" w:rsidRDefault="003961D8" w:rsidP="003961D8">
      <w:pPr>
        <w:jc w:val="both"/>
        <w:rPr>
          <w:sz w:val="20"/>
          <w:szCs w:val="28"/>
          <w:lang w:val="lv-LV"/>
        </w:rPr>
      </w:pPr>
    </w:p>
    <w:p w:rsidR="00F367C2" w:rsidRPr="00F367C2" w:rsidRDefault="00997EE2" w:rsidP="00F367C2">
      <w:pPr>
        <w:jc w:val="center"/>
        <w:rPr>
          <w:b/>
          <w:sz w:val="28"/>
          <w:szCs w:val="28"/>
          <w:lang w:val="lv-LV"/>
        </w:rPr>
      </w:pPr>
      <w:r w:rsidRPr="00F367C2">
        <w:rPr>
          <w:b/>
          <w:sz w:val="28"/>
          <w:szCs w:val="28"/>
          <w:lang w:val="lv-LV"/>
        </w:rPr>
        <w:t>Informatīvais ziņojums par Āfrikas cūku mēra uzraudzības un apkarošanas programmas īstenošanu un Pārtikas un veterinārā dienesta kapacitāti Āfrikas cūku mēra uzraudzības un izplatības ierobežošanas nodrošināšanai</w:t>
      </w:r>
    </w:p>
    <w:p w:rsidR="00836C1E" w:rsidRPr="00756BDE" w:rsidRDefault="00836C1E" w:rsidP="00E36B63">
      <w:pPr>
        <w:jc w:val="center"/>
        <w:rPr>
          <w:b/>
          <w:sz w:val="28"/>
          <w:szCs w:val="28"/>
          <w:lang w:val="lv-LV"/>
        </w:rPr>
      </w:pPr>
    </w:p>
    <w:p w:rsidR="003961D8" w:rsidRPr="00756BDE" w:rsidRDefault="00997EE2" w:rsidP="003961D8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TA-</w:t>
      </w:r>
      <w:r w:rsidRPr="00756BDE">
        <w:rPr>
          <w:sz w:val="28"/>
          <w:szCs w:val="28"/>
          <w:lang w:val="lv-LV"/>
        </w:rPr>
        <w:t>_______________________________</w:t>
      </w:r>
      <w:r>
        <w:rPr>
          <w:sz w:val="28"/>
          <w:szCs w:val="28"/>
          <w:lang w:val="lv-LV"/>
        </w:rPr>
        <w:t>_____________________________</w:t>
      </w:r>
    </w:p>
    <w:p w:rsidR="00A9503E" w:rsidRPr="00756BDE" w:rsidRDefault="00A9503E" w:rsidP="003961D8">
      <w:pPr>
        <w:pStyle w:val="Pamatteksts"/>
        <w:rPr>
          <w:b w:val="0"/>
          <w:color w:val="000000"/>
        </w:rPr>
      </w:pPr>
    </w:p>
    <w:p w:rsidR="00FB15EE" w:rsidRDefault="00997EE2" w:rsidP="0002094D">
      <w:pPr>
        <w:pStyle w:val="Galvene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</w:t>
      </w:r>
      <w:r w:rsidR="004D2923">
        <w:rPr>
          <w:sz w:val="28"/>
          <w:szCs w:val="28"/>
          <w:lang w:val="lv-LV"/>
        </w:rPr>
        <w:t> </w:t>
      </w:r>
      <w:r w:rsidR="003961D8" w:rsidRPr="00756BDE">
        <w:rPr>
          <w:sz w:val="28"/>
          <w:szCs w:val="28"/>
          <w:lang w:val="lv-LV"/>
        </w:rPr>
        <w:t>Pieņemt zināšanai iesniegto informatīvo ziņojumu.</w:t>
      </w:r>
    </w:p>
    <w:p w:rsidR="00CF0016" w:rsidRDefault="00CF0016" w:rsidP="00A525B4">
      <w:pPr>
        <w:pStyle w:val="Pamatteksts"/>
        <w:tabs>
          <w:tab w:val="left" w:pos="0"/>
        </w:tabs>
        <w:jc w:val="both"/>
        <w:rPr>
          <w:b w:val="0"/>
        </w:rPr>
      </w:pPr>
    </w:p>
    <w:p w:rsidR="00EA3F8B" w:rsidRPr="00667506" w:rsidRDefault="00997EE2" w:rsidP="00F367C2">
      <w:pPr>
        <w:pStyle w:val="Pamatteksts"/>
        <w:jc w:val="both"/>
        <w:rPr>
          <w:b w:val="0"/>
          <w:color w:val="000000" w:themeColor="text1"/>
        </w:rPr>
      </w:pPr>
      <w:r>
        <w:rPr>
          <w:b w:val="0"/>
        </w:rPr>
        <w:tab/>
        <w:t>2</w:t>
      </w:r>
      <w:r w:rsidR="008C23B4">
        <w:rPr>
          <w:b w:val="0"/>
        </w:rPr>
        <w:t xml:space="preserve">. </w:t>
      </w:r>
      <w:r w:rsidR="003F77E9">
        <w:rPr>
          <w:b w:val="0"/>
          <w:color w:val="000000" w:themeColor="text1"/>
        </w:rPr>
        <w:t>A</w:t>
      </w:r>
      <w:r w:rsidR="00F367C2">
        <w:rPr>
          <w:b w:val="0"/>
          <w:color w:val="000000" w:themeColor="text1"/>
        </w:rPr>
        <w:t xml:space="preserve">tļaut Zemkopības ministrijai </w:t>
      </w:r>
      <w:r w:rsidR="003F77E9">
        <w:rPr>
          <w:b w:val="0"/>
          <w:color w:val="000000" w:themeColor="text1"/>
        </w:rPr>
        <w:t xml:space="preserve">papildus </w:t>
      </w:r>
      <w:r w:rsidR="00F367C2">
        <w:rPr>
          <w:b w:val="0"/>
          <w:color w:val="000000" w:themeColor="text1"/>
        </w:rPr>
        <w:t>uzņemties valsts budžeta ilgtermiņa saistības</w:t>
      </w:r>
      <w:r w:rsidR="00F367C2" w:rsidRPr="00667506">
        <w:rPr>
          <w:b w:val="0"/>
          <w:color w:val="000000" w:themeColor="text1"/>
        </w:rPr>
        <w:t>, lai Pārtikas un veterinārais dienests</w:t>
      </w:r>
      <w:r w:rsidR="000D7071">
        <w:rPr>
          <w:b w:val="0"/>
          <w:color w:val="000000" w:themeColor="text1"/>
        </w:rPr>
        <w:t xml:space="preserve"> un </w:t>
      </w:r>
      <w:r w:rsidR="000D7071" w:rsidRPr="00917D99">
        <w:rPr>
          <w:b w:val="0"/>
        </w:rPr>
        <w:t>Pārtikas drošības, dzīvnieku veselības un vides zinātniskais institūts "BIOR"</w:t>
      </w:r>
      <w:r w:rsidR="000D7071" w:rsidRPr="000D7071">
        <w:rPr>
          <w:b w:val="0"/>
          <w:color w:val="000000" w:themeColor="text1"/>
        </w:rPr>
        <w:t xml:space="preserve"> </w:t>
      </w:r>
      <w:r w:rsidR="00F367C2" w:rsidRPr="00667506">
        <w:rPr>
          <w:b w:val="0"/>
          <w:color w:val="000000" w:themeColor="text1"/>
        </w:rPr>
        <w:t>varētu nodrošināt</w:t>
      </w:r>
      <w:r w:rsidR="004D2923">
        <w:rPr>
          <w:b w:val="0"/>
          <w:color w:val="000000" w:themeColor="text1"/>
        </w:rPr>
        <w:t xml:space="preserve"> </w:t>
      </w:r>
      <w:r w:rsidR="00F367C2" w:rsidRPr="00667506">
        <w:rPr>
          <w:b w:val="0"/>
          <w:color w:val="000000" w:themeColor="text1"/>
        </w:rPr>
        <w:t>Āfrikas cūku mēra uzraudzības un ap</w:t>
      </w:r>
      <w:r w:rsidR="004D2923">
        <w:rPr>
          <w:b w:val="0"/>
          <w:color w:val="000000" w:themeColor="text1"/>
        </w:rPr>
        <w:t>ka</w:t>
      </w:r>
      <w:r w:rsidR="00F367C2" w:rsidRPr="00667506">
        <w:rPr>
          <w:b w:val="0"/>
          <w:color w:val="000000" w:themeColor="text1"/>
        </w:rPr>
        <w:t>rošanas programmas izpildi:</w:t>
      </w:r>
    </w:p>
    <w:p w:rsidR="00F367C2" w:rsidRPr="004D2923" w:rsidRDefault="00997EE2" w:rsidP="00F367C2">
      <w:pPr>
        <w:pStyle w:val="Pamatteksts"/>
        <w:jc w:val="both"/>
        <w:rPr>
          <w:b w:val="0"/>
          <w:color w:val="000000" w:themeColor="text1"/>
        </w:rPr>
      </w:pPr>
      <w:r w:rsidRPr="00667506">
        <w:rPr>
          <w:b w:val="0"/>
          <w:color w:val="000000" w:themeColor="text1"/>
        </w:rPr>
        <w:tab/>
      </w:r>
      <w:r w:rsidRPr="004D2923">
        <w:rPr>
          <w:b w:val="0"/>
          <w:color w:val="000000" w:themeColor="text1"/>
        </w:rPr>
        <w:t xml:space="preserve">2.1. 2019. gadā </w:t>
      </w:r>
      <w:r w:rsidR="004D2923">
        <w:rPr>
          <w:b w:val="0"/>
          <w:color w:val="000000" w:themeColor="text1"/>
        </w:rPr>
        <w:t>–</w:t>
      </w:r>
      <w:r w:rsidR="00F40A46" w:rsidRPr="004D2923">
        <w:rPr>
          <w:b w:val="0"/>
          <w:color w:val="000000" w:themeColor="text1"/>
        </w:rPr>
        <w:t xml:space="preserve"> </w:t>
      </w:r>
      <w:r w:rsidR="00B626DE">
        <w:rPr>
          <w:b w:val="0"/>
          <w:color w:val="000000" w:themeColor="text1"/>
        </w:rPr>
        <w:t>519 732</w:t>
      </w:r>
      <w:r w:rsidR="00940AC7" w:rsidRPr="00917D99">
        <w:rPr>
          <w:b w:val="0"/>
          <w:color w:val="000000" w:themeColor="text1"/>
        </w:rPr>
        <w:t xml:space="preserve"> </w:t>
      </w:r>
      <w:r w:rsidR="004D2923" w:rsidRPr="004F1458">
        <w:rPr>
          <w:b w:val="0"/>
          <w:i/>
          <w:color w:val="000000" w:themeColor="text1"/>
        </w:rPr>
        <w:t>euro</w:t>
      </w:r>
      <w:r w:rsidR="00F40A46" w:rsidRPr="004D2923">
        <w:rPr>
          <w:b w:val="0"/>
          <w:color w:val="000000" w:themeColor="text1"/>
        </w:rPr>
        <w:t xml:space="preserve"> apmērā;</w:t>
      </w:r>
    </w:p>
    <w:p w:rsidR="00F40A46" w:rsidRPr="004D2923" w:rsidRDefault="00997EE2" w:rsidP="00F367C2">
      <w:pPr>
        <w:pStyle w:val="Pamatteksts"/>
        <w:jc w:val="both"/>
        <w:rPr>
          <w:b w:val="0"/>
          <w:color w:val="000000" w:themeColor="text1"/>
        </w:rPr>
      </w:pPr>
      <w:r w:rsidRPr="004D2923">
        <w:rPr>
          <w:b w:val="0"/>
          <w:color w:val="000000" w:themeColor="text1"/>
        </w:rPr>
        <w:tab/>
        <w:t xml:space="preserve">2.2. 2020. gadā </w:t>
      </w:r>
      <w:r w:rsidR="004D2923">
        <w:rPr>
          <w:b w:val="0"/>
          <w:color w:val="000000" w:themeColor="text1"/>
        </w:rPr>
        <w:t>–</w:t>
      </w:r>
      <w:r w:rsidRPr="004D2923">
        <w:rPr>
          <w:b w:val="0"/>
          <w:color w:val="000000" w:themeColor="text1"/>
        </w:rPr>
        <w:t xml:space="preserve"> </w:t>
      </w:r>
      <w:r w:rsidR="00B626DE">
        <w:rPr>
          <w:b w:val="0"/>
        </w:rPr>
        <w:t xml:space="preserve">3 141 405 </w:t>
      </w:r>
      <w:proofErr w:type="spellStart"/>
      <w:r w:rsidR="004D2923" w:rsidRPr="00C12734">
        <w:rPr>
          <w:b w:val="0"/>
          <w:i/>
          <w:color w:val="000000" w:themeColor="text1"/>
        </w:rPr>
        <w:t>euro</w:t>
      </w:r>
      <w:proofErr w:type="spellEnd"/>
      <w:r w:rsidRPr="004D2923">
        <w:rPr>
          <w:b w:val="0"/>
          <w:color w:val="000000" w:themeColor="text1"/>
        </w:rPr>
        <w:t xml:space="preserve"> apmērā;</w:t>
      </w:r>
    </w:p>
    <w:p w:rsidR="00210C6C" w:rsidRPr="00210C6C" w:rsidRDefault="00997EE2" w:rsidP="00210C6C">
      <w:pPr>
        <w:pStyle w:val="Pamatteksts"/>
        <w:jc w:val="both"/>
        <w:rPr>
          <w:b w:val="0"/>
          <w:color w:val="000000" w:themeColor="text1"/>
        </w:rPr>
      </w:pPr>
      <w:r w:rsidRPr="004D2923">
        <w:rPr>
          <w:b w:val="0"/>
          <w:color w:val="000000" w:themeColor="text1"/>
        </w:rPr>
        <w:tab/>
        <w:t>2.3. 2021.</w:t>
      </w:r>
      <w:r w:rsidR="003F77E9">
        <w:rPr>
          <w:b w:val="0"/>
          <w:color w:val="000000" w:themeColor="text1"/>
        </w:rPr>
        <w:t>, 2022. un 2023. </w:t>
      </w:r>
      <w:r w:rsidRPr="004D2923">
        <w:rPr>
          <w:b w:val="0"/>
          <w:color w:val="000000" w:themeColor="text1"/>
        </w:rPr>
        <w:t xml:space="preserve">gadā </w:t>
      </w:r>
      <w:r w:rsidR="004D2923">
        <w:rPr>
          <w:b w:val="0"/>
          <w:color w:val="000000" w:themeColor="text1"/>
        </w:rPr>
        <w:t>–</w:t>
      </w:r>
      <w:r w:rsidRPr="004D2923">
        <w:rPr>
          <w:b w:val="0"/>
          <w:color w:val="000000" w:themeColor="text1"/>
        </w:rPr>
        <w:t xml:space="preserve"> </w:t>
      </w:r>
      <w:r w:rsidR="00B626DE">
        <w:rPr>
          <w:b w:val="0"/>
          <w:color w:val="000000" w:themeColor="text1"/>
        </w:rPr>
        <w:t> 3 650 886 </w:t>
      </w:r>
      <w:proofErr w:type="spellStart"/>
      <w:r w:rsidR="004D2923" w:rsidRPr="00C12734">
        <w:rPr>
          <w:b w:val="0"/>
          <w:i/>
          <w:color w:val="000000" w:themeColor="text1"/>
        </w:rPr>
        <w:t>euro</w:t>
      </w:r>
      <w:proofErr w:type="spellEnd"/>
      <w:r w:rsidR="004D2923" w:rsidRPr="004D2923">
        <w:rPr>
          <w:b w:val="0"/>
          <w:color w:val="000000" w:themeColor="text1"/>
        </w:rPr>
        <w:t xml:space="preserve"> </w:t>
      </w:r>
      <w:r w:rsidR="003E0B9E">
        <w:rPr>
          <w:b w:val="0"/>
          <w:color w:val="000000" w:themeColor="text1"/>
        </w:rPr>
        <w:t>apmērā.</w:t>
      </w:r>
    </w:p>
    <w:p w:rsidR="001D42D9" w:rsidRDefault="001D42D9" w:rsidP="00A525B4">
      <w:pPr>
        <w:pStyle w:val="Pamatteksts"/>
        <w:jc w:val="both"/>
        <w:rPr>
          <w:b w:val="0"/>
          <w:color w:val="000000" w:themeColor="text1"/>
        </w:rPr>
      </w:pPr>
    </w:p>
    <w:p w:rsidR="00F40A46" w:rsidRDefault="00997EE2" w:rsidP="00F40A46">
      <w:pPr>
        <w:pStyle w:val="Pamatteksts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 xml:space="preserve">3. </w:t>
      </w:r>
      <w:r w:rsidR="00F40A46">
        <w:rPr>
          <w:b w:val="0"/>
          <w:color w:val="000000" w:themeColor="text1"/>
        </w:rPr>
        <w:t xml:space="preserve">Lai nodrošinātu Āfrikas cūku mēra uzraudzības un apkarošanas programmas īstenošanu, </w:t>
      </w:r>
      <w:r w:rsidR="003F77E9">
        <w:rPr>
          <w:b w:val="0"/>
          <w:color w:val="000000" w:themeColor="text1"/>
        </w:rPr>
        <w:t xml:space="preserve">atļaut termiņu, līdz kuram atbilstoši </w:t>
      </w:r>
      <w:r w:rsidR="00F40A46">
        <w:rPr>
          <w:b w:val="0"/>
          <w:color w:val="000000" w:themeColor="text1"/>
        </w:rPr>
        <w:t xml:space="preserve">Ministru kabineta 2014. gada 4. septembra sēdes </w:t>
      </w:r>
      <w:r w:rsidR="003F77E9">
        <w:rPr>
          <w:b w:val="0"/>
          <w:color w:val="000000" w:themeColor="text1"/>
        </w:rPr>
        <w:t>protokol</w:t>
      </w:r>
      <w:r w:rsidR="00F40A46">
        <w:rPr>
          <w:b w:val="0"/>
          <w:color w:val="000000" w:themeColor="text1"/>
        </w:rPr>
        <w:t>lēmum</w:t>
      </w:r>
      <w:r w:rsidR="003F77E9">
        <w:rPr>
          <w:b w:val="0"/>
          <w:color w:val="000000" w:themeColor="text1"/>
        </w:rPr>
        <w:t>a</w:t>
      </w:r>
      <w:r w:rsidR="00F40A46">
        <w:rPr>
          <w:b w:val="0"/>
          <w:color w:val="000000" w:themeColor="text1"/>
        </w:rPr>
        <w:t xml:space="preserve"> (protokols Nr. 47 1.</w:t>
      </w:r>
      <w:r w:rsidR="003F77E9">
        <w:rPr>
          <w:b w:val="0"/>
          <w:color w:val="000000" w:themeColor="text1"/>
        </w:rPr>
        <w:t> </w:t>
      </w:r>
      <w:r w:rsidR="00F40A46">
        <w:rPr>
          <w:b w:val="0"/>
          <w:color w:val="000000" w:themeColor="text1"/>
        </w:rPr>
        <w:t xml:space="preserve">§) </w:t>
      </w:r>
      <w:r w:rsidR="003F77E9">
        <w:rPr>
          <w:b w:val="0"/>
          <w:color w:val="000000" w:themeColor="text1"/>
        </w:rPr>
        <w:t xml:space="preserve">2. punktam </w:t>
      </w:r>
      <w:r w:rsidR="00F40A46">
        <w:rPr>
          <w:b w:val="0"/>
          <w:color w:val="000000" w:themeColor="text1"/>
        </w:rPr>
        <w:t>Pārtikas un veterinārajā dienestā uz laiku izveidot</w:t>
      </w:r>
      <w:r w:rsidR="003F77E9">
        <w:rPr>
          <w:b w:val="0"/>
          <w:color w:val="000000" w:themeColor="text1"/>
        </w:rPr>
        <w:t>as</w:t>
      </w:r>
      <w:r w:rsidR="00F40A46">
        <w:rPr>
          <w:b w:val="0"/>
          <w:color w:val="000000" w:themeColor="text1"/>
        </w:rPr>
        <w:t xml:space="preserve"> 20 amata viet</w:t>
      </w:r>
      <w:r w:rsidR="003F77E9">
        <w:rPr>
          <w:b w:val="0"/>
          <w:color w:val="000000" w:themeColor="text1"/>
        </w:rPr>
        <w:t xml:space="preserve">as, pagarināt </w:t>
      </w:r>
      <w:r w:rsidR="00F40A46">
        <w:rPr>
          <w:b w:val="0"/>
          <w:color w:val="000000" w:themeColor="text1"/>
        </w:rPr>
        <w:t xml:space="preserve">līdz </w:t>
      </w:r>
      <w:r w:rsidR="00940AC7" w:rsidRPr="00917D99">
        <w:rPr>
          <w:b w:val="0"/>
        </w:rPr>
        <w:t>2023. gada 31. decembrim</w:t>
      </w:r>
      <w:r w:rsidR="00F40A46">
        <w:rPr>
          <w:b w:val="0"/>
          <w:color w:val="000000" w:themeColor="text1"/>
        </w:rPr>
        <w:t>.</w:t>
      </w:r>
      <w:r w:rsidR="00940AC7">
        <w:rPr>
          <w:b w:val="0"/>
          <w:color w:val="000000" w:themeColor="text1"/>
        </w:rPr>
        <w:t xml:space="preserve"> </w:t>
      </w:r>
    </w:p>
    <w:p w:rsidR="00AD7992" w:rsidRDefault="00AD7992" w:rsidP="00F40A46">
      <w:pPr>
        <w:pStyle w:val="Pamatteksts"/>
        <w:jc w:val="both"/>
        <w:rPr>
          <w:b w:val="0"/>
          <w:color w:val="000000" w:themeColor="text1"/>
        </w:rPr>
      </w:pPr>
    </w:p>
    <w:p w:rsidR="00F40A46" w:rsidRDefault="00997EE2" w:rsidP="00F40A46">
      <w:pPr>
        <w:pStyle w:val="Pamatteksts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 w:rsidRPr="00CB0778">
        <w:rPr>
          <w:b w:val="0"/>
          <w:color w:val="000000" w:themeColor="text1"/>
        </w:rPr>
        <w:t>4. Zemkopības minis</w:t>
      </w:r>
      <w:r w:rsidR="00E23929" w:rsidRPr="00CB0778">
        <w:rPr>
          <w:b w:val="0"/>
          <w:color w:val="000000" w:themeColor="text1"/>
        </w:rPr>
        <w:t>trijai normatīvajos aktos notei</w:t>
      </w:r>
      <w:r w:rsidRPr="00CB0778">
        <w:rPr>
          <w:b w:val="0"/>
          <w:color w:val="000000" w:themeColor="text1"/>
        </w:rPr>
        <w:t>k</w:t>
      </w:r>
      <w:r w:rsidR="00E23929" w:rsidRPr="00CB0778">
        <w:rPr>
          <w:b w:val="0"/>
          <w:color w:val="000000" w:themeColor="text1"/>
        </w:rPr>
        <w:t>t</w:t>
      </w:r>
      <w:r w:rsidRPr="00CB0778">
        <w:rPr>
          <w:b w:val="0"/>
          <w:color w:val="000000" w:themeColor="text1"/>
        </w:rPr>
        <w:t>ajā kārtībā</w:t>
      </w:r>
      <w:r w:rsidR="007D6CCF" w:rsidRPr="00CB0778">
        <w:rPr>
          <w:b w:val="0"/>
          <w:color w:val="000000" w:themeColor="text1"/>
        </w:rPr>
        <w:t xml:space="preserve"> nodrošināt </w:t>
      </w:r>
      <w:r w:rsidR="004D2923">
        <w:rPr>
          <w:b w:val="0"/>
          <w:color w:val="000000" w:themeColor="text1"/>
        </w:rPr>
        <w:t xml:space="preserve">šī protokollēmuma </w:t>
      </w:r>
      <w:r w:rsidR="007D6CCF" w:rsidRPr="00CB0778">
        <w:rPr>
          <w:b w:val="0"/>
          <w:color w:val="000000" w:themeColor="text1"/>
        </w:rPr>
        <w:t>2.</w:t>
      </w:r>
      <w:r w:rsidR="004D2923">
        <w:rPr>
          <w:b w:val="0"/>
          <w:color w:val="000000" w:themeColor="text1"/>
        </w:rPr>
        <w:t> </w:t>
      </w:r>
      <w:r w:rsidR="007D6CCF" w:rsidRPr="00CB0778">
        <w:rPr>
          <w:b w:val="0"/>
          <w:color w:val="000000" w:themeColor="text1"/>
        </w:rPr>
        <w:t>punktā minētā finansējuma iekļaušanu ilgtermiņa saistībās Z</w:t>
      </w:r>
      <w:r w:rsidRPr="00CB0778">
        <w:rPr>
          <w:b w:val="0"/>
          <w:color w:val="000000" w:themeColor="text1"/>
        </w:rPr>
        <w:t>emkopības min</w:t>
      </w:r>
      <w:r w:rsidR="007D6CCF" w:rsidRPr="00CB0778">
        <w:rPr>
          <w:b w:val="0"/>
          <w:color w:val="000000" w:themeColor="text1"/>
        </w:rPr>
        <w:t>istrijas apakšprogrammā 70.06.00 “Izdevumi citu Eiropas S</w:t>
      </w:r>
      <w:r w:rsidRPr="00CB0778">
        <w:rPr>
          <w:b w:val="0"/>
          <w:color w:val="000000" w:themeColor="text1"/>
        </w:rPr>
        <w:t xml:space="preserve">avienības politiku </w:t>
      </w:r>
      <w:r w:rsidR="00E23929" w:rsidRPr="00CB0778">
        <w:rPr>
          <w:b w:val="0"/>
          <w:color w:val="000000" w:themeColor="text1"/>
        </w:rPr>
        <w:t>instrumentu projektu un pasākumu īstenošanai” Eiropas Komisijas līdzfinansētās Āfrikas cūku mēra uzraudzības un apkarošanas programmas izpildes nodrošināšanai.</w:t>
      </w:r>
    </w:p>
    <w:p w:rsidR="00E23929" w:rsidRDefault="009C49D9" w:rsidP="00917D99">
      <w:pPr>
        <w:pStyle w:val="Pamatteksts"/>
        <w:tabs>
          <w:tab w:val="left" w:pos="945"/>
        </w:tabs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</w:p>
    <w:p w:rsidR="002D7B4C" w:rsidRPr="002D7B4C" w:rsidRDefault="00997EE2" w:rsidP="002D7B4C">
      <w:pPr>
        <w:pStyle w:val="Pamatteksts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 xml:space="preserve">5. </w:t>
      </w:r>
      <w:r w:rsidRPr="002D7B4C">
        <w:rPr>
          <w:b w:val="0"/>
          <w:color w:val="000000" w:themeColor="text1"/>
        </w:rPr>
        <w:t>Zemkopības ministrija saskaņā ar Eiropas Parlamenta un Padomes 2014. gada 15. maija Regulu (ES) Nr.</w:t>
      </w:r>
      <w:r w:rsidR="003F77E9">
        <w:rPr>
          <w:b w:val="0"/>
          <w:color w:val="000000" w:themeColor="text1"/>
        </w:rPr>
        <w:t> </w:t>
      </w:r>
      <w:r w:rsidRPr="002D7B4C">
        <w:rPr>
          <w:b w:val="0"/>
          <w:color w:val="000000" w:themeColor="text1"/>
        </w:rPr>
        <w:t>652/2014, ar ko paredz noteikumus tādu izdevumu pārvaldībai, kuri attiecas uz pārtikas apriti, dzīvnieku veselību un dzīvnieku labturību, augu veselību un augu reproduktīvo materiālu, un ar ko groza Padomes Direktīvas 98/56/EK, 2000/29/EK un 2008/90/EK, Eiropas Parlamenta un Padomes Regulas (EK) Nr.</w:t>
      </w:r>
      <w:r w:rsidR="004D2923">
        <w:rPr>
          <w:b w:val="0"/>
          <w:color w:val="000000" w:themeColor="text1"/>
        </w:rPr>
        <w:t> </w:t>
      </w:r>
      <w:r w:rsidRPr="002D7B4C">
        <w:rPr>
          <w:b w:val="0"/>
          <w:color w:val="000000" w:themeColor="text1"/>
        </w:rPr>
        <w:t>178/2002, (EK) Nr.</w:t>
      </w:r>
      <w:r w:rsidR="004D2923">
        <w:rPr>
          <w:b w:val="0"/>
          <w:color w:val="000000" w:themeColor="text1"/>
        </w:rPr>
        <w:t> </w:t>
      </w:r>
      <w:r w:rsidRPr="002D7B4C">
        <w:rPr>
          <w:b w:val="0"/>
          <w:color w:val="000000" w:themeColor="text1"/>
        </w:rPr>
        <w:t>882/2004 un (EK) Nr.</w:t>
      </w:r>
      <w:r w:rsidR="004D2923">
        <w:rPr>
          <w:b w:val="0"/>
          <w:color w:val="000000" w:themeColor="text1"/>
        </w:rPr>
        <w:t> </w:t>
      </w:r>
      <w:r w:rsidRPr="002D7B4C">
        <w:rPr>
          <w:b w:val="0"/>
          <w:color w:val="000000" w:themeColor="text1"/>
        </w:rPr>
        <w:t xml:space="preserve">396/2005, Eiropas Parlamenta un Padomes Direktīvu 2009/128/EK un </w:t>
      </w:r>
      <w:r w:rsidRPr="002D7B4C">
        <w:rPr>
          <w:b w:val="0"/>
          <w:color w:val="000000" w:themeColor="text1"/>
        </w:rPr>
        <w:lastRenderedPageBreak/>
        <w:t>Eiropas Parlamenta un Padomes Regulu (EK) Nr.</w:t>
      </w:r>
      <w:r w:rsidR="004D2923">
        <w:rPr>
          <w:b w:val="0"/>
          <w:color w:val="000000" w:themeColor="text1"/>
        </w:rPr>
        <w:t> </w:t>
      </w:r>
      <w:r w:rsidRPr="002D7B4C">
        <w:rPr>
          <w:b w:val="0"/>
          <w:color w:val="000000" w:themeColor="text1"/>
        </w:rPr>
        <w:t>1107/2009 un atceļ Padomes Lēmumus 66/399/EEK, 76/894/EEK un 2009/470/EK, iesniegs pieprasījumu Eiropas Komisijā, lai nodrošinātu, ka valsts budžetā daļēji ti</w:t>
      </w:r>
      <w:r w:rsidR="005224B2">
        <w:rPr>
          <w:b w:val="0"/>
          <w:color w:val="000000" w:themeColor="text1"/>
        </w:rPr>
        <w:t>ek</w:t>
      </w:r>
      <w:r w:rsidRPr="002D7B4C">
        <w:rPr>
          <w:b w:val="0"/>
          <w:color w:val="000000" w:themeColor="text1"/>
        </w:rPr>
        <w:t xml:space="preserve"> atgūti Āfrikas cūku mēra uzraudzības un apkarošanas programmai izlietotie līdzekļi.</w:t>
      </w:r>
    </w:p>
    <w:p w:rsidR="00E23929" w:rsidRDefault="00E23929" w:rsidP="00F40A46">
      <w:pPr>
        <w:pStyle w:val="Pamatteksts"/>
        <w:jc w:val="both"/>
        <w:rPr>
          <w:b w:val="0"/>
          <w:i/>
        </w:rPr>
      </w:pPr>
    </w:p>
    <w:p w:rsidR="001D42D9" w:rsidRDefault="001D42D9" w:rsidP="00E23929">
      <w:pPr>
        <w:pStyle w:val="Pamatteksts"/>
        <w:rPr>
          <w:b w:val="0"/>
          <w:i/>
        </w:rPr>
      </w:pPr>
    </w:p>
    <w:p w:rsidR="002E3D40" w:rsidRDefault="002E3D40" w:rsidP="00E23929">
      <w:pPr>
        <w:pStyle w:val="Pamatteksts"/>
        <w:rPr>
          <w:b w:val="0"/>
          <w:color w:val="000000" w:themeColor="text1"/>
        </w:rPr>
      </w:pPr>
    </w:p>
    <w:p w:rsidR="00436246" w:rsidRDefault="00997EE2" w:rsidP="00436246">
      <w:pPr>
        <w:pStyle w:val="Pamatteksts"/>
        <w:jc w:val="both"/>
        <w:rPr>
          <w:b w:val="0"/>
        </w:rPr>
      </w:pPr>
      <w:r>
        <w:rPr>
          <w:b w:val="0"/>
        </w:rPr>
        <w:tab/>
      </w:r>
      <w:r w:rsidR="00F40A46">
        <w:rPr>
          <w:b w:val="0"/>
        </w:rPr>
        <w:t>Ministru prezidents</w:t>
      </w:r>
      <w:r w:rsidRPr="00436246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C2004">
        <w:rPr>
          <w:b w:val="0"/>
        </w:rPr>
        <w:tab/>
      </w:r>
      <w:r w:rsidR="005C2004">
        <w:rPr>
          <w:b w:val="0"/>
        </w:rPr>
        <w:tab/>
      </w:r>
      <w:r w:rsidR="002E3D40">
        <w:rPr>
          <w:b w:val="0"/>
        </w:rPr>
        <w:tab/>
      </w:r>
      <w:r w:rsidR="00F40A46">
        <w:rPr>
          <w:b w:val="0"/>
        </w:rPr>
        <w:t>Māris Kučinskis</w:t>
      </w:r>
    </w:p>
    <w:p w:rsidR="00A525B4" w:rsidRDefault="00A525B4" w:rsidP="00436246">
      <w:pPr>
        <w:pStyle w:val="Pamatteksts"/>
        <w:jc w:val="both"/>
        <w:rPr>
          <w:b w:val="0"/>
        </w:rPr>
      </w:pPr>
    </w:p>
    <w:p w:rsidR="002C5029" w:rsidRPr="00436246" w:rsidRDefault="002C5029" w:rsidP="00436246">
      <w:pPr>
        <w:pStyle w:val="Pamatteksts"/>
        <w:jc w:val="both"/>
        <w:rPr>
          <w:b w:val="0"/>
        </w:rPr>
      </w:pPr>
    </w:p>
    <w:p w:rsidR="00436246" w:rsidRDefault="00F40A46" w:rsidP="002E3D40">
      <w:pPr>
        <w:pStyle w:val="Pamatteksts"/>
        <w:jc w:val="right"/>
        <w:rPr>
          <w:b w:val="0"/>
        </w:rPr>
      </w:pPr>
      <w:bookmarkStart w:id="0" w:name="_GoBack"/>
      <w:bookmarkEnd w:id="0"/>
      <w:r>
        <w:rPr>
          <w:b w:val="0"/>
        </w:rPr>
        <w:t>Valsts kancelejas direktors</w:t>
      </w:r>
      <w:r w:rsidR="00997EE2" w:rsidRPr="00436246">
        <w:rPr>
          <w:b w:val="0"/>
        </w:rPr>
        <w:tab/>
      </w:r>
      <w:r w:rsidR="00997EE2">
        <w:rPr>
          <w:b w:val="0"/>
        </w:rPr>
        <w:tab/>
      </w:r>
      <w:r w:rsidR="00997EE2">
        <w:rPr>
          <w:b w:val="0"/>
        </w:rPr>
        <w:tab/>
      </w:r>
      <w:r w:rsidR="00997EE2">
        <w:rPr>
          <w:b w:val="0"/>
        </w:rPr>
        <w:tab/>
      </w:r>
      <w:r w:rsidR="002E3D40">
        <w:rPr>
          <w:b w:val="0"/>
        </w:rPr>
        <w:tab/>
      </w:r>
      <w:r>
        <w:rPr>
          <w:b w:val="0"/>
        </w:rPr>
        <w:t>Jānis Citskovskis</w:t>
      </w:r>
    </w:p>
    <w:p w:rsidR="00A525B4" w:rsidRDefault="00A525B4" w:rsidP="00436246">
      <w:pPr>
        <w:pStyle w:val="Pamatteksts"/>
        <w:jc w:val="both"/>
        <w:rPr>
          <w:b w:val="0"/>
        </w:rPr>
      </w:pPr>
    </w:p>
    <w:p w:rsidR="002C5029" w:rsidRDefault="002C5029" w:rsidP="00436246">
      <w:pPr>
        <w:pStyle w:val="Pamatteksts"/>
        <w:jc w:val="both"/>
        <w:rPr>
          <w:b w:val="0"/>
        </w:rPr>
      </w:pPr>
    </w:p>
    <w:p w:rsidR="00436246" w:rsidRDefault="00436246" w:rsidP="00622DE8">
      <w:pPr>
        <w:jc w:val="both"/>
        <w:rPr>
          <w:sz w:val="20"/>
          <w:szCs w:val="20"/>
          <w:lang w:val="lv-LV"/>
        </w:rPr>
      </w:pPr>
    </w:p>
    <w:p w:rsidR="00A525B4" w:rsidRDefault="00A525B4" w:rsidP="00622DE8">
      <w:pPr>
        <w:jc w:val="both"/>
        <w:rPr>
          <w:sz w:val="20"/>
          <w:szCs w:val="20"/>
          <w:lang w:val="lv-LV"/>
        </w:rPr>
      </w:pPr>
    </w:p>
    <w:p w:rsidR="00622DE8" w:rsidRPr="002E3D40" w:rsidRDefault="00622DE8" w:rsidP="00622DE8">
      <w:pPr>
        <w:jc w:val="both"/>
        <w:rPr>
          <w:lang w:val="pt-BR"/>
        </w:rPr>
      </w:pPr>
    </w:p>
    <w:sectPr w:rsidR="00622DE8" w:rsidRPr="002E3D40" w:rsidSect="002E3D4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C7" w:rsidRDefault="002871C7">
      <w:r>
        <w:separator/>
      </w:r>
    </w:p>
  </w:endnote>
  <w:endnote w:type="continuationSeparator" w:id="0">
    <w:p w:rsidR="002871C7" w:rsidRDefault="0028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2E3D40" w:rsidRDefault="002E3D40" w:rsidP="002E3D40">
    <w:pPr>
      <w:pStyle w:val="Kjene"/>
    </w:pPr>
    <w:r w:rsidRPr="002E3D40">
      <w:t>ZMProt_121218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2E3D40" w:rsidRDefault="002E3D40" w:rsidP="002E3D40">
    <w:pPr>
      <w:pStyle w:val="Kjene"/>
    </w:pPr>
    <w:r w:rsidRPr="002E3D40">
      <w:t>ZMProt_121218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C7" w:rsidRDefault="002871C7">
      <w:r>
        <w:separator/>
      </w:r>
    </w:p>
  </w:footnote>
  <w:footnote w:type="continuationSeparator" w:id="0">
    <w:p w:rsidR="002871C7" w:rsidRDefault="0028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997EE2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997EE2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E3D4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F6B"/>
    <w:multiLevelType w:val="hybridMultilevel"/>
    <w:tmpl w:val="A01AACF6"/>
    <w:lvl w:ilvl="0" w:tplc="FAB6B50E">
      <w:start w:val="1"/>
      <w:numFmt w:val="decimal"/>
      <w:lvlText w:val="%1."/>
      <w:lvlJc w:val="left"/>
      <w:pPr>
        <w:ind w:left="720" w:hanging="360"/>
      </w:pPr>
    </w:lvl>
    <w:lvl w:ilvl="1" w:tplc="7D9EAC60" w:tentative="1">
      <w:start w:val="1"/>
      <w:numFmt w:val="lowerLetter"/>
      <w:lvlText w:val="%2."/>
      <w:lvlJc w:val="left"/>
      <w:pPr>
        <w:ind w:left="1440" w:hanging="360"/>
      </w:pPr>
    </w:lvl>
    <w:lvl w:ilvl="2" w:tplc="5D109ABE" w:tentative="1">
      <w:start w:val="1"/>
      <w:numFmt w:val="lowerRoman"/>
      <w:lvlText w:val="%3."/>
      <w:lvlJc w:val="right"/>
      <w:pPr>
        <w:ind w:left="2160" w:hanging="180"/>
      </w:pPr>
    </w:lvl>
    <w:lvl w:ilvl="3" w:tplc="E5A23B06" w:tentative="1">
      <w:start w:val="1"/>
      <w:numFmt w:val="decimal"/>
      <w:lvlText w:val="%4."/>
      <w:lvlJc w:val="left"/>
      <w:pPr>
        <w:ind w:left="2880" w:hanging="360"/>
      </w:pPr>
    </w:lvl>
    <w:lvl w:ilvl="4" w:tplc="E64A6C42" w:tentative="1">
      <w:start w:val="1"/>
      <w:numFmt w:val="lowerLetter"/>
      <w:lvlText w:val="%5."/>
      <w:lvlJc w:val="left"/>
      <w:pPr>
        <w:ind w:left="3600" w:hanging="360"/>
      </w:pPr>
    </w:lvl>
    <w:lvl w:ilvl="5" w:tplc="8DBA7CFA" w:tentative="1">
      <w:start w:val="1"/>
      <w:numFmt w:val="lowerRoman"/>
      <w:lvlText w:val="%6."/>
      <w:lvlJc w:val="right"/>
      <w:pPr>
        <w:ind w:left="4320" w:hanging="180"/>
      </w:pPr>
    </w:lvl>
    <w:lvl w:ilvl="6" w:tplc="1D26BE4E" w:tentative="1">
      <w:start w:val="1"/>
      <w:numFmt w:val="decimal"/>
      <w:lvlText w:val="%7."/>
      <w:lvlJc w:val="left"/>
      <w:pPr>
        <w:ind w:left="5040" w:hanging="360"/>
      </w:pPr>
    </w:lvl>
    <w:lvl w:ilvl="7" w:tplc="2BF02280" w:tentative="1">
      <w:start w:val="1"/>
      <w:numFmt w:val="lowerLetter"/>
      <w:lvlText w:val="%8."/>
      <w:lvlJc w:val="left"/>
      <w:pPr>
        <w:ind w:left="5760" w:hanging="360"/>
      </w:pPr>
    </w:lvl>
    <w:lvl w:ilvl="8" w:tplc="D45AF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5DF9"/>
    <w:multiLevelType w:val="hybridMultilevel"/>
    <w:tmpl w:val="365CD844"/>
    <w:lvl w:ilvl="0" w:tplc="23D4DBB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91863B92" w:tentative="1">
      <w:start w:val="1"/>
      <w:numFmt w:val="lowerLetter"/>
      <w:lvlText w:val="%2."/>
      <w:lvlJc w:val="left"/>
      <w:pPr>
        <w:ind w:left="1800" w:hanging="360"/>
      </w:pPr>
    </w:lvl>
    <w:lvl w:ilvl="2" w:tplc="D0003866" w:tentative="1">
      <w:start w:val="1"/>
      <w:numFmt w:val="lowerRoman"/>
      <w:lvlText w:val="%3."/>
      <w:lvlJc w:val="right"/>
      <w:pPr>
        <w:ind w:left="2520" w:hanging="180"/>
      </w:pPr>
    </w:lvl>
    <w:lvl w:ilvl="3" w:tplc="2C123C2E" w:tentative="1">
      <w:start w:val="1"/>
      <w:numFmt w:val="decimal"/>
      <w:lvlText w:val="%4."/>
      <w:lvlJc w:val="left"/>
      <w:pPr>
        <w:ind w:left="3240" w:hanging="360"/>
      </w:pPr>
    </w:lvl>
    <w:lvl w:ilvl="4" w:tplc="40FE9DE6" w:tentative="1">
      <w:start w:val="1"/>
      <w:numFmt w:val="lowerLetter"/>
      <w:lvlText w:val="%5."/>
      <w:lvlJc w:val="left"/>
      <w:pPr>
        <w:ind w:left="3960" w:hanging="360"/>
      </w:pPr>
    </w:lvl>
    <w:lvl w:ilvl="5" w:tplc="06CE49B0" w:tentative="1">
      <w:start w:val="1"/>
      <w:numFmt w:val="lowerRoman"/>
      <w:lvlText w:val="%6."/>
      <w:lvlJc w:val="right"/>
      <w:pPr>
        <w:ind w:left="4680" w:hanging="180"/>
      </w:pPr>
    </w:lvl>
    <w:lvl w:ilvl="6" w:tplc="35E4DB5E" w:tentative="1">
      <w:start w:val="1"/>
      <w:numFmt w:val="decimal"/>
      <w:lvlText w:val="%7."/>
      <w:lvlJc w:val="left"/>
      <w:pPr>
        <w:ind w:left="5400" w:hanging="360"/>
      </w:pPr>
    </w:lvl>
    <w:lvl w:ilvl="7" w:tplc="5DA6255C" w:tentative="1">
      <w:start w:val="1"/>
      <w:numFmt w:val="lowerLetter"/>
      <w:lvlText w:val="%8."/>
      <w:lvlJc w:val="left"/>
      <w:pPr>
        <w:ind w:left="6120" w:hanging="360"/>
      </w:pPr>
    </w:lvl>
    <w:lvl w:ilvl="8" w:tplc="AFEA30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0038C"/>
    <w:multiLevelType w:val="hybridMultilevel"/>
    <w:tmpl w:val="8848C632"/>
    <w:lvl w:ilvl="0" w:tplc="F918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BEF646" w:tentative="1">
      <w:start w:val="1"/>
      <w:numFmt w:val="lowerLetter"/>
      <w:lvlText w:val="%2."/>
      <w:lvlJc w:val="left"/>
      <w:pPr>
        <w:ind w:left="1800" w:hanging="360"/>
      </w:pPr>
    </w:lvl>
    <w:lvl w:ilvl="2" w:tplc="6A9C4A2A" w:tentative="1">
      <w:start w:val="1"/>
      <w:numFmt w:val="lowerRoman"/>
      <w:lvlText w:val="%3."/>
      <w:lvlJc w:val="right"/>
      <w:pPr>
        <w:ind w:left="2520" w:hanging="180"/>
      </w:pPr>
    </w:lvl>
    <w:lvl w:ilvl="3" w:tplc="8624AFD2" w:tentative="1">
      <w:start w:val="1"/>
      <w:numFmt w:val="decimal"/>
      <w:lvlText w:val="%4."/>
      <w:lvlJc w:val="left"/>
      <w:pPr>
        <w:ind w:left="3240" w:hanging="360"/>
      </w:pPr>
    </w:lvl>
    <w:lvl w:ilvl="4" w:tplc="91C47656" w:tentative="1">
      <w:start w:val="1"/>
      <w:numFmt w:val="lowerLetter"/>
      <w:lvlText w:val="%5."/>
      <w:lvlJc w:val="left"/>
      <w:pPr>
        <w:ind w:left="3960" w:hanging="360"/>
      </w:pPr>
    </w:lvl>
    <w:lvl w:ilvl="5" w:tplc="462C5F6E" w:tentative="1">
      <w:start w:val="1"/>
      <w:numFmt w:val="lowerRoman"/>
      <w:lvlText w:val="%6."/>
      <w:lvlJc w:val="right"/>
      <w:pPr>
        <w:ind w:left="4680" w:hanging="180"/>
      </w:pPr>
    </w:lvl>
    <w:lvl w:ilvl="6" w:tplc="7A1AC64C" w:tentative="1">
      <w:start w:val="1"/>
      <w:numFmt w:val="decimal"/>
      <w:lvlText w:val="%7."/>
      <w:lvlJc w:val="left"/>
      <w:pPr>
        <w:ind w:left="5400" w:hanging="360"/>
      </w:pPr>
    </w:lvl>
    <w:lvl w:ilvl="7" w:tplc="DDAE0EC0" w:tentative="1">
      <w:start w:val="1"/>
      <w:numFmt w:val="lowerLetter"/>
      <w:lvlText w:val="%8."/>
      <w:lvlJc w:val="left"/>
      <w:pPr>
        <w:ind w:left="6120" w:hanging="360"/>
      </w:pPr>
    </w:lvl>
    <w:lvl w:ilvl="8" w:tplc="51FEDB0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137C3"/>
    <w:rsid w:val="000204A2"/>
    <w:rsid w:val="0002094D"/>
    <w:rsid w:val="00031452"/>
    <w:rsid w:val="00066E3E"/>
    <w:rsid w:val="000739FD"/>
    <w:rsid w:val="00084351"/>
    <w:rsid w:val="00086315"/>
    <w:rsid w:val="000934A3"/>
    <w:rsid w:val="000D7071"/>
    <w:rsid w:val="000F338D"/>
    <w:rsid w:val="001062C0"/>
    <w:rsid w:val="001357CD"/>
    <w:rsid w:val="001611F1"/>
    <w:rsid w:val="00180A15"/>
    <w:rsid w:val="001858CD"/>
    <w:rsid w:val="00196797"/>
    <w:rsid w:val="001A7066"/>
    <w:rsid w:val="001C2273"/>
    <w:rsid w:val="001D42D9"/>
    <w:rsid w:val="00200CEE"/>
    <w:rsid w:val="00210B3F"/>
    <w:rsid w:val="00210C6C"/>
    <w:rsid w:val="00217C4D"/>
    <w:rsid w:val="00233FE1"/>
    <w:rsid w:val="00236A37"/>
    <w:rsid w:val="002777A0"/>
    <w:rsid w:val="002871C7"/>
    <w:rsid w:val="00293CA5"/>
    <w:rsid w:val="00295CCB"/>
    <w:rsid w:val="002B191A"/>
    <w:rsid w:val="002C4B8E"/>
    <w:rsid w:val="002C5029"/>
    <w:rsid w:val="002D73C8"/>
    <w:rsid w:val="002D7B4C"/>
    <w:rsid w:val="002E3D40"/>
    <w:rsid w:val="002F38D9"/>
    <w:rsid w:val="003040EF"/>
    <w:rsid w:val="003058BF"/>
    <w:rsid w:val="00322B8D"/>
    <w:rsid w:val="0033117C"/>
    <w:rsid w:val="0033234D"/>
    <w:rsid w:val="00347BCB"/>
    <w:rsid w:val="00366EA9"/>
    <w:rsid w:val="0037503A"/>
    <w:rsid w:val="003961D8"/>
    <w:rsid w:val="003A27FD"/>
    <w:rsid w:val="003A7C4C"/>
    <w:rsid w:val="003B35DF"/>
    <w:rsid w:val="003C4D4A"/>
    <w:rsid w:val="003C6C82"/>
    <w:rsid w:val="003D07A0"/>
    <w:rsid w:val="003E0B9E"/>
    <w:rsid w:val="003E2ED3"/>
    <w:rsid w:val="003F77E9"/>
    <w:rsid w:val="00405B2F"/>
    <w:rsid w:val="00417142"/>
    <w:rsid w:val="00421496"/>
    <w:rsid w:val="00436246"/>
    <w:rsid w:val="00457E91"/>
    <w:rsid w:val="00481644"/>
    <w:rsid w:val="00481772"/>
    <w:rsid w:val="004D2923"/>
    <w:rsid w:val="004D33D7"/>
    <w:rsid w:val="004F0210"/>
    <w:rsid w:val="004F1458"/>
    <w:rsid w:val="005224B2"/>
    <w:rsid w:val="00524DA2"/>
    <w:rsid w:val="00530E9E"/>
    <w:rsid w:val="00533483"/>
    <w:rsid w:val="005529FF"/>
    <w:rsid w:val="00555DB6"/>
    <w:rsid w:val="005569B6"/>
    <w:rsid w:val="005810F8"/>
    <w:rsid w:val="0058187E"/>
    <w:rsid w:val="00591CFB"/>
    <w:rsid w:val="005A643C"/>
    <w:rsid w:val="005C2004"/>
    <w:rsid w:val="005E0844"/>
    <w:rsid w:val="005F688F"/>
    <w:rsid w:val="00604180"/>
    <w:rsid w:val="0060564B"/>
    <w:rsid w:val="00622DE8"/>
    <w:rsid w:val="00630FE9"/>
    <w:rsid w:val="00632185"/>
    <w:rsid w:val="006423F9"/>
    <w:rsid w:val="00647B1C"/>
    <w:rsid w:val="0065146D"/>
    <w:rsid w:val="00656990"/>
    <w:rsid w:val="006640EC"/>
    <w:rsid w:val="00667506"/>
    <w:rsid w:val="00671FAF"/>
    <w:rsid w:val="006A3F4D"/>
    <w:rsid w:val="00705152"/>
    <w:rsid w:val="007103D0"/>
    <w:rsid w:val="007216E2"/>
    <w:rsid w:val="007402FF"/>
    <w:rsid w:val="0074242D"/>
    <w:rsid w:val="00750274"/>
    <w:rsid w:val="00756BDE"/>
    <w:rsid w:val="00757358"/>
    <w:rsid w:val="00766365"/>
    <w:rsid w:val="007747B6"/>
    <w:rsid w:val="00775D8C"/>
    <w:rsid w:val="007769A7"/>
    <w:rsid w:val="00783E9E"/>
    <w:rsid w:val="00792959"/>
    <w:rsid w:val="007A2891"/>
    <w:rsid w:val="007A2F24"/>
    <w:rsid w:val="007B3341"/>
    <w:rsid w:val="007C034C"/>
    <w:rsid w:val="007D6CCF"/>
    <w:rsid w:val="007D6FDA"/>
    <w:rsid w:val="00817AC9"/>
    <w:rsid w:val="00820C50"/>
    <w:rsid w:val="00824008"/>
    <w:rsid w:val="00831C47"/>
    <w:rsid w:val="00836C1E"/>
    <w:rsid w:val="00863C7E"/>
    <w:rsid w:val="00887702"/>
    <w:rsid w:val="0089554B"/>
    <w:rsid w:val="008A68FF"/>
    <w:rsid w:val="008C23B4"/>
    <w:rsid w:val="008C2EDE"/>
    <w:rsid w:val="008E6887"/>
    <w:rsid w:val="008F6B2A"/>
    <w:rsid w:val="008F7092"/>
    <w:rsid w:val="00912594"/>
    <w:rsid w:val="00914614"/>
    <w:rsid w:val="00917D99"/>
    <w:rsid w:val="00920FA1"/>
    <w:rsid w:val="00923B48"/>
    <w:rsid w:val="00940020"/>
    <w:rsid w:val="00940AC7"/>
    <w:rsid w:val="00943926"/>
    <w:rsid w:val="00953A8C"/>
    <w:rsid w:val="0095650E"/>
    <w:rsid w:val="00966304"/>
    <w:rsid w:val="009736FD"/>
    <w:rsid w:val="00977E9D"/>
    <w:rsid w:val="00997EE2"/>
    <w:rsid w:val="009C1D6B"/>
    <w:rsid w:val="009C4672"/>
    <w:rsid w:val="009C49D9"/>
    <w:rsid w:val="009E3354"/>
    <w:rsid w:val="009F2332"/>
    <w:rsid w:val="009F4928"/>
    <w:rsid w:val="00A10EBF"/>
    <w:rsid w:val="00A115BA"/>
    <w:rsid w:val="00A15EC9"/>
    <w:rsid w:val="00A16986"/>
    <w:rsid w:val="00A265F7"/>
    <w:rsid w:val="00A525B4"/>
    <w:rsid w:val="00A54A6C"/>
    <w:rsid w:val="00A721D2"/>
    <w:rsid w:val="00A9503E"/>
    <w:rsid w:val="00AA29A0"/>
    <w:rsid w:val="00AA7264"/>
    <w:rsid w:val="00AB7EA7"/>
    <w:rsid w:val="00AC3676"/>
    <w:rsid w:val="00AD7992"/>
    <w:rsid w:val="00AF2D83"/>
    <w:rsid w:val="00B0597B"/>
    <w:rsid w:val="00B07E1E"/>
    <w:rsid w:val="00B27192"/>
    <w:rsid w:val="00B30788"/>
    <w:rsid w:val="00B45DD4"/>
    <w:rsid w:val="00B6177E"/>
    <w:rsid w:val="00B626DE"/>
    <w:rsid w:val="00B6278C"/>
    <w:rsid w:val="00B9408A"/>
    <w:rsid w:val="00BD474D"/>
    <w:rsid w:val="00BD4AF2"/>
    <w:rsid w:val="00BD5DEF"/>
    <w:rsid w:val="00BE50CB"/>
    <w:rsid w:val="00BF6D59"/>
    <w:rsid w:val="00BF70E8"/>
    <w:rsid w:val="00BF75A4"/>
    <w:rsid w:val="00C038E4"/>
    <w:rsid w:val="00C12734"/>
    <w:rsid w:val="00C41BD7"/>
    <w:rsid w:val="00CB0778"/>
    <w:rsid w:val="00CC2BBB"/>
    <w:rsid w:val="00CD2C2E"/>
    <w:rsid w:val="00CD3D09"/>
    <w:rsid w:val="00CE06FD"/>
    <w:rsid w:val="00CF0016"/>
    <w:rsid w:val="00CF039B"/>
    <w:rsid w:val="00D02FB9"/>
    <w:rsid w:val="00D04785"/>
    <w:rsid w:val="00D05988"/>
    <w:rsid w:val="00D53CE1"/>
    <w:rsid w:val="00D5568E"/>
    <w:rsid w:val="00D9149B"/>
    <w:rsid w:val="00DA70AE"/>
    <w:rsid w:val="00DC50F9"/>
    <w:rsid w:val="00DD4D76"/>
    <w:rsid w:val="00DD51A9"/>
    <w:rsid w:val="00E10F53"/>
    <w:rsid w:val="00E11D0D"/>
    <w:rsid w:val="00E23929"/>
    <w:rsid w:val="00E30992"/>
    <w:rsid w:val="00E36B63"/>
    <w:rsid w:val="00E44C82"/>
    <w:rsid w:val="00E57CD1"/>
    <w:rsid w:val="00E65D8A"/>
    <w:rsid w:val="00E80A7A"/>
    <w:rsid w:val="00EA3F8B"/>
    <w:rsid w:val="00EB1DA8"/>
    <w:rsid w:val="00EC13CD"/>
    <w:rsid w:val="00EE12A9"/>
    <w:rsid w:val="00F00082"/>
    <w:rsid w:val="00F0249C"/>
    <w:rsid w:val="00F24B0E"/>
    <w:rsid w:val="00F25897"/>
    <w:rsid w:val="00F367C2"/>
    <w:rsid w:val="00F40A46"/>
    <w:rsid w:val="00F668FE"/>
    <w:rsid w:val="00F855A6"/>
    <w:rsid w:val="00FA4582"/>
    <w:rsid w:val="00FB15EE"/>
    <w:rsid w:val="00FC7041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36C05-F67B-418C-9325-B5BB5B7A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E556-E8D8-464F-9D96-D8D52233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4</TotalTime>
  <Pages>2</Pages>
  <Words>314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Āfrikas cūku mēra profilakses pasākumu īstenošanu robežkontroles punktos uz Latvijas ārējās robežas</vt:lpstr>
      <vt:lpstr>Informatīvais ziņojums par Āfrikas cūku mēra profilakses pasākumu īstenošanu robežkontroles punktos uz Latvijas ārējās robežas</vt:lpstr>
    </vt:vector>
  </TitlesOfParts>
  <Manager>Veterinārais un pārtikas departaments</Manager>
  <Company>Zemkopības ministrija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“Informatīvo ziņojumu par Āfrikas cūku mēra</dc:title>
  <dc:subject>protokollēmums</dc:subject>
  <dc:creator>Olita Vecuma-Veco</dc:creator>
  <dc:description>Vecuma-Veco 67027551_x000d_
Olita.Vecuma-Veco@zm.gov.lv</dc:description>
  <cp:lastModifiedBy>Kristiāna Sebre</cp:lastModifiedBy>
  <cp:revision>3</cp:revision>
  <cp:lastPrinted>2018-09-13T06:23:00Z</cp:lastPrinted>
  <dcterms:created xsi:type="dcterms:W3CDTF">2018-12-12T09:01:00Z</dcterms:created>
  <dcterms:modified xsi:type="dcterms:W3CDTF">2018-12-12T10:22:00Z</dcterms:modified>
</cp:coreProperties>
</file>