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C6D6" w14:textId="77777777" w:rsidR="00EB4A9A" w:rsidRDefault="00D004D5" w:rsidP="00493D48">
      <w:pPr>
        <w:autoSpaceDE w:val="0"/>
        <w:autoSpaceDN w:val="0"/>
        <w:adjustRightInd w:val="0"/>
        <w:ind w:firstLine="720"/>
        <w:jc w:val="center"/>
        <w:rPr>
          <w:b/>
          <w:bCs/>
        </w:rPr>
      </w:pPr>
      <w:r w:rsidRPr="00EB4A9A">
        <w:rPr>
          <w:b/>
          <w:bCs/>
        </w:rPr>
        <w:t xml:space="preserve">Ministru kabineta noteikumu projekta </w:t>
      </w:r>
    </w:p>
    <w:p w14:paraId="0399C6D7" w14:textId="77777777" w:rsidR="00EB4A9A" w:rsidRDefault="00493D48" w:rsidP="00493D48">
      <w:pPr>
        <w:autoSpaceDE w:val="0"/>
        <w:autoSpaceDN w:val="0"/>
        <w:adjustRightInd w:val="0"/>
        <w:ind w:firstLine="720"/>
        <w:jc w:val="center"/>
      </w:pPr>
      <w:r w:rsidRPr="00EB4A9A">
        <w:rPr>
          <w:b/>
        </w:rPr>
        <w:t xml:space="preserve"> “Finanšu nodrošinājuma piemērošanas kārtība atkritumu apsaimniekošanas darbībām</w:t>
      </w:r>
      <w:r w:rsidRPr="00141C62">
        <w:rPr>
          <w:b/>
        </w:rPr>
        <w:t>”</w:t>
      </w:r>
    </w:p>
    <w:p w14:paraId="0399C6D8" w14:textId="77777777" w:rsidR="00BD5588" w:rsidRPr="00EB4A9A" w:rsidRDefault="00D004D5" w:rsidP="00493D48">
      <w:pPr>
        <w:autoSpaceDE w:val="0"/>
        <w:autoSpaceDN w:val="0"/>
        <w:adjustRightInd w:val="0"/>
        <w:ind w:firstLine="720"/>
        <w:jc w:val="center"/>
        <w:rPr>
          <w:b/>
        </w:rPr>
      </w:pPr>
      <w:r w:rsidRPr="00EB4A9A">
        <w:rPr>
          <w:b/>
          <w:bCs/>
        </w:rPr>
        <w:t>sākotnējās ietekmes novērtējuma ziņojums (anotācija)</w:t>
      </w:r>
    </w:p>
    <w:p w14:paraId="0399C6D9" w14:textId="77777777" w:rsidR="00796128" w:rsidRDefault="00796128" w:rsidP="00796128">
      <w:pPr>
        <w:jc w:val="center"/>
        <w:rPr>
          <w:b/>
        </w:rPr>
      </w:pPr>
    </w:p>
    <w:tbl>
      <w:tblPr>
        <w:tblStyle w:val="TableGrid"/>
        <w:tblW w:w="9067" w:type="dxa"/>
        <w:tblLook w:val="04A0" w:firstRow="1" w:lastRow="0" w:firstColumn="1" w:lastColumn="0" w:noHBand="0" w:noVBand="1"/>
      </w:tblPr>
      <w:tblGrid>
        <w:gridCol w:w="2093"/>
        <w:gridCol w:w="6974"/>
      </w:tblGrid>
      <w:tr w:rsidR="00796128" w14:paraId="0399C6DB" w14:textId="77777777" w:rsidTr="00796128">
        <w:tc>
          <w:tcPr>
            <w:tcW w:w="9067" w:type="dxa"/>
            <w:gridSpan w:val="2"/>
            <w:tcBorders>
              <w:top w:val="single" w:sz="4" w:space="0" w:color="auto"/>
              <w:left w:val="single" w:sz="4" w:space="0" w:color="auto"/>
              <w:bottom w:val="single" w:sz="4" w:space="0" w:color="auto"/>
              <w:right w:val="single" w:sz="4" w:space="0" w:color="auto"/>
            </w:tcBorders>
            <w:hideMark/>
          </w:tcPr>
          <w:p w14:paraId="0399C6DA" w14:textId="77777777" w:rsidR="00796128" w:rsidRPr="0012653B" w:rsidRDefault="00796128">
            <w:pPr>
              <w:jc w:val="center"/>
              <w:rPr>
                <w:b/>
                <w:bCs/>
              </w:rPr>
            </w:pPr>
            <w:r w:rsidRPr="0012653B">
              <w:rPr>
                <w:b/>
                <w:bCs/>
                <w:iCs/>
              </w:rPr>
              <w:t>Tiesību akta projekta anotācijas kopsavilkums</w:t>
            </w:r>
          </w:p>
        </w:tc>
      </w:tr>
      <w:tr w:rsidR="00796128" w14:paraId="0399C6DE" w14:textId="77777777" w:rsidTr="00796128">
        <w:tc>
          <w:tcPr>
            <w:tcW w:w="2093" w:type="dxa"/>
            <w:tcBorders>
              <w:top w:val="single" w:sz="4" w:space="0" w:color="auto"/>
              <w:left w:val="single" w:sz="4" w:space="0" w:color="auto"/>
              <w:bottom w:val="single" w:sz="4" w:space="0" w:color="auto"/>
              <w:right w:val="single" w:sz="4" w:space="0" w:color="auto"/>
            </w:tcBorders>
            <w:hideMark/>
          </w:tcPr>
          <w:p w14:paraId="0399C6DC" w14:textId="77777777" w:rsidR="00796128" w:rsidRDefault="00796128">
            <w:pPr>
              <w:jc w:val="center"/>
              <w:rPr>
                <w:bCs/>
              </w:rPr>
            </w:pPr>
            <w:r>
              <w:rPr>
                <w:iCs/>
              </w:rPr>
              <w:t>Mērķis, risinājums un projekta spēkā stāšanās laiks</w:t>
            </w:r>
          </w:p>
        </w:tc>
        <w:tc>
          <w:tcPr>
            <w:tcW w:w="6974" w:type="dxa"/>
            <w:tcBorders>
              <w:top w:val="single" w:sz="4" w:space="0" w:color="auto"/>
              <w:left w:val="single" w:sz="4" w:space="0" w:color="auto"/>
              <w:bottom w:val="single" w:sz="4" w:space="0" w:color="auto"/>
              <w:right w:val="single" w:sz="4" w:space="0" w:color="auto"/>
            </w:tcBorders>
            <w:hideMark/>
          </w:tcPr>
          <w:p w14:paraId="0399C6DD" w14:textId="77777777" w:rsidR="00796128" w:rsidRDefault="00796128">
            <w:pPr>
              <w:jc w:val="both"/>
              <w:rPr>
                <w:rFonts w:cstheme="minorBidi"/>
              </w:rPr>
            </w:pPr>
            <w:r>
              <w:t>Saskaņā ar Ministru kabineta 2009. gada 15. decembra instrukcijas Nr. 19 “Tiesību akta projekta sākotnējās ietekmes izvērtēšanas kārtība” 5.</w:t>
            </w:r>
            <w:r>
              <w:rPr>
                <w:vertAlign w:val="superscript"/>
              </w:rPr>
              <w:t>1</w:t>
            </w:r>
            <w:r>
              <w:t> punktu sākotnējās ietekmes novērtējuma ziņojuma (anotācijas) kopsavilkums nav aizpildāms.</w:t>
            </w:r>
          </w:p>
        </w:tc>
      </w:tr>
    </w:tbl>
    <w:p w14:paraId="0399C6DF" w14:textId="77777777" w:rsidR="00BD5588" w:rsidRDefault="00BD5588" w:rsidP="00BD5588">
      <w:pPr>
        <w:pStyle w:val="Title"/>
        <w:spacing w:before="130" w:line="260" w:lineRule="exact"/>
        <w:ind w:firstLine="539"/>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1"/>
        <w:gridCol w:w="2712"/>
        <w:gridCol w:w="5986"/>
      </w:tblGrid>
      <w:tr w:rsidR="00796128" w14:paraId="0399C6E1" w14:textId="77777777" w:rsidTr="00796128">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399C6E0" w14:textId="77777777" w:rsidR="00796128" w:rsidRPr="000D2E4C" w:rsidRDefault="00796128" w:rsidP="00FE4745">
            <w:pPr>
              <w:spacing w:before="100" w:beforeAutospacing="1" w:after="100" w:afterAutospacing="1" w:line="293" w:lineRule="atLeast"/>
              <w:jc w:val="center"/>
              <w:rPr>
                <w:b/>
                <w:bCs/>
              </w:rPr>
            </w:pPr>
            <w:r w:rsidRPr="000D2E4C">
              <w:rPr>
                <w:b/>
                <w:bCs/>
              </w:rPr>
              <w:t>I. Tiesību akta projekta izstrādes nepieciešamība</w:t>
            </w:r>
          </w:p>
        </w:tc>
      </w:tr>
      <w:tr w:rsidR="00796128" w14:paraId="0399C6E5" w14:textId="77777777" w:rsidTr="00796128">
        <w:trPr>
          <w:trHeight w:val="324"/>
        </w:trPr>
        <w:tc>
          <w:tcPr>
            <w:tcW w:w="418" w:type="dxa"/>
            <w:tcBorders>
              <w:top w:val="outset" w:sz="6" w:space="0" w:color="414142"/>
              <w:left w:val="outset" w:sz="6" w:space="0" w:color="414142"/>
              <w:bottom w:val="outset" w:sz="6" w:space="0" w:color="414142"/>
              <w:right w:val="outset" w:sz="6" w:space="0" w:color="414142"/>
            </w:tcBorders>
            <w:hideMark/>
          </w:tcPr>
          <w:p w14:paraId="0399C6E2" w14:textId="77777777" w:rsidR="00796128" w:rsidRPr="000D2E4C" w:rsidRDefault="00796128" w:rsidP="00FE4745">
            <w:pPr>
              <w:spacing w:before="100" w:beforeAutospacing="1" w:after="100" w:afterAutospacing="1" w:line="293" w:lineRule="atLeast"/>
              <w:jc w:val="center"/>
            </w:pPr>
            <w:r w:rsidRPr="000D2E4C">
              <w:t>1.</w:t>
            </w:r>
          </w:p>
        </w:tc>
        <w:tc>
          <w:tcPr>
            <w:tcW w:w="2693" w:type="dxa"/>
            <w:tcBorders>
              <w:top w:val="outset" w:sz="6" w:space="0" w:color="414142"/>
              <w:left w:val="outset" w:sz="6" w:space="0" w:color="414142"/>
              <w:bottom w:val="outset" w:sz="6" w:space="0" w:color="414142"/>
              <w:right w:val="outset" w:sz="6" w:space="0" w:color="414142"/>
            </w:tcBorders>
            <w:hideMark/>
          </w:tcPr>
          <w:p w14:paraId="0399C6E3" w14:textId="77777777" w:rsidR="00796128" w:rsidRPr="000D2E4C" w:rsidRDefault="00796128" w:rsidP="00FE4745">
            <w:r w:rsidRPr="000D2E4C">
              <w:t>Pamatojums</w:t>
            </w:r>
          </w:p>
        </w:tc>
        <w:tc>
          <w:tcPr>
            <w:tcW w:w="5944" w:type="dxa"/>
            <w:tcBorders>
              <w:top w:val="outset" w:sz="6" w:space="0" w:color="414142"/>
              <w:left w:val="outset" w:sz="6" w:space="0" w:color="414142"/>
              <w:bottom w:val="outset" w:sz="6" w:space="0" w:color="414142"/>
              <w:right w:val="outset" w:sz="6" w:space="0" w:color="414142"/>
            </w:tcBorders>
          </w:tcPr>
          <w:p w14:paraId="0399C6E4" w14:textId="77777777" w:rsidR="00796128" w:rsidRPr="00C33737" w:rsidRDefault="00796128" w:rsidP="00FE4745">
            <w:pPr>
              <w:ind w:right="57"/>
              <w:jc w:val="both"/>
            </w:pPr>
            <w:r w:rsidRPr="002323BC">
              <w:t>Atkritumu apsaimniekošanas likuma (turpmāk – AAL) 12.</w:t>
            </w:r>
            <w:r>
              <w:t> </w:t>
            </w:r>
            <w:r w:rsidRPr="002323BC">
              <w:t>panta otrās daļas 7. un 8.</w:t>
            </w:r>
            <w:r>
              <w:t> </w:t>
            </w:r>
            <w:r w:rsidRPr="002323BC">
              <w:t>punkts</w:t>
            </w:r>
            <w:r>
              <w:t>.</w:t>
            </w:r>
          </w:p>
        </w:tc>
      </w:tr>
      <w:tr w:rsidR="00796128" w14:paraId="0399C6EC" w14:textId="77777777" w:rsidTr="00796128">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399C6E6" w14:textId="77777777" w:rsidR="00796128" w:rsidRPr="000D2E4C" w:rsidRDefault="00796128" w:rsidP="00796128">
            <w:pPr>
              <w:spacing w:before="100" w:beforeAutospacing="1" w:after="100" w:afterAutospacing="1" w:line="293" w:lineRule="atLeast"/>
              <w:jc w:val="center"/>
            </w:pPr>
            <w:r w:rsidRPr="000D2E4C">
              <w:t>2.</w:t>
            </w:r>
          </w:p>
        </w:tc>
        <w:tc>
          <w:tcPr>
            <w:tcW w:w="2693" w:type="dxa"/>
            <w:tcBorders>
              <w:top w:val="outset" w:sz="6" w:space="0" w:color="414142"/>
              <w:left w:val="outset" w:sz="6" w:space="0" w:color="414142"/>
              <w:bottom w:val="outset" w:sz="6" w:space="0" w:color="414142"/>
              <w:right w:val="outset" w:sz="6" w:space="0" w:color="414142"/>
            </w:tcBorders>
            <w:hideMark/>
          </w:tcPr>
          <w:p w14:paraId="0399C6E7" w14:textId="77777777" w:rsidR="00796128" w:rsidRPr="000D2E4C" w:rsidRDefault="00796128" w:rsidP="00796128">
            <w:r w:rsidRPr="000D2E4C">
              <w:t>Pašreizējā situācija un problēmas, kuru risināšanai tiesību akta projekts izstrādāts, tiesiskā regulējuma mērķis un būtība</w:t>
            </w:r>
          </w:p>
        </w:tc>
        <w:tc>
          <w:tcPr>
            <w:tcW w:w="5944" w:type="dxa"/>
            <w:tcBorders>
              <w:top w:val="outset" w:sz="6" w:space="0" w:color="414142"/>
              <w:left w:val="outset" w:sz="6" w:space="0" w:color="414142"/>
              <w:bottom w:val="outset" w:sz="6" w:space="0" w:color="414142"/>
              <w:right w:val="outset" w:sz="6" w:space="0" w:color="414142"/>
            </w:tcBorders>
            <w:hideMark/>
          </w:tcPr>
          <w:p w14:paraId="0399C6E8" w14:textId="77777777" w:rsidR="000935D2" w:rsidRDefault="005753C6" w:rsidP="002903CE">
            <w:pPr>
              <w:tabs>
                <w:tab w:val="left" w:pos="6580"/>
              </w:tabs>
              <w:jc w:val="both"/>
            </w:pPr>
            <w:r w:rsidRPr="002903CE">
              <w:rPr>
                <w:iCs/>
              </w:rPr>
              <w:t>Saeima 2018. gada 25. oktobrī ir pieņēmusi grozījumus Atkritumu apsaimniekošanas likumā</w:t>
            </w:r>
            <w:r w:rsidR="00A92A17" w:rsidRPr="002903CE">
              <w:rPr>
                <w:iCs/>
              </w:rPr>
              <w:t xml:space="preserve"> (turpmāk – Likums)</w:t>
            </w:r>
            <w:r w:rsidRPr="002903CE">
              <w:rPr>
                <w:iCs/>
              </w:rPr>
              <w:t xml:space="preserve">, izsakot jaunā redakcijā 12. panta otrās daļas 7. un 8.punktu (izdošanas pamatojumu Ministru </w:t>
            </w:r>
            <w:r w:rsidRPr="002903CE">
              <w:t xml:space="preserve">kabineta 2018. gada 26. jūnija noteikumiem Nr.373 “Finanšu nodrošinājuma piemērošanas kārtība atkritumu apsaimniekošanas darbībām”). Savukārt Oficiālo publikāciju un tiesiskās informācijas likuma 9.panta piektā daļa nosaka - ja spēku zaudē normatīvā akta izdošanas tiesiskais pamats (augstāka juridiska spēka tiesību norma, uz kuras pamata izdots cits normatīvais akts), tad spēku zaudē arī uz šā pamata izdotais normatīvais akts vai tā daļa. Tāpēc ir nepieciešams no jauna izdot Ministru </w:t>
            </w:r>
            <w:r w:rsidR="00A92A17" w:rsidRPr="002903CE">
              <w:t xml:space="preserve">kabineta noteikumu projektu “Finanšu nodrošinājuma piemērošanas kārtība atkritumu apsaimniekošanas darbībām” (turpmāk – noteikumu projekts). </w:t>
            </w:r>
          </w:p>
          <w:p w14:paraId="0399C6E9" w14:textId="77777777" w:rsidR="005753C6" w:rsidRPr="00102FDA" w:rsidRDefault="00A92A17" w:rsidP="002903CE">
            <w:pPr>
              <w:tabs>
                <w:tab w:val="left" w:pos="6580"/>
              </w:tabs>
              <w:jc w:val="both"/>
            </w:pPr>
            <w:r w:rsidRPr="002903CE">
              <w:t>Noteikumu projekts paredz, ka ar tā spēkā stāšanās brīdi zaudēs spēku</w:t>
            </w:r>
            <w:r>
              <w:rPr>
                <w:sz w:val="28"/>
                <w:szCs w:val="28"/>
              </w:rPr>
              <w:t xml:space="preserve"> </w:t>
            </w:r>
            <w:r>
              <w:t xml:space="preserve">Ministru kabineta 2018. gada 26. jūnija noteikumos Nr. 373 “Finanšu nodrošinājuma piemērošanas kārtība atkritumu apsaimniekošanas darbībām” (turpmāk – MK noteikumi Nr. 373). Noteikumu projektā ir precizēts 1.punkts, ietverot precizēto noteikumu izdošanas pamatojumu atbilstoši Likuma 12.panta otrās daļas 7.un 8.punktam, kā arī </w:t>
            </w:r>
            <w:r w:rsidR="000935D2">
              <w:t xml:space="preserve">noteikumi papildināti ar pārejas noteikumu, ka MK </w:t>
            </w:r>
            <w:r w:rsidR="000935D2" w:rsidRPr="00102FDA">
              <w:t xml:space="preserve">noteikumi Nr.373 zaudē spēku. Informācija par noteikumu projektu ir pieejama </w:t>
            </w:r>
            <w:r w:rsidR="002903CE" w:rsidRPr="00102FDA">
              <w:t xml:space="preserve">Ministru kabineta interneta vietnē. </w:t>
            </w:r>
            <w:r w:rsidR="002903CE" w:rsidRPr="00102FDA">
              <w:rPr>
                <w:rStyle w:val="FootnoteReference"/>
              </w:rPr>
              <w:footnoteReference w:id="1"/>
            </w:r>
            <w:r w:rsidR="000935D2" w:rsidRPr="00102FDA">
              <w:t xml:space="preserve"> </w:t>
            </w:r>
          </w:p>
          <w:p w14:paraId="0399C6EA" w14:textId="77777777" w:rsidR="000935D2" w:rsidRDefault="002903CE" w:rsidP="002903CE">
            <w:pPr>
              <w:tabs>
                <w:tab w:val="left" w:pos="6580"/>
              </w:tabs>
              <w:jc w:val="both"/>
              <w:rPr>
                <w:sz w:val="28"/>
                <w:szCs w:val="28"/>
              </w:rPr>
            </w:pPr>
            <w:r w:rsidRPr="00102FDA">
              <w:t>Saskaņā ar Atkritumu apsaimniekošanas likuma pārejas noteikumu 37.punktu prasības par finanšu nodrošinājumu attiecībā uz</w:t>
            </w:r>
            <w:r>
              <w:t xml:space="preserve"> pārvadājumiem, pārstrādi vai reģenerāciju Latvijas teritorijā piemērojamas no 2018. gada 1. jūlija. Šā likuma </w:t>
            </w:r>
            <w:r w:rsidRPr="002903CE">
              <w:t>12.</w:t>
            </w:r>
            <w:r>
              <w:t> panta 1.</w:t>
            </w:r>
            <w:r>
              <w:rPr>
                <w:vertAlign w:val="superscript"/>
              </w:rPr>
              <w:t>2</w:t>
            </w:r>
            <w:r>
              <w:t xml:space="preserve"> daļā minēto finanšu nodrošinājumu atkritumu apsaimniekotājs, kuram atkritumu apsaimniekošanas atļauja izsniegta līdz 2017. gada 30. decembrim vai kurš iesniedzis iesniegumu atļaujas </w:t>
            </w:r>
            <w:r>
              <w:lastRenderedPageBreak/>
              <w:t>saņemšanai līdz 2018. </w:t>
            </w:r>
            <w:bookmarkStart w:id="0" w:name="_GoBack"/>
            <w:r>
              <w:t xml:space="preserve">gada 30. jūnijam, iesniedz Valsts vides dienestam līdz 2018. gada 30. decembrim. Uz finanšu nodrošinājuma apmēru 2018.gadam attiecas MK noteikumu Nr.373 noteiktās prasības. </w:t>
            </w:r>
            <w:bookmarkEnd w:id="0"/>
          </w:p>
          <w:p w14:paraId="0399C6EB" w14:textId="77777777" w:rsidR="00796128" w:rsidRPr="00796128" w:rsidRDefault="00796128" w:rsidP="00812AB6">
            <w:pPr>
              <w:ind w:right="57"/>
              <w:jc w:val="both"/>
            </w:pPr>
          </w:p>
        </w:tc>
      </w:tr>
      <w:tr w:rsidR="00796128" w14:paraId="0399C6F0" w14:textId="77777777" w:rsidTr="00796128">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399C6ED" w14:textId="77777777" w:rsidR="00796128" w:rsidRPr="000D2E4C" w:rsidRDefault="00796128" w:rsidP="00796128">
            <w:pPr>
              <w:spacing w:before="100" w:beforeAutospacing="1" w:after="100" w:afterAutospacing="1" w:line="293" w:lineRule="atLeast"/>
              <w:jc w:val="center"/>
            </w:pPr>
            <w:r w:rsidRPr="000D2E4C">
              <w:lastRenderedPageBreak/>
              <w:t>3.</w:t>
            </w:r>
          </w:p>
        </w:tc>
        <w:tc>
          <w:tcPr>
            <w:tcW w:w="2693" w:type="dxa"/>
            <w:tcBorders>
              <w:top w:val="outset" w:sz="6" w:space="0" w:color="414142"/>
              <w:left w:val="outset" w:sz="6" w:space="0" w:color="414142"/>
              <w:bottom w:val="outset" w:sz="6" w:space="0" w:color="414142"/>
              <w:right w:val="outset" w:sz="6" w:space="0" w:color="414142"/>
            </w:tcBorders>
            <w:hideMark/>
          </w:tcPr>
          <w:p w14:paraId="0399C6EE" w14:textId="77777777" w:rsidR="00796128" w:rsidRPr="000D2E4C" w:rsidRDefault="00796128" w:rsidP="00796128">
            <w:r w:rsidRPr="00320276">
              <w:t>Projekta izstrādē iesaistītās institūcijas un publiskas personas kapitālsabiedrības</w:t>
            </w:r>
          </w:p>
        </w:tc>
        <w:tc>
          <w:tcPr>
            <w:tcW w:w="5944" w:type="dxa"/>
            <w:tcBorders>
              <w:top w:val="outset" w:sz="6" w:space="0" w:color="414142"/>
              <w:left w:val="outset" w:sz="6" w:space="0" w:color="414142"/>
              <w:bottom w:val="outset" w:sz="6" w:space="0" w:color="414142"/>
              <w:right w:val="outset" w:sz="6" w:space="0" w:color="414142"/>
            </w:tcBorders>
            <w:hideMark/>
          </w:tcPr>
          <w:p w14:paraId="0399C6EF" w14:textId="77777777" w:rsidR="00796128" w:rsidRPr="000D2E4C" w:rsidRDefault="00796128" w:rsidP="00796128">
            <w:pPr>
              <w:ind w:left="57" w:right="57"/>
              <w:jc w:val="both"/>
            </w:pPr>
            <w:r>
              <w:t>Vides aizsardzības un reģionālās attīstības ministrija (turpmāk</w:t>
            </w:r>
            <w:r w:rsidR="00EB4A9A">
              <w:t xml:space="preserve"> </w:t>
            </w:r>
            <w:r>
              <w:t xml:space="preserve">– </w:t>
            </w:r>
            <w:r w:rsidRPr="000D2E4C">
              <w:t>VARAM</w:t>
            </w:r>
            <w:r>
              <w:t>)</w:t>
            </w:r>
            <w:r w:rsidR="00493D48">
              <w:t xml:space="preserve">. </w:t>
            </w:r>
          </w:p>
        </w:tc>
      </w:tr>
      <w:tr w:rsidR="00796128" w14:paraId="0399C6F4" w14:textId="77777777" w:rsidTr="00796128">
        <w:tc>
          <w:tcPr>
            <w:tcW w:w="418" w:type="dxa"/>
            <w:tcBorders>
              <w:top w:val="outset" w:sz="6" w:space="0" w:color="414142"/>
              <w:left w:val="outset" w:sz="6" w:space="0" w:color="414142"/>
              <w:bottom w:val="outset" w:sz="6" w:space="0" w:color="414142"/>
              <w:right w:val="outset" w:sz="6" w:space="0" w:color="414142"/>
            </w:tcBorders>
            <w:hideMark/>
          </w:tcPr>
          <w:p w14:paraId="0399C6F1" w14:textId="77777777" w:rsidR="00796128" w:rsidRPr="000D2E4C" w:rsidRDefault="00796128" w:rsidP="00796128">
            <w:pPr>
              <w:spacing w:before="100" w:beforeAutospacing="1" w:after="100" w:afterAutospacing="1" w:line="293" w:lineRule="atLeast"/>
              <w:jc w:val="center"/>
            </w:pPr>
            <w:r w:rsidRPr="000D2E4C">
              <w:t>4.</w:t>
            </w:r>
          </w:p>
        </w:tc>
        <w:tc>
          <w:tcPr>
            <w:tcW w:w="2693" w:type="dxa"/>
            <w:tcBorders>
              <w:top w:val="outset" w:sz="6" w:space="0" w:color="414142"/>
              <w:left w:val="outset" w:sz="6" w:space="0" w:color="414142"/>
              <w:bottom w:val="outset" w:sz="6" w:space="0" w:color="414142"/>
              <w:right w:val="outset" w:sz="6" w:space="0" w:color="414142"/>
            </w:tcBorders>
            <w:hideMark/>
          </w:tcPr>
          <w:p w14:paraId="0399C6F2" w14:textId="77777777" w:rsidR="00796128" w:rsidRPr="000D2E4C" w:rsidRDefault="00796128" w:rsidP="00796128">
            <w:r w:rsidRPr="000D2E4C">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0399C6F3" w14:textId="77777777" w:rsidR="00796128" w:rsidRPr="000D2E4C" w:rsidRDefault="00796128" w:rsidP="00796128">
            <w:pPr>
              <w:ind w:left="57" w:right="57"/>
              <w:jc w:val="both"/>
            </w:pPr>
            <w:r>
              <w:t>Nav.</w:t>
            </w:r>
          </w:p>
        </w:tc>
      </w:tr>
    </w:tbl>
    <w:p w14:paraId="0399C6F5" w14:textId="77777777" w:rsidR="00BD5588" w:rsidRDefault="00BD5588" w:rsidP="00F33D6B">
      <w:pPr>
        <w:pStyle w:val="Title"/>
        <w:spacing w:before="130" w:line="260" w:lineRule="exact"/>
        <w:jc w:val="both"/>
        <w:rPr>
          <w:sz w:val="24"/>
          <w:szCs w:val="24"/>
        </w:rPr>
      </w:pPr>
    </w:p>
    <w:tbl>
      <w:tblPr>
        <w:tblStyle w:val="TableGrid"/>
        <w:tblW w:w="0" w:type="auto"/>
        <w:tblInd w:w="-5" w:type="dxa"/>
        <w:tblLook w:val="04A0" w:firstRow="1" w:lastRow="0" w:firstColumn="1" w:lastColumn="0" w:noHBand="0" w:noVBand="1"/>
      </w:tblPr>
      <w:tblGrid>
        <w:gridCol w:w="426"/>
        <w:gridCol w:w="2782"/>
        <w:gridCol w:w="5858"/>
      </w:tblGrid>
      <w:tr w:rsidR="00A97FD9" w14:paraId="0399C6F7" w14:textId="77777777" w:rsidTr="0012653B">
        <w:tc>
          <w:tcPr>
            <w:tcW w:w="9066" w:type="dxa"/>
            <w:gridSpan w:val="3"/>
          </w:tcPr>
          <w:p w14:paraId="0399C6F6" w14:textId="77777777" w:rsidR="00441CCB" w:rsidRPr="004373EF" w:rsidRDefault="00D004D5" w:rsidP="00766A92">
            <w:pPr>
              <w:pStyle w:val="Title"/>
              <w:spacing w:before="130" w:line="260" w:lineRule="exact"/>
              <w:rPr>
                <w:sz w:val="24"/>
                <w:szCs w:val="24"/>
              </w:rPr>
            </w:pPr>
            <w:r w:rsidRPr="004373EF">
              <w:rPr>
                <w:b/>
                <w:bCs/>
                <w:sz w:val="24"/>
                <w:szCs w:val="24"/>
              </w:rPr>
              <w:t>II. Tiesību akta projekta ietekme uz sabiedrību, tautsaimniecības attīstību un administratīvo slogu</w:t>
            </w:r>
          </w:p>
        </w:tc>
      </w:tr>
      <w:tr w:rsidR="00A97FD9" w14:paraId="0399C6FB" w14:textId="77777777" w:rsidTr="0012653B">
        <w:tc>
          <w:tcPr>
            <w:tcW w:w="426" w:type="dxa"/>
          </w:tcPr>
          <w:p w14:paraId="0399C6F8" w14:textId="77777777" w:rsidR="00441CCB" w:rsidRPr="0082500F" w:rsidRDefault="00D004D5" w:rsidP="00BD5588">
            <w:pPr>
              <w:pStyle w:val="Title"/>
              <w:spacing w:before="130" w:line="260" w:lineRule="exact"/>
              <w:jc w:val="both"/>
              <w:rPr>
                <w:sz w:val="24"/>
                <w:szCs w:val="24"/>
              </w:rPr>
            </w:pPr>
            <w:r w:rsidRPr="00766A92">
              <w:rPr>
                <w:sz w:val="24"/>
                <w:szCs w:val="24"/>
              </w:rPr>
              <w:t>1.</w:t>
            </w:r>
          </w:p>
        </w:tc>
        <w:tc>
          <w:tcPr>
            <w:tcW w:w="2782" w:type="dxa"/>
          </w:tcPr>
          <w:p w14:paraId="0399C6F9" w14:textId="77777777" w:rsidR="00441CCB" w:rsidRPr="0082500F" w:rsidRDefault="00D004D5" w:rsidP="00BD5588">
            <w:pPr>
              <w:pStyle w:val="Title"/>
              <w:spacing w:before="130" w:line="260" w:lineRule="exact"/>
              <w:jc w:val="both"/>
              <w:rPr>
                <w:sz w:val="24"/>
                <w:szCs w:val="24"/>
              </w:rPr>
            </w:pPr>
            <w:r w:rsidRPr="00766A92">
              <w:rPr>
                <w:sz w:val="24"/>
                <w:szCs w:val="24"/>
              </w:rPr>
              <w:t>Sabiedrības mērķgrupas, kuras tiesiskais regulējums ietekmē vai varētu ietekmēt</w:t>
            </w:r>
          </w:p>
        </w:tc>
        <w:tc>
          <w:tcPr>
            <w:tcW w:w="5858" w:type="dxa"/>
          </w:tcPr>
          <w:p w14:paraId="0399C6FA" w14:textId="77777777" w:rsidR="00441CCB" w:rsidRPr="0082500F" w:rsidRDefault="00D004D5" w:rsidP="00BD5588">
            <w:pPr>
              <w:pStyle w:val="Title"/>
              <w:spacing w:before="130" w:line="260" w:lineRule="exact"/>
              <w:jc w:val="both"/>
              <w:rPr>
                <w:sz w:val="24"/>
                <w:szCs w:val="24"/>
              </w:rPr>
            </w:pPr>
            <w:r w:rsidRPr="00766A92">
              <w:rPr>
                <w:sz w:val="24"/>
                <w:szCs w:val="24"/>
              </w:rPr>
              <w:t>Atkritumu apsaimniekotāji, kas veic atkritumu pārvadāšanu, uzglabāšanu, slēgtas vai rekultivētas atkritumu izgāztuves atrakšanu un atkritumu pāršķirošanu, pārstrādi vai reģenerāciju, kredītiestādes, apdrošinātāji, VVD.</w:t>
            </w:r>
          </w:p>
        </w:tc>
      </w:tr>
      <w:tr w:rsidR="00A97FD9" w14:paraId="0399C700" w14:textId="77777777" w:rsidTr="0012653B">
        <w:tc>
          <w:tcPr>
            <w:tcW w:w="426" w:type="dxa"/>
          </w:tcPr>
          <w:p w14:paraId="0399C6FC" w14:textId="77777777" w:rsidR="00441CCB" w:rsidRPr="0082500F" w:rsidRDefault="00D004D5" w:rsidP="00BD5588">
            <w:pPr>
              <w:pStyle w:val="Title"/>
              <w:spacing w:before="130" w:line="260" w:lineRule="exact"/>
              <w:jc w:val="both"/>
              <w:rPr>
                <w:sz w:val="24"/>
                <w:szCs w:val="24"/>
              </w:rPr>
            </w:pPr>
            <w:r w:rsidRPr="00766A92">
              <w:rPr>
                <w:sz w:val="24"/>
                <w:szCs w:val="24"/>
              </w:rPr>
              <w:t>2.</w:t>
            </w:r>
          </w:p>
        </w:tc>
        <w:tc>
          <w:tcPr>
            <w:tcW w:w="2782" w:type="dxa"/>
          </w:tcPr>
          <w:p w14:paraId="0399C6FD" w14:textId="77777777" w:rsidR="00441CCB" w:rsidRPr="0082500F" w:rsidRDefault="00D004D5" w:rsidP="00BD5588">
            <w:pPr>
              <w:pStyle w:val="Title"/>
              <w:spacing w:before="130" w:line="260" w:lineRule="exact"/>
              <w:jc w:val="both"/>
              <w:rPr>
                <w:sz w:val="24"/>
                <w:szCs w:val="24"/>
              </w:rPr>
            </w:pPr>
            <w:r w:rsidRPr="00766A92">
              <w:rPr>
                <w:sz w:val="24"/>
                <w:szCs w:val="24"/>
              </w:rPr>
              <w:t>Tiesiskā regulējuma ietekme uz tautsaimniecību un administratīvo slogu</w:t>
            </w:r>
          </w:p>
        </w:tc>
        <w:tc>
          <w:tcPr>
            <w:tcW w:w="5858" w:type="dxa"/>
          </w:tcPr>
          <w:p w14:paraId="0399C6FE" w14:textId="77777777" w:rsidR="00441CCB" w:rsidRPr="00530AD7" w:rsidRDefault="00351A91" w:rsidP="00351A91">
            <w:pPr>
              <w:jc w:val="both"/>
            </w:pPr>
            <w:r>
              <w:t xml:space="preserve">Ministru kabineta noteikumu projekts “Grozījums Ministru kabineta 2018. gada 26. jūnija noteikumos Nr. 373 “Finanšu nodrošinājuma piemērošanas kārtība atkritumu apsaimniekošanas darbībām”” (turpmāk </w:t>
            </w:r>
            <w:r w:rsidRPr="00351A91">
              <w:t xml:space="preserve">– </w:t>
            </w:r>
            <w:r>
              <w:t>n</w:t>
            </w:r>
            <w:r w:rsidR="00D004D5" w:rsidRPr="0082500F">
              <w:t>oteikumu projekts</w:t>
            </w:r>
            <w:r>
              <w:t>)</w:t>
            </w:r>
            <w:r w:rsidR="00D004D5" w:rsidRPr="0082500F">
              <w:t xml:space="preserve"> ļaus kontrolēt</w:t>
            </w:r>
            <w:r w:rsidR="00812AB6">
              <w:t xml:space="preserve"> un novērst</w:t>
            </w:r>
            <w:r w:rsidR="00D004D5" w:rsidRPr="0082500F">
              <w:t xml:space="preserve"> nelikumīgas </w:t>
            </w:r>
            <w:r w:rsidR="00812AB6">
              <w:t xml:space="preserve">atkritumu apsaimniekošanas </w:t>
            </w:r>
            <w:r w:rsidR="00D004D5" w:rsidRPr="0082500F">
              <w:t>darbības</w:t>
            </w:r>
            <w:r w:rsidR="00812AB6">
              <w:t>,</w:t>
            </w:r>
            <w:r w:rsidR="00D004D5" w:rsidRPr="0082500F">
              <w:t xml:space="preserve"> un nepieciešamības gadījumā segt izdevumus, kas saistās ar </w:t>
            </w:r>
            <w:r w:rsidR="00812AB6">
              <w:t xml:space="preserve">atkritumu </w:t>
            </w:r>
            <w:r w:rsidR="00D004D5" w:rsidRPr="0082500F">
              <w:t>apsaimniekotāju radīto potenciālo vides piesārņojumu valstij.</w:t>
            </w:r>
          </w:p>
          <w:p w14:paraId="0399C6FF" w14:textId="77777777" w:rsidR="00441CCB" w:rsidRPr="0082500F" w:rsidRDefault="00D004D5" w:rsidP="00812AB6">
            <w:pPr>
              <w:jc w:val="both"/>
            </w:pPr>
            <w:r w:rsidRPr="0082500F">
              <w:t>Noteikumu projektam būs pozitīva ietekme uz vidi, tas nodrošinās atbildīgāku atkritumu apsaimniekošanu.</w:t>
            </w:r>
          </w:p>
        </w:tc>
      </w:tr>
      <w:tr w:rsidR="00A97FD9" w14:paraId="0399C704" w14:textId="77777777" w:rsidTr="0012653B">
        <w:tc>
          <w:tcPr>
            <w:tcW w:w="426" w:type="dxa"/>
          </w:tcPr>
          <w:p w14:paraId="0399C701" w14:textId="77777777" w:rsidR="00441CCB" w:rsidRPr="0082500F" w:rsidRDefault="00D004D5" w:rsidP="00441CCB">
            <w:pPr>
              <w:pStyle w:val="Title"/>
              <w:spacing w:before="130" w:line="260" w:lineRule="exact"/>
              <w:jc w:val="both"/>
              <w:rPr>
                <w:sz w:val="24"/>
                <w:szCs w:val="24"/>
              </w:rPr>
            </w:pPr>
            <w:r w:rsidRPr="00766A92">
              <w:rPr>
                <w:sz w:val="24"/>
                <w:szCs w:val="24"/>
              </w:rPr>
              <w:t>3.</w:t>
            </w:r>
          </w:p>
        </w:tc>
        <w:tc>
          <w:tcPr>
            <w:tcW w:w="2782" w:type="dxa"/>
          </w:tcPr>
          <w:p w14:paraId="0399C702" w14:textId="77777777" w:rsidR="00441CCB" w:rsidRPr="0082500F" w:rsidRDefault="00D004D5" w:rsidP="00441CCB">
            <w:pPr>
              <w:pStyle w:val="Title"/>
              <w:spacing w:before="130" w:line="260" w:lineRule="exact"/>
              <w:jc w:val="both"/>
              <w:rPr>
                <w:sz w:val="24"/>
                <w:szCs w:val="24"/>
              </w:rPr>
            </w:pPr>
            <w:r w:rsidRPr="00766A92">
              <w:rPr>
                <w:sz w:val="24"/>
                <w:szCs w:val="24"/>
              </w:rPr>
              <w:t>Administratīvo izmaksu monetārs novērtējums</w:t>
            </w:r>
          </w:p>
        </w:tc>
        <w:tc>
          <w:tcPr>
            <w:tcW w:w="5858" w:type="dxa"/>
          </w:tcPr>
          <w:p w14:paraId="0399C703" w14:textId="77777777" w:rsidR="00441CCB" w:rsidRPr="0082500F" w:rsidRDefault="00D004D5" w:rsidP="00441CCB">
            <w:pPr>
              <w:pStyle w:val="Title"/>
              <w:spacing w:before="130" w:line="260" w:lineRule="exact"/>
              <w:jc w:val="both"/>
              <w:rPr>
                <w:sz w:val="24"/>
                <w:szCs w:val="24"/>
              </w:rPr>
            </w:pPr>
            <w:r w:rsidRPr="00766A92">
              <w:rPr>
                <w:sz w:val="24"/>
                <w:szCs w:val="24"/>
              </w:rPr>
              <w:t>Nav attiecināms.</w:t>
            </w:r>
          </w:p>
        </w:tc>
      </w:tr>
      <w:tr w:rsidR="00A97FD9" w14:paraId="0399C708" w14:textId="77777777" w:rsidTr="0012653B">
        <w:tc>
          <w:tcPr>
            <w:tcW w:w="426" w:type="dxa"/>
          </w:tcPr>
          <w:p w14:paraId="0399C705" w14:textId="77777777" w:rsidR="00441CCB" w:rsidRPr="0082500F" w:rsidRDefault="00D004D5" w:rsidP="00441CCB">
            <w:pPr>
              <w:pStyle w:val="Title"/>
              <w:spacing w:before="130" w:line="260" w:lineRule="exact"/>
              <w:jc w:val="both"/>
              <w:rPr>
                <w:sz w:val="24"/>
                <w:szCs w:val="24"/>
              </w:rPr>
            </w:pPr>
            <w:r w:rsidRPr="00766A92">
              <w:rPr>
                <w:sz w:val="24"/>
                <w:szCs w:val="24"/>
              </w:rPr>
              <w:t>4.</w:t>
            </w:r>
          </w:p>
        </w:tc>
        <w:tc>
          <w:tcPr>
            <w:tcW w:w="2782" w:type="dxa"/>
          </w:tcPr>
          <w:p w14:paraId="0399C706" w14:textId="77777777" w:rsidR="00441CCB" w:rsidRPr="0082500F" w:rsidRDefault="00D004D5" w:rsidP="00441CCB">
            <w:pPr>
              <w:pStyle w:val="Title"/>
              <w:spacing w:before="130" w:line="260" w:lineRule="exact"/>
              <w:jc w:val="both"/>
              <w:rPr>
                <w:sz w:val="24"/>
                <w:szCs w:val="24"/>
              </w:rPr>
            </w:pPr>
            <w:r w:rsidRPr="00766A92">
              <w:rPr>
                <w:sz w:val="24"/>
                <w:szCs w:val="24"/>
              </w:rPr>
              <w:t>Atbilstības izmaksu monetārs novērtējums</w:t>
            </w:r>
          </w:p>
        </w:tc>
        <w:tc>
          <w:tcPr>
            <w:tcW w:w="5858" w:type="dxa"/>
          </w:tcPr>
          <w:p w14:paraId="0399C707" w14:textId="77777777" w:rsidR="00441CCB" w:rsidRPr="0082500F" w:rsidRDefault="00D004D5" w:rsidP="005A08BE">
            <w:pPr>
              <w:jc w:val="both"/>
            </w:pPr>
            <w:r w:rsidRPr="0082500F">
              <w:t>Pēc VARAM novērtējuma atbilstības izmaksas par finanšu nodrošinājuma uzturēšanu g</w:t>
            </w:r>
            <w:r w:rsidR="00E9386B">
              <w:t>a</w:t>
            </w:r>
            <w:r w:rsidRPr="0082500F">
              <w:t>dā sastādīs</w:t>
            </w:r>
            <w:r w:rsidR="00E9386B">
              <w:t>,</w:t>
            </w:r>
            <w:r w:rsidRPr="0082500F">
              <w:t xml:space="preserve"> aptuveni</w:t>
            </w:r>
            <w:r w:rsidR="00E9386B">
              <w:t>,</w:t>
            </w:r>
            <w:r w:rsidRPr="0082500F">
              <w:t xml:space="preserve"> 5</w:t>
            </w:r>
            <w:r w:rsidR="005D4C28">
              <w:t> </w:t>
            </w:r>
            <w:r w:rsidRPr="0082500F">
              <w:t>000</w:t>
            </w:r>
            <w:r w:rsidR="005D4C28">
              <w:t> </w:t>
            </w:r>
            <w:proofErr w:type="spellStart"/>
            <w:r w:rsidRPr="0082500F">
              <w:rPr>
                <w:i/>
              </w:rPr>
              <w:t>euro</w:t>
            </w:r>
            <w:proofErr w:type="spellEnd"/>
            <w:r w:rsidRPr="0082500F">
              <w:t xml:space="preserve"> gadā. Šīs izmaksas ir atkarīgas no finanšu nodrošinājuma veida (bankas garantija vai apdrošināšana) un starp apsaimniekotāju un apdrošinātāju vai banku noslēgtā līguma nosacījumiem.</w:t>
            </w:r>
          </w:p>
        </w:tc>
      </w:tr>
      <w:tr w:rsidR="00A97FD9" w14:paraId="0399C70C" w14:textId="77777777" w:rsidTr="0012653B">
        <w:tc>
          <w:tcPr>
            <w:tcW w:w="426" w:type="dxa"/>
          </w:tcPr>
          <w:p w14:paraId="0399C709" w14:textId="77777777" w:rsidR="00441CCB" w:rsidRPr="0082500F" w:rsidRDefault="00D004D5" w:rsidP="00441CCB">
            <w:pPr>
              <w:pStyle w:val="Title"/>
              <w:spacing w:before="130" w:line="260" w:lineRule="exact"/>
              <w:jc w:val="both"/>
              <w:rPr>
                <w:sz w:val="24"/>
                <w:szCs w:val="24"/>
              </w:rPr>
            </w:pPr>
            <w:r w:rsidRPr="00766A92">
              <w:rPr>
                <w:sz w:val="24"/>
                <w:szCs w:val="24"/>
              </w:rPr>
              <w:t>5.</w:t>
            </w:r>
          </w:p>
        </w:tc>
        <w:tc>
          <w:tcPr>
            <w:tcW w:w="2782" w:type="dxa"/>
          </w:tcPr>
          <w:p w14:paraId="0399C70A" w14:textId="77777777" w:rsidR="00441CCB" w:rsidRPr="0082500F" w:rsidRDefault="00D004D5" w:rsidP="00441CCB">
            <w:pPr>
              <w:pStyle w:val="Title"/>
              <w:spacing w:before="130" w:line="260" w:lineRule="exact"/>
              <w:jc w:val="both"/>
              <w:rPr>
                <w:sz w:val="24"/>
                <w:szCs w:val="24"/>
              </w:rPr>
            </w:pPr>
            <w:r w:rsidRPr="00766A92">
              <w:rPr>
                <w:sz w:val="24"/>
                <w:szCs w:val="24"/>
              </w:rPr>
              <w:t>Cita informācija</w:t>
            </w:r>
          </w:p>
        </w:tc>
        <w:tc>
          <w:tcPr>
            <w:tcW w:w="5858" w:type="dxa"/>
          </w:tcPr>
          <w:p w14:paraId="0399C70B" w14:textId="77777777" w:rsidR="00441CCB" w:rsidRPr="0082500F" w:rsidRDefault="00D004D5" w:rsidP="00441CCB">
            <w:pPr>
              <w:pStyle w:val="Title"/>
              <w:spacing w:before="130" w:line="260" w:lineRule="exact"/>
              <w:jc w:val="both"/>
              <w:rPr>
                <w:sz w:val="24"/>
                <w:szCs w:val="24"/>
              </w:rPr>
            </w:pPr>
            <w:r w:rsidRPr="00766A92">
              <w:rPr>
                <w:sz w:val="24"/>
                <w:szCs w:val="24"/>
              </w:rPr>
              <w:t>Nav.</w:t>
            </w:r>
          </w:p>
        </w:tc>
      </w:tr>
    </w:tbl>
    <w:p w14:paraId="0399C70D" w14:textId="77777777" w:rsidR="00441CCB" w:rsidRPr="002323BC" w:rsidRDefault="00441CCB"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A97FD9" w14:paraId="0399C70F" w14:textId="77777777" w:rsidTr="00BD5588">
        <w:trPr>
          <w:cantSplit/>
        </w:trPr>
        <w:tc>
          <w:tcPr>
            <w:tcW w:w="8365" w:type="dxa"/>
            <w:shd w:val="clear" w:color="auto" w:fill="auto"/>
            <w:vAlign w:val="center"/>
            <w:hideMark/>
          </w:tcPr>
          <w:p w14:paraId="0399C70E" w14:textId="77777777" w:rsidR="00BD5588" w:rsidRPr="002323BC" w:rsidRDefault="00D004D5" w:rsidP="00E71146">
            <w:pPr>
              <w:jc w:val="center"/>
              <w:rPr>
                <w:b/>
                <w:bCs/>
                <w:lang w:eastAsia="en-US"/>
              </w:rPr>
            </w:pPr>
            <w:r w:rsidRPr="002323BC">
              <w:br w:type="page"/>
            </w:r>
            <w:r w:rsidRPr="002323BC">
              <w:rPr>
                <w:b/>
                <w:bCs/>
                <w:lang w:eastAsia="en-US"/>
              </w:rPr>
              <w:t>III. Tiesību akta projekta ietekme uz valsts budžetu un pašvaldību budžetiem</w:t>
            </w:r>
          </w:p>
        </w:tc>
      </w:tr>
      <w:tr w:rsidR="00A97FD9" w14:paraId="0399C711" w14:textId="77777777" w:rsidTr="00E71146">
        <w:trPr>
          <w:cantSplit/>
        </w:trPr>
        <w:tc>
          <w:tcPr>
            <w:tcW w:w="8365" w:type="dxa"/>
            <w:shd w:val="clear" w:color="auto" w:fill="auto"/>
          </w:tcPr>
          <w:p w14:paraId="0399C710" w14:textId="77777777" w:rsidR="00357D0A" w:rsidRPr="002323BC" w:rsidRDefault="00D004D5" w:rsidP="00357D0A">
            <w:pPr>
              <w:jc w:val="center"/>
              <w:rPr>
                <w:lang w:eastAsia="en-US"/>
              </w:rPr>
            </w:pPr>
            <w:r w:rsidRPr="002323BC">
              <w:t>Projekts šo jomu neskar.</w:t>
            </w:r>
          </w:p>
        </w:tc>
      </w:tr>
    </w:tbl>
    <w:p w14:paraId="0399C712" w14:textId="77777777" w:rsidR="004B715D" w:rsidRPr="002323BC" w:rsidRDefault="004B715D" w:rsidP="00F33D6B">
      <w:pPr>
        <w:pStyle w:val="Title"/>
        <w:spacing w:before="130" w:line="260" w:lineRule="exact"/>
        <w:jc w:val="both"/>
        <w:rPr>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29"/>
      </w:tblGrid>
      <w:tr w:rsidR="00A97FD9" w14:paraId="0399C714" w14:textId="77777777" w:rsidTr="00493D48">
        <w:trPr>
          <w:cantSplit/>
        </w:trPr>
        <w:tc>
          <w:tcPr>
            <w:tcW w:w="9059" w:type="dxa"/>
            <w:vAlign w:val="center"/>
            <w:hideMark/>
          </w:tcPr>
          <w:p w14:paraId="0399C713" w14:textId="77777777" w:rsidR="00BD5588" w:rsidRPr="002323BC" w:rsidRDefault="00D004D5" w:rsidP="00E71146">
            <w:pPr>
              <w:jc w:val="center"/>
              <w:rPr>
                <w:b/>
                <w:bCs/>
              </w:rPr>
            </w:pPr>
            <w:r w:rsidRPr="002323BC">
              <w:rPr>
                <w:b/>
                <w:bCs/>
              </w:rPr>
              <w:t>IV. Tiesību akta projekta ietekme uz spēkā esošo tiesību normu sistēmu</w:t>
            </w:r>
          </w:p>
        </w:tc>
      </w:tr>
      <w:tr w:rsidR="00493D48" w14:paraId="0399C716" w14:textId="77777777" w:rsidTr="00493D48">
        <w:trPr>
          <w:cantSplit/>
        </w:trPr>
        <w:tc>
          <w:tcPr>
            <w:tcW w:w="9059" w:type="dxa"/>
            <w:vAlign w:val="center"/>
          </w:tcPr>
          <w:p w14:paraId="0399C715" w14:textId="77777777" w:rsidR="00493D48" w:rsidRPr="0012653B" w:rsidRDefault="00493D48" w:rsidP="00E71146">
            <w:pPr>
              <w:jc w:val="center"/>
              <w:rPr>
                <w:bCs/>
              </w:rPr>
            </w:pPr>
            <w:r w:rsidRPr="0012653B">
              <w:rPr>
                <w:bCs/>
              </w:rPr>
              <w:t>Projekts šo jomu neskar.</w:t>
            </w:r>
          </w:p>
        </w:tc>
      </w:tr>
    </w:tbl>
    <w:p w14:paraId="0399C717" w14:textId="77777777" w:rsidR="00BD5588" w:rsidRPr="002323BC"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97FD9" w14:paraId="0399C719" w14:textId="77777777" w:rsidTr="00E71146">
        <w:trPr>
          <w:cantSplit/>
        </w:trPr>
        <w:tc>
          <w:tcPr>
            <w:tcW w:w="5000" w:type="pct"/>
            <w:vAlign w:val="center"/>
            <w:hideMark/>
          </w:tcPr>
          <w:p w14:paraId="0399C718" w14:textId="77777777" w:rsidR="00BD5588" w:rsidRPr="002323BC" w:rsidRDefault="00D004D5" w:rsidP="00E71146">
            <w:pPr>
              <w:jc w:val="center"/>
              <w:rPr>
                <w:b/>
                <w:bCs/>
              </w:rPr>
            </w:pPr>
            <w:r w:rsidRPr="002323BC">
              <w:rPr>
                <w:b/>
                <w:bCs/>
              </w:rPr>
              <w:t>V. Tiesību akta projekta atbilstība Latvijas Republikas starptautiskajām saistībām</w:t>
            </w:r>
          </w:p>
        </w:tc>
      </w:tr>
      <w:tr w:rsidR="00A97FD9" w14:paraId="0399C71B" w14:textId="77777777" w:rsidTr="00A76D2F">
        <w:trPr>
          <w:cantSplit/>
        </w:trPr>
        <w:tc>
          <w:tcPr>
            <w:tcW w:w="5000" w:type="pct"/>
          </w:tcPr>
          <w:p w14:paraId="0399C71A" w14:textId="77777777" w:rsidR="00A76D2F" w:rsidRPr="002323BC" w:rsidRDefault="00D004D5" w:rsidP="00A76D2F">
            <w:pPr>
              <w:jc w:val="center"/>
            </w:pPr>
            <w:r w:rsidRPr="002323BC">
              <w:t>Projekts šo jomu neskar.</w:t>
            </w:r>
          </w:p>
        </w:tc>
      </w:tr>
    </w:tbl>
    <w:p w14:paraId="0399C71C" w14:textId="77777777" w:rsidR="00BD5588" w:rsidRPr="002323BC" w:rsidRDefault="00BD5588" w:rsidP="00F33D6B">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4"/>
        <w:gridCol w:w="2845"/>
        <w:gridCol w:w="5862"/>
      </w:tblGrid>
      <w:tr w:rsidR="00A97FD9" w14:paraId="0399C71E" w14:textId="77777777" w:rsidTr="00E71146">
        <w:trPr>
          <w:cantSplit/>
        </w:trPr>
        <w:tc>
          <w:tcPr>
            <w:tcW w:w="5000" w:type="pct"/>
            <w:gridSpan w:val="3"/>
            <w:vAlign w:val="center"/>
            <w:hideMark/>
          </w:tcPr>
          <w:p w14:paraId="0399C71D" w14:textId="77777777" w:rsidR="00BD5588" w:rsidRPr="002323BC" w:rsidRDefault="00D004D5" w:rsidP="00E71146">
            <w:pPr>
              <w:jc w:val="center"/>
              <w:rPr>
                <w:b/>
                <w:bCs/>
              </w:rPr>
            </w:pPr>
            <w:r w:rsidRPr="002323BC">
              <w:rPr>
                <w:b/>
                <w:bCs/>
              </w:rPr>
              <w:lastRenderedPageBreak/>
              <w:t>VI. Sabiedrības līdzdalība un komunikācijas aktivitātes</w:t>
            </w:r>
          </w:p>
        </w:tc>
      </w:tr>
      <w:tr w:rsidR="00A97FD9" w14:paraId="0399C722" w14:textId="77777777" w:rsidTr="0012653B">
        <w:trPr>
          <w:cantSplit/>
        </w:trPr>
        <w:tc>
          <w:tcPr>
            <w:tcW w:w="232" w:type="pct"/>
            <w:hideMark/>
          </w:tcPr>
          <w:p w14:paraId="0399C71F" w14:textId="77777777" w:rsidR="00BD5588" w:rsidRPr="002323BC" w:rsidRDefault="00D004D5" w:rsidP="00E71146">
            <w:pPr>
              <w:jc w:val="center"/>
            </w:pPr>
            <w:r w:rsidRPr="002323BC">
              <w:t>1.</w:t>
            </w:r>
          </w:p>
        </w:tc>
        <w:tc>
          <w:tcPr>
            <w:tcW w:w="1558" w:type="pct"/>
            <w:hideMark/>
          </w:tcPr>
          <w:p w14:paraId="0399C720" w14:textId="77777777" w:rsidR="00BD5588" w:rsidRPr="002323BC" w:rsidRDefault="00D004D5" w:rsidP="00E71146">
            <w:r w:rsidRPr="002323BC">
              <w:t>Plānotās sabiedrības līdzdalības un komunikācijas aktivitātes saistībā ar projektu</w:t>
            </w:r>
          </w:p>
        </w:tc>
        <w:tc>
          <w:tcPr>
            <w:tcW w:w="3210" w:type="pct"/>
            <w:hideMark/>
          </w:tcPr>
          <w:p w14:paraId="0399C721" w14:textId="77777777" w:rsidR="00BD5588" w:rsidRPr="002323BC" w:rsidRDefault="00D004D5" w:rsidP="00B813FC">
            <w:pPr>
              <w:jc w:val="both"/>
            </w:pPr>
            <w:r w:rsidRPr="002323BC">
              <w:t>Saskaņā ar Ministru kabineta 2009. gada 25. augusta noteikumu Nr. 970 “Sabiedrības līdzdalības kārtība attīstības plānošanas procesā” 7.4.</w:t>
            </w:r>
            <w:r w:rsidRPr="002323BC">
              <w:rPr>
                <w:vertAlign w:val="superscript"/>
              </w:rPr>
              <w:t>1</w:t>
            </w:r>
            <w:r w:rsidRPr="002323BC">
              <w:t> apakšpunktu, sabiedrības pārstāvji ir aicināti līdzdarboties, rakstiski sniedzot viedokli par noteikumu projektu tā izstrādes stadijā.</w:t>
            </w:r>
          </w:p>
        </w:tc>
      </w:tr>
      <w:tr w:rsidR="00A97FD9" w14:paraId="0399C726" w14:textId="77777777" w:rsidTr="0012653B">
        <w:trPr>
          <w:cantSplit/>
        </w:trPr>
        <w:tc>
          <w:tcPr>
            <w:tcW w:w="232" w:type="pct"/>
            <w:hideMark/>
          </w:tcPr>
          <w:p w14:paraId="0399C723" w14:textId="77777777" w:rsidR="00BD5588" w:rsidRPr="002323BC" w:rsidRDefault="00D004D5" w:rsidP="00E71146">
            <w:pPr>
              <w:jc w:val="center"/>
            </w:pPr>
            <w:r w:rsidRPr="002323BC">
              <w:t>2.</w:t>
            </w:r>
          </w:p>
        </w:tc>
        <w:tc>
          <w:tcPr>
            <w:tcW w:w="1558" w:type="pct"/>
            <w:hideMark/>
          </w:tcPr>
          <w:p w14:paraId="0399C724" w14:textId="77777777" w:rsidR="00BD5588" w:rsidRPr="002323BC" w:rsidRDefault="00D004D5" w:rsidP="00E71146">
            <w:r w:rsidRPr="002323BC">
              <w:t>Sabiedrības līdzdalība projekta izstrādē</w:t>
            </w:r>
          </w:p>
        </w:tc>
        <w:tc>
          <w:tcPr>
            <w:tcW w:w="3210" w:type="pct"/>
            <w:hideMark/>
          </w:tcPr>
          <w:p w14:paraId="0399C725" w14:textId="77777777" w:rsidR="00BD5588" w:rsidRPr="002323BC" w:rsidRDefault="00D004D5" w:rsidP="00E9386B">
            <w:pPr>
              <w:jc w:val="both"/>
            </w:pPr>
            <w:r w:rsidRPr="002323BC">
              <w:t>Noteikumu projekts</w:t>
            </w:r>
            <w:r w:rsidR="00E9386B">
              <w:t xml:space="preserve"> un tā anotācija</w:t>
            </w:r>
            <w:r w:rsidRPr="002323BC">
              <w:t xml:space="preserve"> V</w:t>
            </w:r>
            <w:r w:rsidR="005A08BE">
              <w:t>ARAM</w:t>
            </w:r>
            <w:r w:rsidRPr="002323BC">
              <w:t xml:space="preserve"> tīmekļvietnē  </w:t>
            </w:r>
            <w:hyperlink r:id="rId8" w:history="1">
              <w:r w:rsidRPr="002323BC">
                <w:rPr>
                  <w:color w:val="0000FF"/>
                  <w:u w:val="single"/>
                </w:rPr>
                <w:t>www.varam.gov.lv</w:t>
              </w:r>
            </w:hyperlink>
            <w:r w:rsidR="00493D48">
              <w:t xml:space="preserve"> </w:t>
            </w:r>
            <w:r w:rsidR="00E9386B">
              <w:t xml:space="preserve">ievietota </w:t>
            </w:r>
            <w:r w:rsidR="00493D48" w:rsidRPr="0012653B">
              <w:t xml:space="preserve">2018. gada </w:t>
            </w:r>
            <w:r w:rsidR="0012653B" w:rsidRPr="0012653B">
              <w:t>27</w:t>
            </w:r>
            <w:r w:rsidR="00493D48" w:rsidRPr="0012653B">
              <w:t>.</w:t>
            </w:r>
            <w:r w:rsidR="00141C62">
              <w:t> </w:t>
            </w:r>
            <w:r w:rsidR="00493D48" w:rsidRPr="0012653B">
              <w:t>novembrī</w:t>
            </w:r>
            <w:r w:rsidRPr="002323BC">
              <w:t>, sniedzot ieinteresētajām personām iespēju izteikt viedokli un iesniegt priekšlikumus.</w:t>
            </w:r>
            <w:r w:rsidR="00AC049F">
              <w:t xml:space="preserve"> </w:t>
            </w:r>
          </w:p>
        </w:tc>
      </w:tr>
      <w:tr w:rsidR="00A97FD9" w14:paraId="0399C72A" w14:textId="77777777" w:rsidTr="0012653B">
        <w:trPr>
          <w:cantSplit/>
        </w:trPr>
        <w:tc>
          <w:tcPr>
            <w:tcW w:w="232" w:type="pct"/>
            <w:hideMark/>
          </w:tcPr>
          <w:p w14:paraId="0399C727" w14:textId="77777777" w:rsidR="00BD5588" w:rsidRPr="002323BC" w:rsidRDefault="00D004D5" w:rsidP="00E71146">
            <w:pPr>
              <w:jc w:val="center"/>
            </w:pPr>
            <w:r w:rsidRPr="002323BC">
              <w:t>3.</w:t>
            </w:r>
          </w:p>
        </w:tc>
        <w:tc>
          <w:tcPr>
            <w:tcW w:w="1558" w:type="pct"/>
            <w:hideMark/>
          </w:tcPr>
          <w:p w14:paraId="0399C728" w14:textId="77777777" w:rsidR="00BD5588" w:rsidRPr="002323BC" w:rsidRDefault="00D004D5" w:rsidP="00E71146">
            <w:r w:rsidRPr="002323BC">
              <w:t>Sabiedrības līdzdalības rezultāti</w:t>
            </w:r>
          </w:p>
        </w:tc>
        <w:tc>
          <w:tcPr>
            <w:tcW w:w="3210" w:type="pct"/>
            <w:hideMark/>
          </w:tcPr>
          <w:p w14:paraId="0399C729" w14:textId="77777777" w:rsidR="00BD5588" w:rsidRPr="002323BC" w:rsidRDefault="00812AB6" w:rsidP="00812AB6">
            <w:pPr>
              <w:jc w:val="both"/>
            </w:pPr>
            <w:r>
              <w:t xml:space="preserve">Sabiedriskās apspriešanas ietvaros par noteikumu projektu </w:t>
            </w:r>
            <w:r w:rsidR="00E9386B">
              <w:t xml:space="preserve"> un tā anotāciju </w:t>
            </w:r>
            <w:r>
              <w:t xml:space="preserve">netika saņemti sabiedrības viedokļi. </w:t>
            </w:r>
          </w:p>
        </w:tc>
      </w:tr>
      <w:tr w:rsidR="00A97FD9" w14:paraId="0399C72E" w14:textId="77777777" w:rsidTr="0012653B">
        <w:trPr>
          <w:cantSplit/>
        </w:trPr>
        <w:tc>
          <w:tcPr>
            <w:tcW w:w="232" w:type="pct"/>
            <w:hideMark/>
          </w:tcPr>
          <w:p w14:paraId="0399C72B" w14:textId="77777777" w:rsidR="00BD5588" w:rsidRPr="002323BC" w:rsidRDefault="00D004D5" w:rsidP="00E71146">
            <w:pPr>
              <w:jc w:val="center"/>
            </w:pPr>
            <w:r w:rsidRPr="002323BC">
              <w:t>4.</w:t>
            </w:r>
          </w:p>
        </w:tc>
        <w:tc>
          <w:tcPr>
            <w:tcW w:w="1558" w:type="pct"/>
            <w:hideMark/>
          </w:tcPr>
          <w:p w14:paraId="0399C72C" w14:textId="77777777" w:rsidR="00BD5588" w:rsidRPr="002323BC" w:rsidRDefault="00D004D5" w:rsidP="00E71146">
            <w:r w:rsidRPr="002323BC">
              <w:t>Cita informācija</w:t>
            </w:r>
          </w:p>
        </w:tc>
        <w:tc>
          <w:tcPr>
            <w:tcW w:w="3210" w:type="pct"/>
            <w:hideMark/>
          </w:tcPr>
          <w:p w14:paraId="0399C72D" w14:textId="77777777" w:rsidR="00BD5588" w:rsidRPr="002323BC" w:rsidRDefault="00D004D5" w:rsidP="00E71146">
            <w:r w:rsidRPr="002323BC">
              <w:t>Nav.</w:t>
            </w:r>
          </w:p>
        </w:tc>
      </w:tr>
    </w:tbl>
    <w:p w14:paraId="0399C72F" w14:textId="77777777" w:rsidR="00BD5588" w:rsidRPr="002323BC" w:rsidRDefault="00BD5588" w:rsidP="00F33D6B">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4"/>
        <w:gridCol w:w="2845"/>
        <w:gridCol w:w="5862"/>
      </w:tblGrid>
      <w:tr w:rsidR="00A97FD9" w14:paraId="0399C731" w14:textId="77777777" w:rsidTr="00E71146">
        <w:trPr>
          <w:cantSplit/>
        </w:trPr>
        <w:tc>
          <w:tcPr>
            <w:tcW w:w="5000" w:type="pct"/>
            <w:gridSpan w:val="3"/>
            <w:vAlign w:val="center"/>
            <w:hideMark/>
          </w:tcPr>
          <w:p w14:paraId="0399C730" w14:textId="77777777" w:rsidR="00BD5588" w:rsidRPr="002323BC" w:rsidRDefault="00D004D5" w:rsidP="00E71146">
            <w:pPr>
              <w:jc w:val="center"/>
              <w:rPr>
                <w:b/>
                <w:bCs/>
              </w:rPr>
            </w:pPr>
            <w:r w:rsidRPr="002323BC">
              <w:rPr>
                <w:b/>
                <w:bCs/>
              </w:rPr>
              <w:t>VII. Tiesību akta projekta izpildes nodrošināšana un tās ietekme uz institūcijām</w:t>
            </w:r>
          </w:p>
        </w:tc>
      </w:tr>
      <w:tr w:rsidR="00A97FD9" w14:paraId="0399C735" w14:textId="77777777" w:rsidTr="001F03AF">
        <w:trPr>
          <w:cantSplit/>
          <w:trHeight w:val="519"/>
        </w:trPr>
        <w:tc>
          <w:tcPr>
            <w:tcW w:w="232" w:type="pct"/>
            <w:hideMark/>
          </w:tcPr>
          <w:p w14:paraId="0399C732" w14:textId="77777777" w:rsidR="00BD5588" w:rsidRPr="002323BC" w:rsidRDefault="00D004D5" w:rsidP="00E71146">
            <w:pPr>
              <w:jc w:val="center"/>
            </w:pPr>
            <w:r w:rsidRPr="002323BC">
              <w:t>1.</w:t>
            </w:r>
          </w:p>
        </w:tc>
        <w:tc>
          <w:tcPr>
            <w:tcW w:w="1558" w:type="pct"/>
            <w:hideMark/>
          </w:tcPr>
          <w:p w14:paraId="0399C733" w14:textId="77777777" w:rsidR="00BD5588" w:rsidRPr="001F03AF" w:rsidRDefault="00D004D5" w:rsidP="001F03AF">
            <w:r w:rsidRPr="002323BC">
              <w:t>Projekta izpildē iesaistītās institūcijas</w:t>
            </w:r>
          </w:p>
        </w:tc>
        <w:tc>
          <w:tcPr>
            <w:tcW w:w="3210" w:type="pct"/>
            <w:hideMark/>
          </w:tcPr>
          <w:p w14:paraId="0399C734" w14:textId="77777777" w:rsidR="00141C62" w:rsidRPr="00F33D6B" w:rsidRDefault="00D004D5" w:rsidP="00392DF3">
            <w:pPr>
              <w:rPr>
                <w:szCs w:val="28"/>
              </w:rPr>
            </w:pPr>
            <w:r w:rsidRPr="002323BC">
              <w:rPr>
                <w:szCs w:val="28"/>
              </w:rPr>
              <w:t>Valsts vides dienests</w:t>
            </w:r>
            <w:r w:rsidR="005A08BE">
              <w:rPr>
                <w:szCs w:val="28"/>
              </w:rPr>
              <w:t>.</w:t>
            </w:r>
          </w:p>
        </w:tc>
      </w:tr>
      <w:tr w:rsidR="00A97FD9" w14:paraId="0399C73E" w14:textId="77777777" w:rsidTr="0012653B">
        <w:trPr>
          <w:cantSplit/>
        </w:trPr>
        <w:tc>
          <w:tcPr>
            <w:tcW w:w="232" w:type="pct"/>
            <w:hideMark/>
          </w:tcPr>
          <w:p w14:paraId="0399C736" w14:textId="77777777" w:rsidR="00BD5588" w:rsidRPr="002323BC" w:rsidRDefault="00D004D5" w:rsidP="00E71146">
            <w:pPr>
              <w:jc w:val="center"/>
            </w:pPr>
            <w:r w:rsidRPr="002323BC">
              <w:t>2.</w:t>
            </w:r>
          </w:p>
        </w:tc>
        <w:tc>
          <w:tcPr>
            <w:tcW w:w="1558" w:type="pct"/>
            <w:hideMark/>
          </w:tcPr>
          <w:p w14:paraId="0399C737" w14:textId="77777777" w:rsidR="004A4FEB" w:rsidRPr="002323BC" w:rsidRDefault="00D004D5" w:rsidP="00351A91">
            <w:pPr>
              <w:jc w:val="both"/>
            </w:pPr>
            <w:r w:rsidRPr="002323BC">
              <w:t>Projekta izpildes ietekme uz pārvaldes funkcijām un institucionālo struktūru.</w:t>
            </w:r>
          </w:p>
          <w:p w14:paraId="0399C738" w14:textId="77777777" w:rsidR="00BD5588" w:rsidRPr="002323BC" w:rsidRDefault="00D004D5" w:rsidP="00351A91">
            <w:pPr>
              <w:jc w:val="both"/>
            </w:pPr>
            <w:r w:rsidRPr="002323BC">
              <w:br/>
              <w:t>Jaunu institūciju izveide, esošu institūciju likvidācija vai reorganizācija, to ietekme uz institūcijas cilvēkresursiem</w:t>
            </w:r>
          </w:p>
        </w:tc>
        <w:tc>
          <w:tcPr>
            <w:tcW w:w="3210" w:type="pct"/>
            <w:hideMark/>
          </w:tcPr>
          <w:p w14:paraId="0399C739" w14:textId="77777777" w:rsidR="004A4FEB" w:rsidRPr="002323BC" w:rsidRDefault="00D004D5" w:rsidP="004A4FEB">
            <w:pPr>
              <w:pStyle w:val="naisnod"/>
              <w:spacing w:before="0" w:after="0"/>
              <w:ind w:right="57"/>
              <w:jc w:val="both"/>
              <w:rPr>
                <w:b w:val="0"/>
              </w:rPr>
            </w:pPr>
            <w:r w:rsidRPr="002323BC">
              <w:rPr>
                <w:b w:val="0"/>
              </w:rPr>
              <w:t>Noteikumu projekts neietekmē iesaistīto institūciju funkcijas un uzdevumus.</w:t>
            </w:r>
          </w:p>
          <w:p w14:paraId="0399C73A" w14:textId="77777777" w:rsidR="004A4FEB" w:rsidRDefault="004A4FEB" w:rsidP="004A4FEB">
            <w:pPr>
              <w:rPr>
                <w:bCs/>
              </w:rPr>
            </w:pPr>
          </w:p>
          <w:p w14:paraId="0399C73B" w14:textId="77777777" w:rsidR="00143898" w:rsidRPr="002323BC" w:rsidRDefault="00143898" w:rsidP="004A4FEB">
            <w:pPr>
              <w:rPr>
                <w:bCs/>
              </w:rPr>
            </w:pPr>
          </w:p>
          <w:p w14:paraId="0399C73C" w14:textId="77777777" w:rsidR="004A4FEB" w:rsidRPr="002323BC" w:rsidRDefault="004A4FEB" w:rsidP="004A4FEB">
            <w:pPr>
              <w:rPr>
                <w:bCs/>
              </w:rPr>
            </w:pPr>
          </w:p>
          <w:p w14:paraId="0399C73D" w14:textId="77777777" w:rsidR="00BD5588" w:rsidRPr="002323BC" w:rsidRDefault="00D004D5" w:rsidP="00143898">
            <w:pPr>
              <w:jc w:val="both"/>
            </w:pPr>
            <w:r w:rsidRPr="002323BC">
              <w:rPr>
                <w:bCs/>
              </w:rPr>
              <w:t>Jaunas institūcijas nav jāveido. Esošās institūcijas nav jāreorganizē.</w:t>
            </w:r>
          </w:p>
        </w:tc>
      </w:tr>
      <w:tr w:rsidR="00A97FD9" w14:paraId="0399C742" w14:textId="77777777" w:rsidTr="0012653B">
        <w:trPr>
          <w:cantSplit/>
        </w:trPr>
        <w:tc>
          <w:tcPr>
            <w:tcW w:w="232" w:type="pct"/>
            <w:hideMark/>
          </w:tcPr>
          <w:p w14:paraId="0399C73F" w14:textId="77777777" w:rsidR="00BD5588" w:rsidRPr="002323BC" w:rsidRDefault="00D004D5" w:rsidP="00E71146">
            <w:pPr>
              <w:jc w:val="center"/>
            </w:pPr>
            <w:r w:rsidRPr="002323BC">
              <w:t>3.</w:t>
            </w:r>
          </w:p>
        </w:tc>
        <w:tc>
          <w:tcPr>
            <w:tcW w:w="1558" w:type="pct"/>
            <w:hideMark/>
          </w:tcPr>
          <w:p w14:paraId="0399C740" w14:textId="77777777" w:rsidR="00BD5588" w:rsidRPr="002323BC" w:rsidRDefault="00D004D5" w:rsidP="00E71146">
            <w:r w:rsidRPr="002323BC">
              <w:t>Cita informācija</w:t>
            </w:r>
          </w:p>
        </w:tc>
        <w:tc>
          <w:tcPr>
            <w:tcW w:w="3210" w:type="pct"/>
            <w:hideMark/>
          </w:tcPr>
          <w:p w14:paraId="0399C741" w14:textId="77777777" w:rsidR="00BD5588" w:rsidRPr="002323BC" w:rsidRDefault="00D004D5" w:rsidP="00E71146">
            <w:r w:rsidRPr="002323BC">
              <w:t>Nav.</w:t>
            </w:r>
          </w:p>
        </w:tc>
      </w:tr>
    </w:tbl>
    <w:p w14:paraId="0399C743" w14:textId="77777777" w:rsidR="00E44472" w:rsidRPr="002323BC" w:rsidRDefault="00E44472"/>
    <w:p w14:paraId="0399C744" w14:textId="77777777" w:rsidR="004A4FEB" w:rsidRPr="002323BC" w:rsidRDefault="004A4FEB"/>
    <w:p w14:paraId="0399C745" w14:textId="77777777" w:rsidR="004A4FEB" w:rsidRPr="002323BC" w:rsidRDefault="00D004D5" w:rsidP="004A4FEB">
      <w:pPr>
        <w:tabs>
          <w:tab w:val="left" w:pos="6237"/>
        </w:tabs>
      </w:pPr>
      <w:r w:rsidRPr="002323BC">
        <w:t xml:space="preserve">Vides aizsardzības un </w:t>
      </w:r>
    </w:p>
    <w:p w14:paraId="0399C746" w14:textId="77777777" w:rsidR="004A4FEB" w:rsidRPr="002323BC" w:rsidRDefault="00D004D5" w:rsidP="004A4FEB">
      <w:pPr>
        <w:tabs>
          <w:tab w:val="left" w:pos="6237"/>
        </w:tabs>
      </w:pPr>
      <w:r w:rsidRPr="002323BC">
        <w:t>reģionālās attīstības ministrs</w:t>
      </w:r>
      <w:r w:rsidRPr="002323BC">
        <w:tab/>
        <w:t>Kaspars Gerhards</w:t>
      </w:r>
    </w:p>
    <w:p w14:paraId="0399C747" w14:textId="77777777" w:rsidR="004A4FEB" w:rsidRPr="002323BC" w:rsidRDefault="004A4FEB" w:rsidP="004A4FEB">
      <w:pPr>
        <w:tabs>
          <w:tab w:val="left" w:pos="6237"/>
        </w:tabs>
        <w:rPr>
          <w:sz w:val="28"/>
          <w:szCs w:val="28"/>
        </w:rPr>
      </w:pPr>
    </w:p>
    <w:p w14:paraId="0399C748" w14:textId="77777777" w:rsidR="004A4FEB" w:rsidRPr="002323BC" w:rsidRDefault="004A4FEB" w:rsidP="004A4FEB">
      <w:pPr>
        <w:tabs>
          <w:tab w:val="left" w:pos="6237"/>
        </w:tabs>
        <w:rPr>
          <w:szCs w:val="28"/>
        </w:rPr>
      </w:pPr>
    </w:p>
    <w:p w14:paraId="0399C749" w14:textId="77777777" w:rsidR="004A4FEB" w:rsidRPr="002323BC" w:rsidRDefault="004F5233" w:rsidP="004A4FEB">
      <w:pPr>
        <w:tabs>
          <w:tab w:val="left" w:pos="6237"/>
        </w:tabs>
        <w:rPr>
          <w:sz w:val="18"/>
          <w:szCs w:val="18"/>
        </w:rPr>
      </w:pPr>
      <w:r>
        <w:rPr>
          <w:sz w:val="18"/>
          <w:szCs w:val="18"/>
        </w:rPr>
        <w:t>Doniņa</w:t>
      </w:r>
      <w:r w:rsidR="00D004D5" w:rsidRPr="002323BC">
        <w:rPr>
          <w:sz w:val="18"/>
          <w:szCs w:val="18"/>
        </w:rPr>
        <w:t xml:space="preserve"> 67026461</w:t>
      </w:r>
    </w:p>
    <w:p w14:paraId="0399C74A" w14:textId="77777777" w:rsidR="004A4FEB" w:rsidRPr="002323BC" w:rsidRDefault="00102FDA" w:rsidP="004A4FEB">
      <w:pPr>
        <w:rPr>
          <w:sz w:val="18"/>
          <w:szCs w:val="18"/>
        </w:rPr>
      </w:pPr>
      <w:hyperlink r:id="rId9" w:history="1">
        <w:r w:rsidR="004F5233" w:rsidRPr="00A70ACB">
          <w:rPr>
            <w:rStyle w:val="Hyperlink"/>
            <w:sz w:val="18"/>
            <w:szCs w:val="18"/>
          </w:rPr>
          <w:t>ilze.donina@varam.gov.lv</w:t>
        </w:r>
      </w:hyperlink>
    </w:p>
    <w:sectPr w:rsidR="004A4FEB" w:rsidRPr="002323BC" w:rsidSect="00EB4A9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9C74D" w14:textId="77777777" w:rsidR="007A72EB" w:rsidRDefault="007A72EB">
      <w:r>
        <w:separator/>
      </w:r>
    </w:p>
  </w:endnote>
  <w:endnote w:type="continuationSeparator" w:id="0">
    <w:p w14:paraId="0399C74E" w14:textId="77777777" w:rsidR="007A72EB" w:rsidRDefault="007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C751" w14:textId="77777777" w:rsidR="002903CE" w:rsidRDefault="0029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C752" w14:textId="77777777" w:rsidR="002903CE" w:rsidRPr="00887682" w:rsidRDefault="00EB4A9A" w:rsidP="002903CE">
    <w:pPr>
      <w:pStyle w:val="Footer"/>
      <w:rPr>
        <w:sz w:val="20"/>
        <w:szCs w:val="20"/>
      </w:rPr>
    </w:pPr>
    <w:r w:rsidRPr="00EB4A9A">
      <w:t xml:space="preserve"> </w:t>
    </w:r>
    <w:r w:rsidR="002903CE">
      <w:rPr>
        <w:sz w:val="20"/>
        <w:szCs w:val="20"/>
      </w:rPr>
      <w:t>VARAMAnot_080119_</w:t>
    </w:r>
    <w:r w:rsidR="002903CE" w:rsidRPr="00EB4A9A">
      <w:rPr>
        <w:sz w:val="20"/>
        <w:szCs w:val="20"/>
      </w:rPr>
      <w:t>fin_nodr</w:t>
    </w:r>
  </w:p>
  <w:p w14:paraId="0399C753" w14:textId="77777777" w:rsidR="00E71146" w:rsidRPr="004A4FEB" w:rsidRDefault="00E71146">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C755" w14:textId="77777777" w:rsidR="004373EF" w:rsidRPr="00887682" w:rsidRDefault="00EB4A9A">
    <w:pPr>
      <w:pStyle w:val="Footer"/>
      <w:rPr>
        <w:sz w:val="20"/>
        <w:szCs w:val="20"/>
      </w:rPr>
    </w:pPr>
    <w:r w:rsidRPr="00EB4A9A">
      <w:t xml:space="preserve"> </w:t>
    </w:r>
    <w:r w:rsidR="002903CE">
      <w:rPr>
        <w:sz w:val="20"/>
        <w:szCs w:val="20"/>
      </w:rPr>
      <w:t>VARAMAnot_080119_</w:t>
    </w:r>
    <w:r w:rsidRPr="00EB4A9A">
      <w:rPr>
        <w:sz w:val="20"/>
        <w:szCs w:val="20"/>
      </w:rPr>
      <w:t>fin_nodr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C74B" w14:textId="77777777" w:rsidR="007A72EB" w:rsidRDefault="007A72EB">
      <w:r>
        <w:separator/>
      </w:r>
    </w:p>
  </w:footnote>
  <w:footnote w:type="continuationSeparator" w:id="0">
    <w:p w14:paraId="0399C74C" w14:textId="77777777" w:rsidR="007A72EB" w:rsidRDefault="007A72EB">
      <w:r>
        <w:continuationSeparator/>
      </w:r>
    </w:p>
  </w:footnote>
  <w:footnote w:id="1">
    <w:p w14:paraId="0399C756" w14:textId="77777777" w:rsidR="002903CE" w:rsidRDefault="002903CE" w:rsidP="002903CE">
      <w:pPr>
        <w:tabs>
          <w:tab w:val="left" w:pos="6580"/>
        </w:tabs>
        <w:jc w:val="both"/>
      </w:pPr>
      <w:r>
        <w:rPr>
          <w:rStyle w:val="FootnoteReference"/>
        </w:rPr>
        <w:footnoteRef/>
      </w:r>
      <w:r>
        <w:t xml:space="preserve"> </w:t>
      </w:r>
      <w:hyperlink r:id="rId1" w:history="1">
        <w:r w:rsidRPr="00867A63">
          <w:rPr>
            <w:rStyle w:val="Hyperlink"/>
          </w:rPr>
          <w:t>http://tap.mk.gov.lv/lv/mk/tap/?pid=40449471</w:t>
        </w:r>
      </w:hyperlink>
      <w:r>
        <w:t xml:space="preserve"> </w:t>
      </w:r>
    </w:p>
    <w:p w14:paraId="0399C757" w14:textId="77777777" w:rsidR="002903CE" w:rsidRDefault="002903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C74F" w14:textId="77777777" w:rsidR="002903CE" w:rsidRDefault="00290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00511"/>
      <w:docPartObj>
        <w:docPartGallery w:val="Page Numbers (Top of Page)"/>
        <w:docPartUnique/>
      </w:docPartObj>
    </w:sdtPr>
    <w:sdtEndPr>
      <w:rPr>
        <w:noProof/>
      </w:rPr>
    </w:sdtEndPr>
    <w:sdtContent>
      <w:p w14:paraId="0399C750" w14:textId="77777777" w:rsidR="004373EF" w:rsidRDefault="00D004D5">
        <w:pPr>
          <w:pStyle w:val="Header"/>
          <w:jc w:val="center"/>
        </w:pPr>
        <w:r>
          <w:fldChar w:fldCharType="begin"/>
        </w:r>
        <w:r>
          <w:instrText xml:space="preserve"> PAGE   \* MERGEFORMAT </w:instrText>
        </w:r>
        <w:r>
          <w:fldChar w:fldCharType="separate"/>
        </w:r>
        <w:r w:rsidR="00102FDA">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C754" w14:textId="77777777" w:rsidR="002903CE" w:rsidRDefault="00290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3579F"/>
    <w:rsid w:val="0005520A"/>
    <w:rsid w:val="00077A54"/>
    <w:rsid w:val="00090ED1"/>
    <w:rsid w:val="000935D2"/>
    <w:rsid w:val="00094861"/>
    <w:rsid w:val="000C1813"/>
    <w:rsid w:val="000E5D55"/>
    <w:rsid w:val="00102FDA"/>
    <w:rsid w:val="0010358F"/>
    <w:rsid w:val="0012653B"/>
    <w:rsid w:val="0013057B"/>
    <w:rsid w:val="00141C62"/>
    <w:rsid w:val="00143898"/>
    <w:rsid w:val="00166ADF"/>
    <w:rsid w:val="001A5ACB"/>
    <w:rsid w:val="001C7C26"/>
    <w:rsid w:val="001F03AF"/>
    <w:rsid w:val="002323BC"/>
    <w:rsid w:val="002903CE"/>
    <w:rsid w:val="003060DD"/>
    <w:rsid w:val="00351A91"/>
    <w:rsid w:val="00357D0A"/>
    <w:rsid w:val="00364E12"/>
    <w:rsid w:val="00366017"/>
    <w:rsid w:val="00377DC9"/>
    <w:rsid w:val="00380813"/>
    <w:rsid w:val="00392DF3"/>
    <w:rsid w:val="003B5591"/>
    <w:rsid w:val="003C0875"/>
    <w:rsid w:val="003E1507"/>
    <w:rsid w:val="004373EF"/>
    <w:rsid w:val="00441CCB"/>
    <w:rsid w:val="0047188E"/>
    <w:rsid w:val="00493D48"/>
    <w:rsid w:val="004A4FEB"/>
    <w:rsid w:val="004B715D"/>
    <w:rsid w:val="004D0AC1"/>
    <w:rsid w:val="004D7FC3"/>
    <w:rsid w:val="004F5233"/>
    <w:rsid w:val="004F6322"/>
    <w:rsid w:val="004F74A9"/>
    <w:rsid w:val="0050094A"/>
    <w:rsid w:val="00530AD7"/>
    <w:rsid w:val="0053642D"/>
    <w:rsid w:val="005443C9"/>
    <w:rsid w:val="005753C6"/>
    <w:rsid w:val="005A08BE"/>
    <w:rsid w:val="005D4C28"/>
    <w:rsid w:val="0063438F"/>
    <w:rsid w:val="00653038"/>
    <w:rsid w:val="00676777"/>
    <w:rsid w:val="006843F7"/>
    <w:rsid w:val="006D06AE"/>
    <w:rsid w:val="006D5B64"/>
    <w:rsid w:val="006F4070"/>
    <w:rsid w:val="00714234"/>
    <w:rsid w:val="00761DB4"/>
    <w:rsid w:val="00766A92"/>
    <w:rsid w:val="007746CB"/>
    <w:rsid w:val="00796128"/>
    <w:rsid w:val="0079732F"/>
    <w:rsid w:val="007A72EB"/>
    <w:rsid w:val="007B2C3C"/>
    <w:rsid w:val="007F0D66"/>
    <w:rsid w:val="00812AB6"/>
    <w:rsid w:val="0082500F"/>
    <w:rsid w:val="00826D15"/>
    <w:rsid w:val="008302D6"/>
    <w:rsid w:val="00845630"/>
    <w:rsid w:val="00853D1D"/>
    <w:rsid w:val="00862078"/>
    <w:rsid w:val="00887682"/>
    <w:rsid w:val="008D3A36"/>
    <w:rsid w:val="008F286F"/>
    <w:rsid w:val="00913E2F"/>
    <w:rsid w:val="009A3838"/>
    <w:rsid w:val="009A5155"/>
    <w:rsid w:val="009C0967"/>
    <w:rsid w:val="009E6546"/>
    <w:rsid w:val="009E665E"/>
    <w:rsid w:val="00A00ACD"/>
    <w:rsid w:val="00A1273B"/>
    <w:rsid w:val="00A70DA7"/>
    <w:rsid w:val="00A71EDA"/>
    <w:rsid w:val="00A76D2F"/>
    <w:rsid w:val="00A92A17"/>
    <w:rsid w:val="00A95CF7"/>
    <w:rsid w:val="00A96A57"/>
    <w:rsid w:val="00A97FD9"/>
    <w:rsid w:val="00AB2B46"/>
    <w:rsid w:val="00AB3742"/>
    <w:rsid w:val="00AC049F"/>
    <w:rsid w:val="00AD43C2"/>
    <w:rsid w:val="00AE16A6"/>
    <w:rsid w:val="00AF33BD"/>
    <w:rsid w:val="00B27642"/>
    <w:rsid w:val="00B52A67"/>
    <w:rsid w:val="00B60024"/>
    <w:rsid w:val="00B70720"/>
    <w:rsid w:val="00B75E0B"/>
    <w:rsid w:val="00B813FC"/>
    <w:rsid w:val="00B9269D"/>
    <w:rsid w:val="00B94112"/>
    <w:rsid w:val="00BB0130"/>
    <w:rsid w:val="00BB15E9"/>
    <w:rsid w:val="00BB2CF9"/>
    <w:rsid w:val="00BD07BB"/>
    <w:rsid w:val="00BD5588"/>
    <w:rsid w:val="00C01112"/>
    <w:rsid w:val="00C22119"/>
    <w:rsid w:val="00C56030"/>
    <w:rsid w:val="00CA5120"/>
    <w:rsid w:val="00D004D5"/>
    <w:rsid w:val="00D15A01"/>
    <w:rsid w:val="00D17A29"/>
    <w:rsid w:val="00D85596"/>
    <w:rsid w:val="00DF321F"/>
    <w:rsid w:val="00E20366"/>
    <w:rsid w:val="00E22388"/>
    <w:rsid w:val="00E44472"/>
    <w:rsid w:val="00E47506"/>
    <w:rsid w:val="00E6255D"/>
    <w:rsid w:val="00E64F63"/>
    <w:rsid w:val="00E71146"/>
    <w:rsid w:val="00E9386B"/>
    <w:rsid w:val="00EB4A9A"/>
    <w:rsid w:val="00EC4934"/>
    <w:rsid w:val="00EC4A26"/>
    <w:rsid w:val="00EC675E"/>
    <w:rsid w:val="00ED24B4"/>
    <w:rsid w:val="00EE1D08"/>
    <w:rsid w:val="00F1746E"/>
    <w:rsid w:val="00F33D6B"/>
    <w:rsid w:val="00F539FE"/>
    <w:rsid w:val="00F906D5"/>
    <w:rsid w:val="00FA469C"/>
    <w:rsid w:val="00FD7A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9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semiHidden/>
    <w:unhideWhenUsed/>
    <w:rsid w:val="005443C9"/>
    <w:rPr>
      <w:sz w:val="20"/>
      <w:szCs w:val="20"/>
    </w:rPr>
  </w:style>
  <w:style w:type="character" w:customStyle="1" w:styleId="CommentTextChar">
    <w:name w:val="Comment Text Char"/>
    <w:basedOn w:val="DefaultParagraphFont"/>
    <w:link w:val="CommentText"/>
    <w:uiPriority w:val="99"/>
    <w:semiHidden/>
    <w:rsid w:val="005443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443C9"/>
    <w:rPr>
      <w:b/>
      <w:bCs/>
    </w:rPr>
  </w:style>
  <w:style w:type="character" w:customStyle="1" w:styleId="CommentSubjectChar">
    <w:name w:val="Comment Subject Char"/>
    <w:basedOn w:val="CommentTextChar"/>
    <w:link w:val="CommentSubject"/>
    <w:uiPriority w:val="99"/>
    <w:semiHidden/>
    <w:rsid w:val="005443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4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C9"/>
    <w:rPr>
      <w:rFonts w:ascii="Segoe UI" w:eastAsia="Times New Roman" w:hAnsi="Segoe UI" w:cs="Segoe UI"/>
      <w:sz w:val="18"/>
      <w:szCs w:val="18"/>
      <w:lang w:eastAsia="lv-LV"/>
    </w:rPr>
  </w:style>
  <w:style w:type="paragraph" w:customStyle="1" w:styleId="Style3">
    <w:name w:val="Style3"/>
    <w:basedOn w:val="Normal"/>
    <w:uiPriority w:val="99"/>
    <w:rsid w:val="00FA469C"/>
    <w:pPr>
      <w:widowControl w:val="0"/>
      <w:autoSpaceDE w:val="0"/>
      <w:autoSpaceDN w:val="0"/>
      <w:adjustRightInd w:val="0"/>
      <w:spacing w:line="292" w:lineRule="exact"/>
      <w:ind w:firstLine="720"/>
      <w:jc w:val="both"/>
    </w:pPr>
    <w:rPr>
      <w:rFonts w:ascii="Calibri" w:hAnsi="Calibri"/>
    </w:rPr>
  </w:style>
  <w:style w:type="character" w:customStyle="1" w:styleId="FontStyle15">
    <w:name w:val="Font Style15"/>
    <w:uiPriority w:val="99"/>
    <w:rsid w:val="00FA469C"/>
    <w:rPr>
      <w:rFonts w:ascii="Calibri" w:hAnsi="Calibri" w:cs="Calibri"/>
      <w:sz w:val="22"/>
      <w:szCs w:val="22"/>
    </w:rPr>
  </w:style>
  <w:style w:type="character" w:customStyle="1" w:styleId="FontStyle16">
    <w:name w:val="Font Style16"/>
    <w:uiPriority w:val="99"/>
    <w:rsid w:val="00FA469C"/>
    <w:rPr>
      <w:rFonts w:ascii="Calibri" w:hAnsi="Calibri" w:cs="Calibri"/>
      <w:i/>
      <w:iCs/>
      <w:sz w:val="22"/>
      <w:szCs w:val="22"/>
    </w:rPr>
  </w:style>
  <w:style w:type="table" w:styleId="TableGrid">
    <w:name w:val="Table Grid"/>
    <w:basedOn w:val="TableNormal"/>
    <w:uiPriority w:val="39"/>
    <w:rsid w:val="0044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796128"/>
    <w:rPr>
      <w:rFonts w:ascii="Calibri" w:eastAsia="Calibri" w:hAnsi="Calibri" w:cs="Times New Roman"/>
    </w:rPr>
  </w:style>
  <w:style w:type="paragraph" w:styleId="FootnoteText">
    <w:name w:val="footnote text"/>
    <w:basedOn w:val="Normal"/>
    <w:link w:val="FootnoteTextChar"/>
    <w:uiPriority w:val="99"/>
    <w:semiHidden/>
    <w:unhideWhenUsed/>
    <w:rsid w:val="00493D48"/>
    <w:rPr>
      <w:sz w:val="20"/>
      <w:szCs w:val="20"/>
    </w:rPr>
  </w:style>
  <w:style w:type="character" w:customStyle="1" w:styleId="FootnoteTextChar">
    <w:name w:val="Footnote Text Char"/>
    <w:basedOn w:val="DefaultParagraphFont"/>
    <w:link w:val="FootnoteText"/>
    <w:uiPriority w:val="99"/>
    <w:semiHidden/>
    <w:rsid w:val="00493D4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93D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semiHidden/>
    <w:unhideWhenUsed/>
    <w:rsid w:val="005443C9"/>
    <w:rPr>
      <w:sz w:val="20"/>
      <w:szCs w:val="20"/>
    </w:rPr>
  </w:style>
  <w:style w:type="character" w:customStyle="1" w:styleId="CommentTextChar">
    <w:name w:val="Comment Text Char"/>
    <w:basedOn w:val="DefaultParagraphFont"/>
    <w:link w:val="CommentText"/>
    <w:uiPriority w:val="99"/>
    <w:semiHidden/>
    <w:rsid w:val="005443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443C9"/>
    <w:rPr>
      <w:b/>
      <w:bCs/>
    </w:rPr>
  </w:style>
  <w:style w:type="character" w:customStyle="1" w:styleId="CommentSubjectChar">
    <w:name w:val="Comment Subject Char"/>
    <w:basedOn w:val="CommentTextChar"/>
    <w:link w:val="CommentSubject"/>
    <w:uiPriority w:val="99"/>
    <w:semiHidden/>
    <w:rsid w:val="005443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4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C9"/>
    <w:rPr>
      <w:rFonts w:ascii="Segoe UI" w:eastAsia="Times New Roman" w:hAnsi="Segoe UI" w:cs="Segoe UI"/>
      <w:sz w:val="18"/>
      <w:szCs w:val="18"/>
      <w:lang w:eastAsia="lv-LV"/>
    </w:rPr>
  </w:style>
  <w:style w:type="paragraph" w:customStyle="1" w:styleId="Style3">
    <w:name w:val="Style3"/>
    <w:basedOn w:val="Normal"/>
    <w:uiPriority w:val="99"/>
    <w:rsid w:val="00FA469C"/>
    <w:pPr>
      <w:widowControl w:val="0"/>
      <w:autoSpaceDE w:val="0"/>
      <w:autoSpaceDN w:val="0"/>
      <w:adjustRightInd w:val="0"/>
      <w:spacing w:line="292" w:lineRule="exact"/>
      <w:ind w:firstLine="720"/>
      <w:jc w:val="both"/>
    </w:pPr>
    <w:rPr>
      <w:rFonts w:ascii="Calibri" w:hAnsi="Calibri"/>
    </w:rPr>
  </w:style>
  <w:style w:type="character" w:customStyle="1" w:styleId="FontStyle15">
    <w:name w:val="Font Style15"/>
    <w:uiPriority w:val="99"/>
    <w:rsid w:val="00FA469C"/>
    <w:rPr>
      <w:rFonts w:ascii="Calibri" w:hAnsi="Calibri" w:cs="Calibri"/>
      <w:sz w:val="22"/>
      <w:szCs w:val="22"/>
    </w:rPr>
  </w:style>
  <w:style w:type="character" w:customStyle="1" w:styleId="FontStyle16">
    <w:name w:val="Font Style16"/>
    <w:uiPriority w:val="99"/>
    <w:rsid w:val="00FA469C"/>
    <w:rPr>
      <w:rFonts w:ascii="Calibri" w:hAnsi="Calibri" w:cs="Calibri"/>
      <w:i/>
      <w:iCs/>
      <w:sz w:val="22"/>
      <w:szCs w:val="22"/>
    </w:rPr>
  </w:style>
  <w:style w:type="table" w:styleId="TableGrid">
    <w:name w:val="Table Grid"/>
    <w:basedOn w:val="TableNormal"/>
    <w:uiPriority w:val="39"/>
    <w:rsid w:val="0044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796128"/>
    <w:rPr>
      <w:rFonts w:ascii="Calibri" w:eastAsia="Calibri" w:hAnsi="Calibri" w:cs="Times New Roman"/>
    </w:rPr>
  </w:style>
  <w:style w:type="paragraph" w:styleId="FootnoteText">
    <w:name w:val="footnote text"/>
    <w:basedOn w:val="Normal"/>
    <w:link w:val="FootnoteTextChar"/>
    <w:uiPriority w:val="99"/>
    <w:semiHidden/>
    <w:unhideWhenUsed/>
    <w:rsid w:val="00493D48"/>
    <w:rPr>
      <w:sz w:val="20"/>
      <w:szCs w:val="20"/>
    </w:rPr>
  </w:style>
  <w:style w:type="character" w:customStyle="1" w:styleId="FootnoteTextChar">
    <w:name w:val="Footnote Text Char"/>
    <w:basedOn w:val="DefaultParagraphFont"/>
    <w:link w:val="FootnoteText"/>
    <w:uiPriority w:val="99"/>
    <w:semiHidden/>
    <w:rsid w:val="00493D4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93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9696">
      <w:bodyDiv w:val="1"/>
      <w:marLeft w:val="0"/>
      <w:marRight w:val="0"/>
      <w:marTop w:val="0"/>
      <w:marBottom w:val="0"/>
      <w:divBdr>
        <w:top w:val="none" w:sz="0" w:space="0" w:color="auto"/>
        <w:left w:val="none" w:sz="0" w:space="0" w:color="auto"/>
        <w:bottom w:val="none" w:sz="0" w:space="0" w:color="auto"/>
        <w:right w:val="none" w:sz="0" w:space="0" w:color="auto"/>
      </w:divBdr>
    </w:div>
    <w:div w:id="20600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49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BF9F-9583-4F8D-B0B9-12947DCB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4030</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26. jūnija noteikumos Nr. 373 “Finanšu nodrošinājuma piemērošanas kārtība atkritumu apsaimniekošanas darbībām””  sākotnējās ietekmes novērtējuma ziņojums (anotācija)</vt:lpstr>
    </vt:vector>
  </TitlesOfParts>
  <Company>VARAM</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26. jūnija noteikumos Nr. 373 “Finanšu nodrošinājuma piemērošanas kārtība atkritumu apsaimniekošanas darbībām””  sākotnējās ietekmes novērtējuma ziņojums (anotācija)</dc:title>
  <dc:subject>Noteikumu projekta anotācija</dc:subject>
  <dc:creator>I.Doniņa</dc:creator>
  <dc:description>67026515, ilze.donina@varam.gov.lv</dc:description>
  <cp:lastModifiedBy>Natālija Cudečka-Puriņa</cp:lastModifiedBy>
  <cp:revision>3</cp:revision>
  <dcterms:created xsi:type="dcterms:W3CDTF">2019-01-08T07:42:00Z</dcterms:created>
  <dcterms:modified xsi:type="dcterms:W3CDTF">2019-01-08T07:56:00Z</dcterms:modified>
</cp:coreProperties>
</file>