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9DD8" w14:textId="77777777" w:rsidR="0085096A" w:rsidRPr="00456D05" w:rsidRDefault="006572D7" w:rsidP="00D062A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456D05">
        <w:rPr>
          <w:rFonts w:ascii="Times New Roman" w:eastAsia="Times New Roman" w:hAnsi="Times New Roman" w:cs="Times New Roman"/>
          <w:b/>
          <w:bCs/>
          <w:sz w:val="24"/>
          <w:szCs w:val="24"/>
          <w:lang w:eastAsia="lv-LV"/>
        </w:rPr>
        <w:t>Ministru kabineta noteikumu projekta</w:t>
      </w:r>
    </w:p>
    <w:p w14:paraId="4CBA1B2B" w14:textId="617C20F5" w:rsidR="00894C55" w:rsidRPr="00456D05" w:rsidRDefault="006572D7" w:rsidP="00D062A9">
      <w:pPr>
        <w:shd w:val="clear" w:color="auto" w:fill="FFFFFF"/>
        <w:spacing w:after="0" w:line="240" w:lineRule="auto"/>
        <w:jc w:val="center"/>
        <w:rPr>
          <w:rFonts w:ascii="Times New Roman" w:eastAsia="Times New Roman" w:hAnsi="Times New Roman" w:cs="Times New Roman"/>
          <w:b/>
          <w:bCs/>
          <w:sz w:val="24"/>
          <w:szCs w:val="24"/>
          <w:lang w:eastAsia="lv-LV"/>
        </w:rPr>
      </w:pPr>
      <w:r w:rsidRPr="00456D05">
        <w:rPr>
          <w:rFonts w:ascii="Times New Roman" w:eastAsia="Times New Roman" w:hAnsi="Times New Roman" w:cs="Times New Roman"/>
          <w:b/>
          <w:bCs/>
          <w:sz w:val="24"/>
          <w:szCs w:val="24"/>
          <w:lang w:eastAsia="lv-LV"/>
        </w:rPr>
        <w:t>„</w:t>
      </w:r>
      <w:r w:rsidR="00526C51" w:rsidRPr="00456D05">
        <w:rPr>
          <w:rFonts w:ascii="Times New Roman" w:eastAsia="Times New Roman" w:hAnsi="Times New Roman" w:cs="Times New Roman"/>
          <w:b/>
          <w:bCs/>
          <w:sz w:val="24"/>
          <w:szCs w:val="24"/>
          <w:lang w:eastAsia="lv-LV"/>
        </w:rPr>
        <w:t>Grozījum</w:t>
      </w:r>
      <w:r w:rsidR="00CA2FC1" w:rsidRPr="00456D05">
        <w:rPr>
          <w:rFonts w:ascii="Times New Roman" w:eastAsia="Times New Roman" w:hAnsi="Times New Roman" w:cs="Times New Roman"/>
          <w:b/>
          <w:bCs/>
          <w:sz w:val="24"/>
          <w:szCs w:val="24"/>
          <w:lang w:eastAsia="lv-LV"/>
        </w:rPr>
        <w:t>i</w:t>
      </w:r>
      <w:r w:rsidR="00526C51" w:rsidRPr="00456D05">
        <w:rPr>
          <w:rFonts w:ascii="Times New Roman" w:eastAsia="Times New Roman" w:hAnsi="Times New Roman" w:cs="Times New Roman"/>
          <w:b/>
          <w:bCs/>
          <w:sz w:val="24"/>
          <w:szCs w:val="24"/>
          <w:lang w:eastAsia="lv-LV"/>
        </w:rPr>
        <w:t xml:space="preserve"> Ministru kabineta 2011.</w:t>
      </w:r>
      <w:r w:rsidR="001832BC" w:rsidRPr="00456D05">
        <w:rPr>
          <w:rFonts w:ascii="Times New Roman" w:eastAsia="Times New Roman" w:hAnsi="Times New Roman" w:cs="Times New Roman"/>
          <w:b/>
          <w:bCs/>
          <w:sz w:val="24"/>
          <w:szCs w:val="24"/>
          <w:lang w:eastAsia="lv-LV"/>
        </w:rPr>
        <w:t> </w:t>
      </w:r>
      <w:r w:rsidR="00526C51" w:rsidRPr="00456D05">
        <w:rPr>
          <w:rFonts w:ascii="Times New Roman" w:eastAsia="Times New Roman" w:hAnsi="Times New Roman" w:cs="Times New Roman"/>
          <w:b/>
          <w:bCs/>
          <w:sz w:val="24"/>
          <w:szCs w:val="24"/>
          <w:lang w:eastAsia="lv-LV"/>
        </w:rPr>
        <w:t>gada 30.</w:t>
      </w:r>
      <w:r w:rsidR="001832BC" w:rsidRPr="00456D05">
        <w:rPr>
          <w:rFonts w:ascii="Times New Roman" w:eastAsia="Times New Roman" w:hAnsi="Times New Roman" w:cs="Times New Roman"/>
          <w:b/>
          <w:bCs/>
          <w:sz w:val="24"/>
          <w:szCs w:val="24"/>
          <w:lang w:eastAsia="lv-LV"/>
        </w:rPr>
        <w:t> </w:t>
      </w:r>
      <w:r w:rsidR="00526C51" w:rsidRPr="00456D05">
        <w:rPr>
          <w:rFonts w:ascii="Times New Roman" w:eastAsia="Times New Roman" w:hAnsi="Times New Roman" w:cs="Times New Roman"/>
          <w:b/>
          <w:bCs/>
          <w:sz w:val="24"/>
          <w:szCs w:val="24"/>
          <w:lang w:eastAsia="lv-LV"/>
        </w:rPr>
        <w:t>augusta noteikumos Nr.</w:t>
      </w:r>
      <w:r w:rsidR="001832BC" w:rsidRPr="00456D05">
        <w:rPr>
          <w:rFonts w:ascii="Times New Roman" w:eastAsia="Times New Roman" w:hAnsi="Times New Roman" w:cs="Times New Roman"/>
          <w:b/>
          <w:bCs/>
          <w:sz w:val="24"/>
          <w:szCs w:val="24"/>
          <w:lang w:eastAsia="lv-LV"/>
        </w:rPr>
        <w:t> </w:t>
      </w:r>
      <w:r w:rsidR="000E14BC" w:rsidRPr="00456D05">
        <w:rPr>
          <w:rFonts w:ascii="Times New Roman" w:eastAsia="Times New Roman" w:hAnsi="Times New Roman" w:cs="Times New Roman"/>
          <w:b/>
          <w:bCs/>
          <w:sz w:val="24"/>
          <w:szCs w:val="24"/>
          <w:lang w:eastAsia="lv-LV"/>
        </w:rPr>
        <w:t>685 “</w:t>
      </w:r>
      <w:r w:rsidR="00526C51" w:rsidRPr="00456D05">
        <w:rPr>
          <w:rFonts w:ascii="Times New Roman" w:eastAsia="Times New Roman" w:hAnsi="Times New Roman" w:cs="Times New Roman"/>
          <w:b/>
          <w:bCs/>
          <w:sz w:val="24"/>
          <w:szCs w:val="24"/>
          <w:lang w:eastAsia="lv-LV"/>
        </w:rPr>
        <w:t xml:space="preserve">Rezidentu </w:t>
      </w:r>
      <w:r w:rsidR="000C311E">
        <w:rPr>
          <w:rFonts w:ascii="Times New Roman" w:eastAsia="Times New Roman" w:hAnsi="Times New Roman" w:cs="Times New Roman"/>
          <w:b/>
          <w:bCs/>
          <w:sz w:val="24"/>
          <w:szCs w:val="24"/>
          <w:lang w:eastAsia="lv-LV"/>
        </w:rPr>
        <w:t xml:space="preserve">uzņemšanas, </w:t>
      </w:r>
      <w:r w:rsidR="00526C51" w:rsidRPr="00456D05">
        <w:rPr>
          <w:rFonts w:ascii="Times New Roman" w:eastAsia="Times New Roman" w:hAnsi="Times New Roman" w:cs="Times New Roman"/>
          <w:b/>
          <w:bCs/>
          <w:sz w:val="24"/>
          <w:szCs w:val="24"/>
          <w:lang w:eastAsia="lv-LV"/>
        </w:rPr>
        <w:t>sadales un rezi</w:t>
      </w:r>
      <w:r w:rsidR="00262696">
        <w:rPr>
          <w:rFonts w:ascii="Times New Roman" w:eastAsia="Times New Roman" w:hAnsi="Times New Roman" w:cs="Times New Roman"/>
          <w:b/>
          <w:bCs/>
          <w:sz w:val="24"/>
          <w:szCs w:val="24"/>
          <w:lang w:eastAsia="lv-LV"/>
        </w:rPr>
        <w:t>dentūras finansēšanas kārtība</w:t>
      </w:r>
      <w:r w:rsidR="000E14BC" w:rsidRPr="00456D05">
        <w:rPr>
          <w:rFonts w:ascii="Times New Roman" w:eastAsia="Times New Roman" w:hAnsi="Times New Roman" w:cs="Times New Roman"/>
          <w:b/>
          <w:bCs/>
          <w:sz w:val="24"/>
          <w:szCs w:val="24"/>
          <w:lang w:eastAsia="lv-LV"/>
        </w:rPr>
        <w:t>”</w:t>
      </w:r>
      <w:r w:rsidR="00C918F0" w:rsidRPr="00456D05">
        <w:rPr>
          <w:rFonts w:ascii="Times New Roman" w:eastAsia="Times New Roman" w:hAnsi="Times New Roman" w:cs="Times New Roman"/>
          <w:b/>
          <w:bCs/>
          <w:sz w:val="24"/>
          <w:szCs w:val="24"/>
          <w:lang w:eastAsia="lv-LV"/>
        </w:rPr>
        <w:t>”</w:t>
      </w:r>
      <w:r w:rsidR="000A0240" w:rsidRPr="00456D05">
        <w:rPr>
          <w:rFonts w:ascii="Times New Roman" w:eastAsia="Times New Roman" w:hAnsi="Times New Roman" w:cs="Times New Roman"/>
          <w:b/>
          <w:bCs/>
          <w:sz w:val="24"/>
          <w:szCs w:val="24"/>
          <w:lang w:eastAsia="lv-LV"/>
        </w:rPr>
        <w:t xml:space="preserve"> </w:t>
      </w:r>
      <w:r w:rsidRPr="00456D05">
        <w:rPr>
          <w:rFonts w:ascii="Times New Roman" w:eastAsia="Times New Roman" w:hAnsi="Times New Roman" w:cs="Times New Roman"/>
          <w:b/>
          <w:bCs/>
          <w:sz w:val="24"/>
          <w:szCs w:val="24"/>
          <w:lang w:eastAsia="lv-LV"/>
        </w:rPr>
        <w:t>sākotnējās ietekmes novērtējuma ziņojums (anotācija)</w:t>
      </w:r>
    </w:p>
    <w:p w14:paraId="2B2DBD5C" w14:textId="14C64299" w:rsidR="005F0CC1" w:rsidRDefault="005F0CC1" w:rsidP="00D062A9">
      <w:pPr>
        <w:shd w:val="clear" w:color="auto" w:fill="FFFFFF"/>
        <w:spacing w:after="0" w:line="240" w:lineRule="auto"/>
        <w:jc w:val="center"/>
        <w:rPr>
          <w:rFonts w:ascii="Times New Roman" w:eastAsia="Times New Roman" w:hAnsi="Times New Roman" w:cs="Times New Roman"/>
          <w:bCs/>
          <w:sz w:val="24"/>
          <w:szCs w:val="24"/>
          <w:lang w:eastAsia="lv-LV"/>
        </w:rPr>
      </w:pPr>
    </w:p>
    <w:p w14:paraId="14F5A8B3" w14:textId="2F558896" w:rsidR="005F0CC1" w:rsidRDefault="005F0CC1" w:rsidP="00D062A9">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5F0CC1" w:rsidRPr="00C918F0" w14:paraId="74FDD14F" w14:textId="77777777" w:rsidTr="001A2CED">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6249890" w14:textId="3F57D524" w:rsidR="005F0CC1" w:rsidRPr="00C918F0" w:rsidRDefault="005F0CC1" w:rsidP="001A2CE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akta projekta anotācijas kopsavilkums</w:t>
            </w:r>
          </w:p>
        </w:tc>
      </w:tr>
      <w:tr w:rsidR="005F0CC1" w:rsidRPr="00C918F0" w14:paraId="37B91CCB" w14:textId="77777777" w:rsidTr="005F0CC1">
        <w:trPr>
          <w:trHeight w:val="324"/>
        </w:trPr>
        <w:tc>
          <w:tcPr>
            <w:tcW w:w="1800" w:type="pct"/>
            <w:tcBorders>
              <w:top w:val="outset" w:sz="6" w:space="0" w:color="414142"/>
              <w:left w:val="outset" w:sz="6" w:space="0" w:color="414142"/>
              <w:bottom w:val="outset" w:sz="6" w:space="0" w:color="414142"/>
              <w:right w:val="outset" w:sz="6" w:space="0" w:color="414142"/>
            </w:tcBorders>
            <w:hideMark/>
          </w:tcPr>
          <w:p w14:paraId="4D30ED76" w14:textId="525E013F" w:rsidR="005F0CC1" w:rsidRPr="00C918F0" w:rsidRDefault="00456D05" w:rsidP="00456D05">
            <w:pPr>
              <w:spacing w:before="100" w:beforeAutospacing="1" w:after="100" w:afterAutospacing="1" w:line="293" w:lineRule="atLeast"/>
              <w:rPr>
                <w:rFonts w:ascii="Times New Roman" w:eastAsia="Times New Roman" w:hAnsi="Times New Roman" w:cs="Times New Roman"/>
                <w:sz w:val="24"/>
                <w:szCs w:val="24"/>
                <w:lang w:eastAsia="lv-LV"/>
              </w:rPr>
            </w:pPr>
            <w:r w:rsidRPr="00456D05">
              <w:rPr>
                <w:rFonts w:ascii="Times New Roman" w:eastAsia="Times New Roman" w:hAnsi="Times New Roman" w:cs="Times New Roman"/>
                <w:iCs/>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tcPr>
          <w:p w14:paraId="0D19F42D" w14:textId="5C36D02C" w:rsidR="005F0CC1" w:rsidRPr="00456D05" w:rsidRDefault="00456D05" w:rsidP="001A2CED">
            <w:pPr>
              <w:spacing w:after="0" w:line="240" w:lineRule="auto"/>
              <w:ind w:left="107" w:right="109"/>
              <w:jc w:val="both"/>
              <w:rPr>
                <w:rFonts w:ascii="Times New Roman" w:eastAsia="Times New Roman" w:hAnsi="Times New Roman" w:cs="Times New Roman"/>
                <w:sz w:val="24"/>
                <w:szCs w:val="24"/>
                <w:lang w:eastAsia="lv-LV"/>
              </w:rPr>
            </w:pPr>
            <w:r w:rsidRPr="00456D05">
              <w:rPr>
                <w:rFonts w:ascii="Times New Roman" w:hAnsi="Times New Roman" w:cs="Times New Roman"/>
                <w:lang w:eastAsia="lv-LV"/>
              </w:rPr>
              <w:t>Projekts šo jomu neskar.</w:t>
            </w:r>
          </w:p>
        </w:tc>
      </w:tr>
    </w:tbl>
    <w:p w14:paraId="7F65A6C0" w14:textId="77777777" w:rsidR="005F0CC1" w:rsidRPr="00231F9D" w:rsidRDefault="005F0CC1" w:rsidP="00456D05">
      <w:pPr>
        <w:shd w:val="clear" w:color="auto" w:fill="FFFFFF"/>
        <w:spacing w:after="0" w:line="240" w:lineRule="auto"/>
        <w:rPr>
          <w:rFonts w:ascii="Times New Roman" w:eastAsia="Times New Roman" w:hAnsi="Times New Roman" w:cs="Times New Roman"/>
          <w:bCs/>
          <w:sz w:val="24"/>
          <w:szCs w:val="24"/>
          <w:lang w:eastAsia="lv-LV"/>
        </w:rPr>
      </w:pPr>
    </w:p>
    <w:p w14:paraId="1AB12733" w14:textId="77777777" w:rsidR="00894C55" w:rsidRPr="00894C55" w:rsidRDefault="00894C55" w:rsidP="00456D05">
      <w:pPr>
        <w:shd w:val="clear" w:color="auto" w:fill="FFFFFF"/>
        <w:spacing w:before="45" w:after="0" w:line="248" w:lineRule="atLeast"/>
        <w:ind w:firstLine="300"/>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B7E22" w14:paraId="5237C2EF" w14:textId="77777777" w:rsidTr="005000A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9399C8E" w14:textId="77777777" w:rsidR="00894C55" w:rsidRPr="00C918F0" w:rsidRDefault="006572D7"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1" w:name="_Hlk534185752"/>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8B7E22" w14:paraId="6FD6191C" w14:textId="77777777" w:rsidTr="005000A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03E3260" w14:textId="77777777"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D1F67C4" w14:textId="77777777"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50769244" w14:textId="11185524" w:rsidR="00A1379F" w:rsidRPr="00C918F0" w:rsidRDefault="00D7393C" w:rsidP="00735E06">
            <w:pPr>
              <w:spacing w:after="0" w:line="240" w:lineRule="auto"/>
              <w:ind w:left="107" w:right="109"/>
              <w:jc w:val="both"/>
              <w:rPr>
                <w:rFonts w:ascii="Times New Roman" w:eastAsia="Times New Roman" w:hAnsi="Times New Roman" w:cs="Times New Roman"/>
                <w:sz w:val="24"/>
                <w:szCs w:val="24"/>
                <w:lang w:eastAsia="lv-LV"/>
              </w:rPr>
            </w:pPr>
            <w:r w:rsidRPr="00330021">
              <w:rPr>
                <w:rFonts w:ascii="Times New Roman" w:eastAsia="Times New Roman" w:hAnsi="Times New Roman" w:cs="Times New Roman"/>
                <w:sz w:val="24"/>
                <w:szCs w:val="24"/>
                <w:lang w:eastAsia="lv-LV"/>
              </w:rPr>
              <w:t>Noteikumu proje</w:t>
            </w:r>
            <w:r w:rsidR="00735E06">
              <w:rPr>
                <w:rFonts w:ascii="Times New Roman" w:eastAsia="Times New Roman" w:hAnsi="Times New Roman" w:cs="Times New Roman"/>
                <w:sz w:val="24"/>
                <w:szCs w:val="24"/>
                <w:lang w:eastAsia="lv-LV"/>
              </w:rPr>
              <w:t xml:space="preserve">kts izstrādāts, pamatojoties uz </w:t>
            </w:r>
            <w:r w:rsidR="003C3B0F" w:rsidRPr="00330021">
              <w:rPr>
                <w:rFonts w:ascii="Times New Roman" w:eastAsia="Times New Roman" w:hAnsi="Times New Roman" w:cs="Times New Roman"/>
                <w:sz w:val="24"/>
                <w:szCs w:val="24"/>
                <w:lang w:eastAsia="lv-LV"/>
              </w:rPr>
              <w:t>Ministru kabineta 2018.gada 18.decembra  noteikumiem Nr. 851</w:t>
            </w:r>
            <w:r w:rsidRPr="00330021">
              <w:rPr>
                <w:rFonts w:ascii="Times New Roman" w:eastAsia="Times New Roman" w:hAnsi="Times New Roman" w:cs="Times New Roman"/>
                <w:sz w:val="24"/>
                <w:szCs w:val="24"/>
                <w:lang w:eastAsia="lv-LV"/>
              </w:rPr>
              <w:t xml:space="preserve"> “Noteikumi par zemāko mēnešalgu un speciāl</w:t>
            </w:r>
            <w:r w:rsidR="00E31F73">
              <w:rPr>
                <w:rFonts w:ascii="Times New Roman" w:eastAsia="Times New Roman" w:hAnsi="Times New Roman" w:cs="Times New Roman"/>
                <w:sz w:val="24"/>
                <w:szCs w:val="24"/>
                <w:lang w:eastAsia="lv-LV"/>
              </w:rPr>
              <w:t>o piemaksu  veselības aprūpes jomā nodarbinātajiem</w:t>
            </w:r>
            <w:r w:rsidRPr="00330021">
              <w:rPr>
                <w:rFonts w:ascii="Times New Roman" w:eastAsia="Times New Roman" w:hAnsi="Times New Roman" w:cs="Times New Roman"/>
                <w:sz w:val="24"/>
                <w:szCs w:val="24"/>
                <w:lang w:eastAsia="lv-LV"/>
              </w:rPr>
              <w:t>” (</w:t>
            </w:r>
            <w:r w:rsidR="00735E06">
              <w:rPr>
                <w:rFonts w:ascii="Times New Roman" w:eastAsia="Times New Roman" w:hAnsi="Times New Roman" w:cs="Times New Roman"/>
                <w:sz w:val="24"/>
                <w:szCs w:val="24"/>
                <w:lang w:eastAsia="lv-LV"/>
              </w:rPr>
              <w:t>pieņemti 2018.gada 18.decembrī</w:t>
            </w:r>
            <w:r w:rsidR="000F0030">
              <w:rPr>
                <w:rFonts w:ascii="Times New Roman" w:eastAsia="Times New Roman" w:hAnsi="Times New Roman" w:cs="Times New Roman"/>
                <w:sz w:val="24"/>
                <w:szCs w:val="24"/>
                <w:lang w:eastAsia="lv-LV"/>
              </w:rPr>
              <w:t xml:space="preserve"> Ministri kabineta sēdē</w:t>
            </w:r>
            <w:r w:rsidR="003C3B0F" w:rsidRPr="00330021">
              <w:rPr>
                <w:rFonts w:ascii="Times New Roman" w:eastAsia="Times New Roman" w:hAnsi="Times New Roman" w:cs="Times New Roman"/>
                <w:sz w:val="24"/>
                <w:szCs w:val="24"/>
                <w:lang w:eastAsia="lv-LV"/>
              </w:rPr>
              <w:t xml:space="preserve">, </w:t>
            </w:r>
            <w:r w:rsidR="003C3B0F" w:rsidRPr="00330021">
              <w:rPr>
                <w:rFonts w:ascii="Times New Roman" w:hAnsi="Times New Roman" w:cs="Times New Roman"/>
                <w:sz w:val="24"/>
                <w:szCs w:val="24"/>
                <w:shd w:val="clear" w:color="auto" w:fill="FFFFFF"/>
              </w:rPr>
              <w:t>prot. Nr. 60 88. §</w:t>
            </w:r>
            <w:r w:rsidR="00AC1B80">
              <w:rPr>
                <w:rFonts w:ascii="Times New Roman" w:hAnsi="Times New Roman" w:cs="Times New Roman"/>
                <w:sz w:val="24"/>
                <w:szCs w:val="24"/>
                <w:shd w:val="clear" w:color="auto" w:fill="FFFFFF"/>
              </w:rPr>
              <w:t>, TA-2646</w:t>
            </w:r>
            <w:r w:rsidRPr="00330021">
              <w:rPr>
                <w:rFonts w:ascii="Times New Roman" w:eastAsia="Times New Roman" w:hAnsi="Times New Roman" w:cs="Times New Roman"/>
                <w:sz w:val="24"/>
                <w:szCs w:val="24"/>
                <w:lang w:eastAsia="lv-LV"/>
              </w:rPr>
              <w:t>).</w:t>
            </w:r>
          </w:p>
        </w:tc>
      </w:tr>
      <w:bookmarkEnd w:id="1"/>
      <w:tr w:rsidR="008B7E22" w14:paraId="505A5DC4" w14:textId="77777777" w:rsidTr="005000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8E4248" w14:textId="77777777"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391886C" w14:textId="77777777"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153291A3" w14:textId="1017495F" w:rsidR="00B6136E" w:rsidRDefault="006572D7" w:rsidP="00B6136E">
            <w:pPr>
              <w:tabs>
                <w:tab w:val="left" w:pos="976"/>
              </w:tabs>
              <w:spacing w:after="0" w:line="240" w:lineRule="auto"/>
              <w:ind w:left="107" w:right="109"/>
              <w:jc w:val="both"/>
              <w:rPr>
                <w:rFonts w:ascii="Times New Roman" w:eastAsia="Times New Roman" w:hAnsi="Times New Roman" w:cs="Angsana New"/>
                <w:sz w:val="24"/>
                <w:szCs w:val="24"/>
                <w:shd w:val="clear" w:color="auto" w:fill="FFFFFF"/>
                <w:lang w:eastAsia="lv-LV"/>
              </w:rPr>
            </w:pPr>
            <w:r w:rsidRPr="000E15C0">
              <w:rPr>
                <w:rFonts w:ascii="Times New Roman" w:eastAsia="Times New Roman" w:hAnsi="Times New Roman" w:cs="Times New Roman"/>
                <w:sz w:val="24"/>
                <w:szCs w:val="24"/>
                <w:lang w:eastAsia="lv-LV"/>
              </w:rPr>
              <w:t>Ministru kabineta 2011.</w:t>
            </w:r>
            <w:r w:rsidR="001832BC" w:rsidRPr="000E15C0">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gada 30.</w:t>
            </w:r>
            <w:r w:rsidR="001832BC" w:rsidRPr="000E15C0">
              <w:rPr>
                <w:rFonts w:ascii="Times New Roman" w:eastAsia="Times New Roman" w:hAnsi="Times New Roman" w:cs="Times New Roman"/>
                <w:sz w:val="24"/>
                <w:szCs w:val="24"/>
                <w:lang w:eastAsia="lv-LV"/>
              </w:rPr>
              <w:t> </w:t>
            </w:r>
            <w:r w:rsidRPr="000E15C0">
              <w:rPr>
                <w:rFonts w:ascii="Times New Roman" w:eastAsia="Times New Roman" w:hAnsi="Times New Roman" w:cs="Times New Roman"/>
                <w:sz w:val="24"/>
                <w:szCs w:val="24"/>
                <w:lang w:eastAsia="lv-LV"/>
              </w:rPr>
              <w:t>augusta noteikum</w:t>
            </w:r>
            <w:r w:rsidR="00B70453" w:rsidRPr="000E15C0">
              <w:rPr>
                <w:rFonts w:ascii="Times New Roman" w:eastAsia="Times New Roman" w:hAnsi="Times New Roman" w:cs="Times New Roman"/>
                <w:sz w:val="24"/>
                <w:szCs w:val="24"/>
                <w:lang w:eastAsia="lv-LV"/>
              </w:rPr>
              <w:t>i</w:t>
            </w:r>
            <w:r w:rsidRPr="000E15C0">
              <w:rPr>
                <w:rFonts w:ascii="Times New Roman" w:eastAsia="Times New Roman" w:hAnsi="Times New Roman" w:cs="Times New Roman"/>
                <w:sz w:val="24"/>
                <w:szCs w:val="24"/>
                <w:lang w:eastAsia="lv-LV"/>
              </w:rPr>
              <w:t xml:space="preserve"> Nr. 685 “Rezidentu </w:t>
            </w:r>
            <w:r w:rsidR="0062174C">
              <w:rPr>
                <w:rFonts w:ascii="Times New Roman" w:eastAsia="Times New Roman" w:hAnsi="Times New Roman" w:cs="Times New Roman"/>
                <w:sz w:val="24"/>
                <w:szCs w:val="24"/>
                <w:lang w:eastAsia="lv-LV"/>
              </w:rPr>
              <w:t xml:space="preserve">uzņemšanas, </w:t>
            </w:r>
            <w:r w:rsidRPr="000E15C0">
              <w:rPr>
                <w:rFonts w:ascii="Times New Roman" w:eastAsia="Times New Roman" w:hAnsi="Times New Roman" w:cs="Times New Roman"/>
                <w:sz w:val="24"/>
                <w:szCs w:val="24"/>
                <w:lang w:eastAsia="lv-LV"/>
              </w:rPr>
              <w:t>sadales un rezidentūras finansēšanas</w:t>
            </w:r>
            <w:r w:rsidR="008931F9">
              <w:rPr>
                <w:rFonts w:ascii="Times New Roman" w:eastAsia="Times New Roman" w:hAnsi="Times New Roman" w:cs="Times New Roman"/>
                <w:sz w:val="24"/>
                <w:szCs w:val="24"/>
                <w:lang w:eastAsia="lv-LV"/>
              </w:rPr>
              <w:t xml:space="preserve"> kārtība</w:t>
            </w:r>
            <w:r w:rsidRPr="000E15C0">
              <w:rPr>
                <w:rFonts w:ascii="Times New Roman" w:eastAsia="Times New Roman" w:hAnsi="Times New Roman" w:cs="Times New Roman"/>
                <w:sz w:val="24"/>
                <w:szCs w:val="24"/>
                <w:lang w:eastAsia="lv-LV"/>
              </w:rPr>
              <w:t xml:space="preserve">” (turpmāk – </w:t>
            </w:r>
            <w:r w:rsidR="001832BC" w:rsidRPr="000E15C0">
              <w:rPr>
                <w:rFonts w:ascii="Times New Roman" w:eastAsia="Times New Roman" w:hAnsi="Times New Roman" w:cs="Times New Roman"/>
                <w:sz w:val="24"/>
                <w:szCs w:val="24"/>
                <w:lang w:eastAsia="lv-LV"/>
              </w:rPr>
              <w:t>N</w:t>
            </w:r>
            <w:r w:rsidRPr="000E15C0">
              <w:rPr>
                <w:rFonts w:ascii="Times New Roman" w:eastAsia="Times New Roman" w:hAnsi="Times New Roman" w:cs="Times New Roman"/>
                <w:sz w:val="24"/>
                <w:szCs w:val="24"/>
                <w:lang w:eastAsia="lv-LV"/>
              </w:rPr>
              <w:t>oteikumi Nr.685)</w:t>
            </w:r>
            <w:r w:rsidR="00B70453" w:rsidRPr="000E15C0">
              <w:rPr>
                <w:rFonts w:ascii="Times New Roman" w:eastAsia="Times New Roman" w:hAnsi="Times New Roman" w:cs="Times New Roman"/>
                <w:sz w:val="24"/>
                <w:szCs w:val="24"/>
                <w:lang w:eastAsia="lv-LV"/>
              </w:rPr>
              <w:t xml:space="preserve"> nosaka</w:t>
            </w:r>
            <w:r w:rsidR="008931F9">
              <w:rPr>
                <w:rFonts w:ascii="Times New Roman" w:eastAsia="Times New Roman" w:hAnsi="Times New Roman" w:cs="Times New Roman"/>
                <w:sz w:val="24"/>
                <w:szCs w:val="24"/>
                <w:lang w:eastAsia="lv-LV"/>
              </w:rPr>
              <w:t xml:space="preserve"> </w:t>
            </w:r>
            <w:r w:rsidR="008931F9" w:rsidRPr="008931F9">
              <w:rPr>
                <w:rFonts w:ascii="Times New Roman" w:eastAsia="Times New Roman" w:hAnsi="Times New Roman" w:cs="Times New Roman"/>
                <w:sz w:val="24"/>
                <w:szCs w:val="24"/>
                <w:lang w:eastAsia="lv-LV"/>
              </w:rPr>
              <w:t>rezidentu uzņemšanas, sadales un rezidentūras finansēšanas kārtību.</w:t>
            </w:r>
            <w:r w:rsidR="008B12F3">
              <w:rPr>
                <w:rFonts w:ascii="Times New Roman" w:eastAsia="Times New Roman" w:hAnsi="Times New Roman" w:cs="Times New Roman"/>
                <w:sz w:val="24"/>
                <w:szCs w:val="24"/>
                <w:lang w:eastAsia="lv-LV"/>
              </w:rPr>
              <w:t xml:space="preserve"> </w:t>
            </w:r>
            <w:r w:rsidR="00542202">
              <w:rPr>
                <w:rFonts w:ascii="Times New Roman" w:eastAsia="Times New Roman" w:hAnsi="Times New Roman" w:cs="Times New Roman"/>
                <w:sz w:val="24"/>
                <w:szCs w:val="24"/>
                <w:lang w:eastAsia="lv-LV"/>
              </w:rPr>
              <w:t xml:space="preserve">Pamatojoties uz </w:t>
            </w:r>
            <w:r w:rsidR="006709FD">
              <w:rPr>
                <w:rFonts w:ascii="Times New Roman" w:eastAsia="Times New Roman" w:hAnsi="Times New Roman" w:cs="Times New Roman"/>
                <w:sz w:val="24"/>
                <w:szCs w:val="24"/>
                <w:lang w:eastAsia="lv-LV"/>
              </w:rPr>
              <w:t>2018.gada 18.decembra Mini</w:t>
            </w:r>
            <w:r w:rsidR="000F0030">
              <w:rPr>
                <w:rFonts w:ascii="Times New Roman" w:eastAsia="Times New Roman" w:hAnsi="Times New Roman" w:cs="Times New Roman"/>
                <w:sz w:val="24"/>
                <w:szCs w:val="24"/>
                <w:lang w:eastAsia="lv-LV"/>
              </w:rPr>
              <w:t>stru kabineta</w:t>
            </w:r>
            <w:r w:rsidR="00735E06">
              <w:rPr>
                <w:rFonts w:ascii="Times New Roman" w:eastAsia="Times New Roman" w:hAnsi="Times New Roman" w:cs="Times New Roman"/>
                <w:sz w:val="24"/>
                <w:szCs w:val="24"/>
                <w:lang w:eastAsia="lv-LV"/>
              </w:rPr>
              <w:t xml:space="preserve"> noteikumiem Nr. 851</w:t>
            </w:r>
            <w:r w:rsidR="000F0030">
              <w:rPr>
                <w:rFonts w:ascii="Times New Roman" w:eastAsia="Times New Roman" w:hAnsi="Times New Roman" w:cs="Times New Roman"/>
                <w:sz w:val="24"/>
                <w:szCs w:val="24"/>
                <w:lang w:eastAsia="lv-LV"/>
              </w:rPr>
              <w:t xml:space="preserve"> </w:t>
            </w:r>
            <w:r w:rsidR="006709FD">
              <w:rPr>
                <w:rFonts w:ascii="Times New Roman" w:eastAsia="Times New Roman" w:hAnsi="Times New Roman" w:cs="Times New Roman"/>
                <w:sz w:val="24"/>
                <w:szCs w:val="24"/>
                <w:lang w:eastAsia="lv-LV"/>
              </w:rPr>
              <w:t>“</w:t>
            </w:r>
            <w:r w:rsidR="00D30591" w:rsidRPr="00330021">
              <w:rPr>
                <w:rFonts w:ascii="Times New Roman" w:eastAsia="Times New Roman" w:hAnsi="Times New Roman" w:cs="Times New Roman"/>
                <w:sz w:val="24"/>
                <w:szCs w:val="24"/>
                <w:lang w:eastAsia="lv-LV"/>
              </w:rPr>
              <w:t>Noteikumi par zemāko mēnešalgu un speciāl</w:t>
            </w:r>
            <w:r w:rsidR="00D30591">
              <w:rPr>
                <w:rFonts w:ascii="Times New Roman" w:eastAsia="Times New Roman" w:hAnsi="Times New Roman" w:cs="Times New Roman"/>
                <w:sz w:val="24"/>
                <w:szCs w:val="24"/>
                <w:lang w:eastAsia="lv-LV"/>
              </w:rPr>
              <w:t>o piemaksu  veselības aprūpes jomā nodarbinātajiem</w:t>
            </w:r>
            <w:r w:rsidR="006709FD">
              <w:rPr>
                <w:rFonts w:ascii="Times New Roman" w:eastAsia="Times New Roman" w:hAnsi="Times New Roman" w:cs="Times New Roman"/>
                <w:sz w:val="24"/>
                <w:szCs w:val="24"/>
                <w:lang w:eastAsia="lv-LV"/>
              </w:rPr>
              <w:t>”</w:t>
            </w:r>
            <w:r w:rsidR="00535F19">
              <w:rPr>
                <w:rFonts w:ascii="Times New Roman" w:eastAsia="Times New Roman" w:hAnsi="Times New Roman" w:cs="Times New Roman"/>
                <w:sz w:val="24"/>
                <w:szCs w:val="24"/>
                <w:lang w:eastAsia="lv-LV"/>
              </w:rPr>
              <w:t xml:space="preserve">, </w:t>
            </w:r>
            <w:r w:rsidR="00B6136E">
              <w:rPr>
                <w:rFonts w:ascii="Times New Roman" w:eastAsia="Times New Roman" w:hAnsi="Times New Roman" w:cs="Times New Roman"/>
                <w:sz w:val="24"/>
                <w:szCs w:val="24"/>
                <w:lang w:eastAsia="lv-LV"/>
              </w:rPr>
              <w:t xml:space="preserve">ar 2019.gadu tiek palielināta ārstniecības personu zemākās mēnešalgas likme par slodzi </w:t>
            </w:r>
            <w:r w:rsidR="00B6136E" w:rsidRPr="00542202">
              <w:rPr>
                <w:rFonts w:ascii="Times New Roman" w:eastAsia="Times New Roman" w:hAnsi="Times New Roman" w:cs="Times New Roman"/>
                <w:sz w:val="24"/>
                <w:szCs w:val="24"/>
                <w:lang w:eastAsia="lv-LV"/>
              </w:rPr>
              <w:t>6.-1. ārstniecības personas amata kvalifikācijas kategorijai</w:t>
            </w:r>
            <w:r w:rsidR="00B6136E">
              <w:rPr>
                <w:rFonts w:ascii="Times New Roman" w:eastAsia="Times New Roman" w:hAnsi="Times New Roman" w:cs="Times New Roman"/>
                <w:sz w:val="24"/>
                <w:szCs w:val="24"/>
                <w:lang w:eastAsia="lv-LV"/>
              </w:rPr>
              <w:t>. Tā kā rezidenti arī ir ārstniecības personas, tad arī</w:t>
            </w:r>
            <w:r w:rsidR="00B6136E" w:rsidRPr="00542202">
              <w:rPr>
                <w:rFonts w:ascii="Times New Roman" w:eastAsia="Times New Roman" w:hAnsi="Times New Roman" w:cs="Times New Roman"/>
                <w:sz w:val="24"/>
                <w:szCs w:val="24"/>
                <w:lang w:eastAsia="lv-LV"/>
              </w:rPr>
              <w:t xml:space="preserve"> </w:t>
            </w:r>
            <w:r w:rsidR="00B6136E" w:rsidRPr="00275094">
              <w:rPr>
                <w:rFonts w:ascii="Times New Roman" w:eastAsia="Times New Roman" w:hAnsi="Times New Roman" w:cs="Angsana New"/>
                <w:sz w:val="24"/>
                <w:szCs w:val="24"/>
                <w:shd w:val="clear" w:color="auto" w:fill="FFFFFF"/>
                <w:lang w:eastAsia="lv-LV"/>
              </w:rPr>
              <w:t>rezidentiem</w:t>
            </w:r>
            <w:r w:rsidR="00B6136E">
              <w:rPr>
                <w:rFonts w:ascii="Times New Roman" w:eastAsia="Times New Roman" w:hAnsi="Times New Roman" w:cs="Angsana New"/>
                <w:sz w:val="24"/>
                <w:szCs w:val="24"/>
                <w:shd w:val="clear" w:color="auto" w:fill="FFFFFF"/>
                <w:lang w:eastAsia="lv-LV"/>
              </w:rPr>
              <w:t xml:space="preserve"> </w:t>
            </w:r>
            <w:r w:rsidR="00B6136E" w:rsidRPr="005F4C54">
              <w:rPr>
                <w:rFonts w:ascii="Times New Roman" w:eastAsia="Times New Roman" w:hAnsi="Times New Roman" w:cs="Angsana New"/>
                <w:sz w:val="24"/>
                <w:szCs w:val="24"/>
                <w:shd w:val="clear" w:color="auto" w:fill="FFFFFF"/>
                <w:lang w:eastAsia="lv-LV"/>
              </w:rPr>
              <w:t xml:space="preserve">tiek paredzēts, ka ar 2019.gada 1.janvāri, atbilstoši kategoriju sadalījumam, tiks palielināta zemākā mēnešalgas likme. </w:t>
            </w:r>
            <w:r w:rsidR="00B6136E">
              <w:rPr>
                <w:rFonts w:ascii="Times New Roman" w:eastAsia="Times New Roman" w:hAnsi="Times New Roman" w:cs="Times New Roman"/>
                <w:sz w:val="24"/>
                <w:szCs w:val="24"/>
                <w:lang w:eastAsia="lv-LV"/>
              </w:rPr>
              <w:t xml:space="preserve">Ņemot vērā iepriekš minēto Veselības ministrija ir izstrādājusi Ministru kabineta noteikumu projektu </w:t>
            </w:r>
            <w:r w:rsidR="00B6136E" w:rsidRPr="001F4C6F">
              <w:rPr>
                <w:rFonts w:ascii="Times New Roman" w:eastAsia="Times New Roman" w:hAnsi="Times New Roman" w:cs="Times New Roman"/>
                <w:bCs/>
                <w:sz w:val="24"/>
                <w:szCs w:val="24"/>
                <w:lang w:eastAsia="lv-LV"/>
              </w:rPr>
              <w:t>„Grozījumi Ministru kabineta 2011. gada 30. augusta noteikumos Nr. </w:t>
            </w:r>
            <w:r w:rsidR="00B6136E">
              <w:rPr>
                <w:rFonts w:ascii="Times New Roman" w:eastAsia="Times New Roman" w:hAnsi="Times New Roman" w:cs="Times New Roman"/>
                <w:bCs/>
                <w:sz w:val="24"/>
                <w:szCs w:val="24"/>
                <w:lang w:eastAsia="lv-LV"/>
              </w:rPr>
              <w:t>685 “</w:t>
            </w:r>
            <w:r w:rsidR="000C311E" w:rsidRPr="000C311E">
              <w:rPr>
                <w:rFonts w:ascii="Times New Roman" w:eastAsia="Times New Roman" w:hAnsi="Times New Roman" w:cs="Times New Roman"/>
                <w:bCs/>
                <w:sz w:val="24"/>
                <w:szCs w:val="24"/>
                <w:lang w:eastAsia="lv-LV"/>
              </w:rPr>
              <w:t>Rezidentu uzņemšanas, sadales un rezidentūras finansēšanas kārtība</w:t>
            </w:r>
            <w:r w:rsidR="00B6136E">
              <w:rPr>
                <w:rFonts w:ascii="Times New Roman" w:eastAsia="Times New Roman" w:hAnsi="Times New Roman" w:cs="Times New Roman"/>
                <w:bCs/>
                <w:sz w:val="24"/>
                <w:szCs w:val="24"/>
                <w:lang w:eastAsia="lv-LV"/>
              </w:rPr>
              <w:t>”</w:t>
            </w:r>
            <w:r w:rsidR="00B6136E" w:rsidRPr="001F4C6F">
              <w:rPr>
                <w:rFonts w:ascii="Times New Roman" w:eastAsia="Times New Roman" w:hAnsi="Times New Roman" w:cs="Times New Roman"/>
                <w:bCs/>
                <w:sz w:val="24"/>
                <w:szCs w:val="24"/>
                <w:lang w:eastAsia="lv-LV"/>
              </w:rPr>
              <w:t>”</w:t>
            </w:r>
            <w:r w:rsidR="00B6136E">
              <w:rPr>
                <w:rFonts w:ascii="Times New Roman" w:eastAsia="Times New Roman" w:hAnsi="Times New Roman" w:cs="Times New Roman"/>
                <w:bCs/>
                <w:sz w:val="24"/>
                <w:szCs w:val="24"/>
                <w:lang w:eastAsia="lv-LV"/>
              </w:rPr>
              <w:t xml:space="preserve"> (turpmāk – Noteikumu projekts)</w:t>
            </w:r>
            <w:r w:rsidR="00B6136E">
              <w:rPr>
                <w:rFonts w:ascii="Times New Roman" w:eastAsia="Times New Roman" w:hAnsi="Times New Roman" w:cs="Angsana New"/>
                <w:sz w:val="24"/>
                <w:szCs w:val="24"/>
                <w:shd w:val="clear" w:color="auto" w:fill="FFFFFF"/>
                <w:lang w:eastAsia="lv-LV"/>
              </w:rPr>
              <w:t>, kas precizē piešķiramo finanšu līdzekļu apmēru rezidenta apmācībai, ņemot vērā zemākās mēnešalgas likmes palielinājumu par 20%</w:t>
            </w:r>
            <w:r w:rsidR="00EF76C9">
              <w:rPr>
                <w:rFonts w:ascii="Times New Roman" w:eastAsia="Times New Roman" w:hAnsi="Times New Roman" w:cs="Angsana New"/>
                <w:sz w:val="24"/>
                <w:szCs w:val="24"/>
                <w:shd w:val="clear" w:color="auto" w:fill="FFFFFF"/>
                <w:lang w:eastAsia="lv-LV"/>
              </w:rPr>
              <w:t>.</w:t>
            </w:r>
            <w:r w:rsidR="00B6136E">
              <w:rPr>
                <w:rFonts w:ascii="Times New Roman" w:eastAsia="Times New Roman" w:hAnsi="Times New Roman" w:cs="Angsana New"/>
                <w:sz w:val="24"/>
                <w:szCs w:val="24"/>
                <w:shd w:val="clear" w:color="auto" w:fill="FFFFFF"/>
                <w:lang w:eastAsia="lv-LV"/>
              </w:rPr>
              <w:t xml:space="preserve"> </w:t>
            </w:r>
          </w:p>
          <w:p w14:paraId="2BA14B98" w14:textId="77777777" w:rsidR="0052538D" w:rsidRDefault="00B6136E" w:rsidP="00A96D0A">
            <w:pPr>
              <w:tabs>
                <w:tab w:val="left" w:pos="976"/>
              </w:tabs>
              <w:spacing w:after="0" w:line="240" w:lineRule="auto"/>
              <w:ind w:left="107" w:right="109"/>
              <w:jc w:val="both"/>
              <w:rPr>
                <w:rFonts w:ascii="Times New Roman" w:eastAsia="Times New Roman" w:hAnsi="Times New Roman" w:cs="Angsana New"/>
                <w:sz w:val="24"/>
                <w:szCs w:val="24"/>
                <w:shd w:val="clear" w:color="auto" w:fill="FFFFFF"/>
                <w:lang w:eastAsia="lv-LV"/>
              </w:rPr>
            </w:pPr>
            <w:r>
              <w:rPr>
                <w:rFonts w:ascii="Times New Roman" w:eastAsia="Times New Roman" w:hAnsi="Times New Roman" w:cs="Angsana New"/>
                <w:sz w:val="24"/>
                <w:szCs w:val="24"/>
                <w:shd w:val="clear" w:color="auto" w:fill="FFFFFF"/>
                <w:lang w:eastAsia="lv-LV"/>
              </w:rPr>
              <w:t>Noteikumu projekts</w:t>
            </w:r>
            <w:r w:rsidR="00EF76C9">
              <w:rPr>
                <w:rFonts w:ascii="Times New Roman" w:eastAsia="Times New Roman" w:hAnsi="Times New Roman" w:cs="Angsana New"/>
                <w:sz w:val="24"/>
                <w:szCs w:val="24"/>
                <w:shd w:val="clear" w:color="auto" w:fill="FFFFFF"/>
                <w:lang w:eastAsia="lv-LV"/>
              </w:rPr>
              <w:t xml:space="preserve"> paredz</w:t>
            </w:r>
            <w:r>
              <w:rPr>
                <w:rFonts w:ascii="Times New Roman" w:eastAsia="Times New Roman" w:hAnsi="Times New Roman" w:cs="Angsana New"/>
                <w:sz w:val="24"/>
                <w:szCs w:val="24"/>
                <w:shd w:val="clear" w:color="auto" w:fill="FFFFFF"/>
                <w:lang w:eastAsia="lv-LV"/>
              </w:rPr>
              <w:t>, ka r</w:t>
            </w:r>
            <w:r w:rsidRPr="005F4C54">
              <w:rPr>
                <w:rFonts w:ascii="Times New Roman" w:eastAsia="Times New Roman" w:hAnsi="Times New Roman" w:cs="Angsana New"/>
                <w:sz w:val="24"/>
                <w:szCs w:val="24"/>
                <w:shd w:val="clear" w:color="auto" w:fill="FFFFFF"/>
                <w:lang w:eastAsia="lv-LV"/>
              </w:rPr>
              <w:t>ezidentiem kopējais finansējums darba samaksas palielinājumam</w:t>
            </w:r>
            <w:r>
              <w:rPr>
                <w:rFonts w:ascii="Times New Roman" w:eastAsia="Times New Roman" w:hAnsi="Times New Roman" w:cs="Angsana New"/>
                <w:sz w:val="24"/>
                <w:szCs w:val="24"/>
                <w:shd w:val="clear" w:color="auto" w:fill="FFFFFF"/>
                <w:lang w:eastAsia="lv-LV"/>
              </w:rPr>
              <w:t xml:space="preserve"> 20%</w:t>
            </w:r>
            <w:r w:rsidRPr="005F4C54">
              <w:rPr>
                <w:rFonts w:ascii="Times New Roman" w:eastAsia="Times New Roman" w:hAnsi="Times New Roman" w:cs="Angsana New"/>
                <w:sz w:val="24"/>
                <w:szCs w:val="24"/>
                <w:shd w:val="clear" w:color="auto" w:fill="FFFFFF"/>
                <w:lang w:eastAsia="lv-LV"/>
              </w:rPr>
              <w:t xml:space="preserve"> -  </w:t>
            </w:r>
          </w:p>
          <w:p w14:paraId="1164847C" w14:textId="77777777" w:rsidR="00E776E6" w:rsidRDefault="00B6136E" w:rsidP="00A96D0A">
            <w:pPr>
              <w:tabs>
                <w:tab w:val="left" w:pos="976"/>
              </w:tabs>
              <w:spacing w:after="0" w:line="240" w:lineRule="auto"/>
              <w:ind w:left="107" w:right="109"/>
              <w:jc w:val="both"/>
              <w:rPr>
                <w:rFonts w:ascii="Times New Roman" w:eastAsia="Times New Roman" w:hAnsi="Times New Roman" w:cs="Angsana New"/>
                <w:b/>
                <w:i/>
                <w:sz w:val="24"/>
                <w:szCs w:val="24"/>
                <w:shd w:val="clear" w:color="auto" w:fill="FFFFFF"/>
                <w:lang w:eastAsia="lv-LV"/>
              </w:rPr>
            </w:pPr>
            <w:r w:rsidRPr="005F4C54">
              <w:rPr>
                <w:rFonts w:ascii="Times New Roman" w:eastAsia="Times New Roman" w:hAnsi="Times New Roman" w:cs="Angsana New"/>
                <w:b/>
                <w:sz w:val="24"/>
                <w:szCs w:val="24"/>
                <w:shd w:val="clear" w:color="auto" w:fill="FFFFFF"/>
                <w:lang w:eastAsia="lv-LV"/>
              </w:rPr>
              <w:t xml:space="preserve">2 226 823 </w:t>
            </w:r>
            <w:proofErr w:type="spellStart"/>
            <w:r w:rsidRPr="005F4C54">
              <w:rPr>
                <w:rFonts w:ascii="Times New Roman" w:eastAsia="Times New Roman" w:hAnsi="Times New Roman" w:cs="Angsana New"/>
                <w:b/>
                <w:i/>
                <w:sz w:val="24"/>
                <w:szCs w:val="24"/>
                <w:shd w:val="clear" w:color="auto" w:fill="FFFFFF"/>
                <w:lang w:eastAsia="lv-LV"/>
              </w:rPr>
              <w:t>euro</w:t>
            </w:r>
            <w:proofErr w:type="spellEnd"/>
            <w:r w:rsidR="005E3079">
              <w:rPr>
                <w:rFonts w:ascii="Times New Roman" w:eastAsia="Times New Roman" w:hAnsi="Times New Roman" w:cs="Angsana New"/>
                <w:b/>
                <w:i/>
                <w:sz w:val="24"/>
                <w:szCs w:val="24"/>
                <w:shd w:val="clear" w:color="auto" w:fill="FFFFFF"/>
                <w:lang w:eastAsia="lv-LV"/>
              </w:rPr>
              <w:t>.</w:t>
            </w:r>
          </w:p>
          <w:p w14:paraId="0F9B3559" w14:textId="57C5D3F4" w:rsidR="00AE4D2E" w:rsidRPr="004F6B07" w:rsidRDefault="004F6B07" w:rsidP="004F6B07">
            <w:pPr>
              <w:tabs>
                <w:tab w:val="left" w:pos="976"/>
              </w:tabs>
              <w:spacing w:after="0" w:line="240" w:lineRule="auto"/>
              <w:ind w:left="107" w:right="109"/>
              <w:jc w:val="both"/>
              <w:rPr>
                <w:rFonts w:ascii="Times New Roman" w:eastAsia="Times New Roman" w:hAnsi="Times New Roman" w:cs="Angsana New"/>
                <w:sz w:val="24"/>
                <w:szCs w:val="24"/>
                <w:shd w:val="clear" w:color="auto" w:fill="FFFFFF"/>
                <w:lang w:eastAsia="lv-LV"/>
              </w:rPr>
            </w:pPr>
            <w:r w:rsidRPr="004F6B07">
              <w:rPr>
                <w:rFonts w:ascii="Times New Roman" w:eastAsia="Times New Roman" w:hAnsi="Times New Roman" w:cs="Angsana New"/>
                <w:sz w:val="24"/>
                <w:szCs w:val="24"/>
                <w:shd w:val="clear" w:color="auto" w:fill="FFFFFF"/>
                <w:lang w:eastAsia="lv-LV"/>
              </w:rPr>
              <w:t>Noteikumu</w:t>
            </w:r>
            <w:r>
              <w:rPr>
                <w:rFonts w:ascii="Times New Roman" w:eastAsia="Times New Roman" w:hAnsi="Times New Roman" w:cs="Angsana New"/>
                <w:sz w:val="24"/>
                <w:szCs w:val="24"/>
                <w:shd w:val="clear" w:color="auto" w:fill="FFFFFF"/>
                <w:lang w:eastAsia="lv-LV"/>
              </w:rPr>
              <w:t xml:space="preserve"> projektu atbalsta Rīgas Stradiņa universitāte, Latvijas Universitāte, Latvijas  jauno ārstu asociāciju, Latvijas Veselības un sociālās aprūpes darbinieku arodbiedrību, VSIA “Rīgas Austrumu klīniskās universitātes slimnīca”.</w:t>
            </w:r>
          </w:p>
        </w:tc>
      </w:tr>
      <w:tr w:rsidR="008B7E22" w14:paraId="44798320" w14:textId="77777777" w:rsidTr="005000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CBF827" w14:textId="77777777"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CFBC2BD" w14:textId="4F7BE9B7"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D00E50">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116AACF2" w14:textId="06714E1A" w:rsidR="00894C55" w:rsidRPr="00C918F0" w:rsidRDefault="00B50F00" w:rsidP="000C48C6">
            <w:pPr>
              <w:spacing w:after="0" w:line="240" w:lineRule="auto"/>
              <w:ind w:left="107" w:right="109"/>
              <w:jc w:val="both"/>
              <w:rPr>
                <w:rFonts w:ascii="Times New Roman" w:eastAsia="Times New Roman" w:hAnsi="Times New Roman" w:cs="Times New Roman"/>
                <w:sz w:val="24"/>
                <w:szCs w:val="24"/>
                <w:lang w:eastAsia="lv-LV"/>
              </w:rPr>
            </w:pPr>
            <w:r w:rsidRPr="00B50F00">
              <w:rPr>
                <w:rFonts w:ascii="Times New Roman" w:eastAsia="Times New Roman" w:hAnsi="Times New Roman" w:cs="Times New Roman"/>
                <w:sz w:val="24"/>
                <w:szCs w:val="24"/>
                <w:lang w:eastAsia="lv-LV"/>
              </w:rPr>
              <w:t>Veselības ministrija</w:t>
            </w:r>
            <w:r w:rsidR="006572D7" w:rsidRPr="00B50F00">
              <w:rPr>
                <w:rFonts w:ascii="Times New Roman" w:eastAsia="Times New Roman" w:hAnsi="Times New Roman" w:cs="Times New Roman"/>
                <w:sz w:val="24"/>
                <w:szCs w:val="24"/>
                <w:lang w:eastAsia="lv-LV"/>
              </w:rPr>
              <w:t>, Rīgas Stradiņa unive</w:t>
            </w:r>
            <w:r w:rsidRPr="00B50F00">
              <w:rPr>
                <w:rFonts w:ascii="Times New Roman" w:eastAsia="Times New Roman" w:hAnsi="Times New Roman" w:cs="Times New Roman"/>
                <w:sz w:val="24"/>
                <w:szCs w:val="24"/>
                <w:lang w:eastAsia="lv-LV"/>
              </w:rPr>
              <w:t>rsitāte, Latvijas Universitāte.</w:t>
            </w:r>
          </w:p>
        </w:tc>
      </w:tr>
      <w:tr w:rsidR="008B7E22" w14:paraId="28641AF0" w14:textId="77777777" w:rsidTr="005000A3">
        <w:tc>
          <w:tcPr>
            <w:tcW w:w="250" w:type="pct"/>
            <w:tcBorders>
              <w:top w:val="outset" w:sz="6" w:space="0" w:color="414142"/>
              <w:left w:val="outset" w:sz="6" w:space="0" w:color="414142"/>
              <w:bottom w:val="outset" w:sz="6" w:space="0" w:color="414142"/>
              <w:right w:val="outset" w:sz="6" w:space="0" w:color="414142"/>
            </w:tcBorders>
            <w:hideMark/>
          </w:tcPr>
          <w:p w14:paraId="04A839D8" w14:textId="77777777" w:rsidR="00045286" w:rsidRPr="00C918F0" w:rsidRDefault="006572D7"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4BFD76E" w14:textId="77777777" w:rsidR="00045286" w:rsidRPr="00C918F0" w:rsidRDefault="006572D7"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EB86723" w14:textId="77777777" w:rsidR="00045286" w:rsidRDefault="006572D7"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53596AD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36A2D73"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DC137DC" w14:textId="77777777" w:rsidR="009857E6" w:rsidRPr="00894C55"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B7E22" w14:paraId="627A8E24"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88C857" w14:textId="5A7560D2" w:rsidR="00894C55" w:rsidRPr="003429ED" w:rsidRDefault="006572D7"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B7E22" w14:paraId="1A594E0E" w14:textId="77777777" w:rsidTr="00526C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ABE16F"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6F41772"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D344C20" w14:textId="6FD9F768" w:rsidR="0000058C" w:rsidRPr="002F1B03" w:rsidRDefault="00294FD0" w:rsidP="0029498B">
            <w:pPr>
              <w:spacing w:after="0" w:line="240" w:lineRule="auto"/>
              <w:ind w:left="107" w:righ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Stradiņa universitāte, Latvijas Unive</w:t>
            </w:r>
            <w:r w:rsidR="007642FB">
              <w:rPr>
                <w:rFonts w:ascii="Times New Roman" w:eastAsia="Times New Roman" w:hAnsi="Times New Roman" w:cs="Times New Roman"/>
                <w:sz w:val="24"/>
                <w:szCs w:val="24"/>
                <w:lang w:eastAsia="lv-LV"/>
              </w:rPr>
              <w:t>rsitāte, rezidenti</w:t>
            </w:r>
            <w:r w:rsidR="00F3256E">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ārstniecības iestādes, kurās rezidenti apgūst specialitātes programmu.</w:t>
            </w:r>
            <w:r w:rsidR="007642FB">
              <w:rPr>
                <w:rFonts w:ascii="Times New Roman" w:eastAsia="Times New Roman" w:hAnsi="Times New Roman" w:cs="Times New Roman"/>
                <w:sz w:val="24"/>
                <w:szCs w:val="24"/>
                <w:lang w:eastAsia="lv-LV"/>
              </w:rPr>
              <w:t xml:space="preserve"> Ietekme uz 782 rezidentiem gadā.</w:t>
            </w:r>
          </w:p>
        </w:tc>
      </w:tr>
      <w:tr w:rsidR="008B7E22" w14:paraId="75582637" w14:textId="77777777" w:rsidTr="00526C5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F142E2C"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3C4BF0"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9EB782" w14:textId="77777777" w:rsidR="009C763C" w:rsidRPr="009C763C" w:rsidRDefault="009C763C" w:rsidP="00C968E0">
            <w:pPr>
              <w:spacing w:after="0" w:line="240" w:lineRule="auto"/>
              <w:ind w:left="107" w:right="109"/>
              <w:jc w:val="both"/>
              <w:rPr>
                <w:rFonts w:ascii="Times New Roman" w:eastAsia="Times New Roman" w:hAnsi="Times New Roman" w:cs="Times New Roman"/>
                <w:sz w:val="24"/>
                <w:szCs w:val="24"/>
                <w:lang w:eastAsia="lv-LV"/>
              </w:rPr>
            </w:pPr>
            <w:r w:rsidRPr="009C763C">
              <w:rPr>
                <w:rFonts w:ascii="Times New Roman" w:eastAsia="Times New Roman" w:hAnsi="Times New Roman" w:cs="Times New Roman"/>
                <w:sz w:val="24"/>
                <w:szCs w:val="24"/>
                <w:lang w:eastAsia="lv-LV"/>
              </w:rPr>
              <w:t>Tiesiskajam regulējumam nav ietekmes uz tautsaimniecību un administratīvo slogu.</w:t>
            </w:r>
          </w:p>
          <w:p w14:paraId="7879D7C9" w14:textId="54EC1A2B" w:rsidR="00625C92" w:rsidRPr="003429ED" w:rsidRDefault="00625C92" w:rsidP="007743AC">
            <w:pPr>
              <w:spacing w:after="0" w:line="240" w:lineRule="auto"/>
              <w:jc w:val="both"/>
              <w:rPr>
                <w:rFonts w:ascii="Times New Roman" w:eastAsia="Times New Roman" w:hAnsi="Times New Roman" w:cs="Times New Roman"/>
                <w:sz w:val="24"/>
                <w:szCs w:val="24"/>
                <w:lang w:eastAsia="lv-LV"/>
              </w:rPr>
            </w:pPr>
          </w:p>
        </w:tc>
      </w:tr>
      <w:tr w:rsidR="008B7E22" w14:paraId="2CEE909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1BEF0E8"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52CE7E6"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6C92072" w14:textId="53B54C70" w:rsidR="009A6553" w:rsidRPr="003429ED" w:rsidRDefault="003E347E"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E347E" w14:paraId="73C52829"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tcPr>
          <w:p w14:paraId="200EB1D8" w14:textId="48A8DE91" w:rsidR="003E347E"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EC967B5" w14:textId="5B30FA76" w:rsidR="003E347E"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iCs/>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F9C8C75" w14:textId="09B82E1E" w:rsidR="003E347E" w:rsidRPr="003E347E" w:rsidRDefault="003E347E" w:rsidP="00476879">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Projekts šo jomu neskar.</w:t>
            </w:r>
          </w:p>
        </w:tc>
      </w:tr>
      <w:tr w:rsidR="008B7E22" w14:paraId="62A98E6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72E3FF5" w14:textId="2919BFD9" w:rsidR="00894C55"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5</w:t>
            </w:r>
            <w:r w:rsidR="006572D7" w:rsidRPr="003E347E">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45875F1" w14:textId="77777777" w:rsidR="00894C55" w:rsidRPr="003E347E" w:rsidRDefault="006572D7"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70B17384" w14:textId="77777777" w:rsidR="00476879" w:rsidRPr="003E347E" w:rsidRDefault="006572D7" w:rsidP="00476879">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Nav</w:t>
            </w:r>
          </w:p>
        </w:tc>
      </w:tr>
    </w:tbl>
    <w:p w14:paraId="1DC90493"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57CA2EE" w14:textId="3F114B2E" w:rsidR="009D0AEA" w:rsidRDefault="009D0AEA" w:rsidP="00755BAD">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923" w:type="dxa"/>
        <w:tblInd w:w="-572" w:type="dxa"/>
        <w:tblLayout w:type="fixed"/>
        <w:tblLook w:val="04A0" w:firstRow="1" w:lastRow="0" w:firstColumn="1" w:lastColumn="0" w:noHBand="0" w:noVBand="1"/>
      </w:tblPr>
      <w:tblGrid>
        <w:gridCol w:w="1985"/>
        <w:gridCol w:w="1418"/>
        <w:gridCol w:w="992"/>
        <w:gridCol w:w="1134"/>
        <w:gridCol w:w="993"/>
        <w:gridCol w:w="992"/>
        <w:gridCol w:w="1097"/>
        <w:gridCol w:w="1312"/>
      </w:tblGrid>
      <w:tr w:rsidR="00A5325C" w:rsidRPr="009A75D6" w14:paraId="4465C07C" w14:textId="77777777" w:rsidTr="009C54EC">
        <w:trPr>
          <w:trHeight w:val="360"/>
        </w:trPr>
        <w:tc>
          <w:tcPr>
            <w:tcW w:w="9923" w:type="dxa"/>
            <w:gridSpan w:val="8"/>
            <w:hideMark/>
          </w:tcPr>
          <w:p w14:paraId="47EF5A3D" w14:textId="77777777" w:rsidR="00A5325C" w:rsidRPr="00A5325C" w:rsidRDefault="00A5325C" w:rsidP="00A052D2">
            <w:pPr>
              <w:pStyle w:val="tvhtml"/>
              <w:spacing w:line="293" w:lineRule="atLeast"/>
              <w:jc w:val="center"/>
              <w:rPr>
                <w:b/>
                <w:bCs/>
              </w:rPr>
            </w:pPr>
            <w:r w:rsidRPr="00A5325C">
              <w:rPr>
                <w:b/>
                <w:bCs/>
              </w:rPr>
              <w:t>III. Tiesību akta projekta ietekme uz valsts budžetu un pašvaldību budžetiem</w:t>
            </w:r>
          </w:p>
        </w:tc>
      </w:tr>
      <w:tr w:rsidR="00A5325C" w:rsidRPr="009A75D6" w14:paraId="136213E1" w14:textId="77777777" w:rsidTr="009C54EC">
        <w:tc>
          <w:tcPr>
            <w:tcW w:w="1985" w:type="dxa"/>
            <w:vMerge w:val="restart"/>
            <w:vAlign w:val="center"/>
            <w:hideMark/>
          </w:tcPr>
          <w:p w14:paraId="0E962539" w14:textId="77777777" w:rsidR="00A5325C" w:rsidRPr="009C54EC" w:rsidRDefault="00A5325C" w:rsidP="00A052D2">
            <w:pPr>
              <w:pStyle w:val="tvhtml"/>
              <w:spacing w:line="293" w:lineRule="atLeast"/>
              <w:jc w:val="center"/>
              <w:rPr>
                <w:b/>
                <w:bCs/>
                <w:sz w:val="22"/>
                <w:szCs w:val="22"/>
              </w:rPr>
            </w:pPr>
            <w:r w:rsidRPr="009C54EC">
              <w:rPr>
                <w:b/>
                <w:bCs/>
                <w:sz w:val="22"/>
                <w:szCs w:val="22"/>
              </w:rPr>
              <w:t>Rādītāji</w:t>
            </w:r>
          </w:p>
        </w:tc>
        <w:tc>
          <w:tcPr>
            <w:tcW w:w="2410" w:type="dxa"/>
            <w:gridSpan w:val="2"/>
            <w:vMerge w:val="restart"/>
            <w:vAlign w:val="center"/>
            <w:hideMark/>
          </w:tcPr>
          <w:p w14:paraId="311EBCD2" w14:textId="08A6F4CD" w:rsidR="00A5325C" w:rsidRPr="009C54EC" w:rsidRDefault="00544EB5" w:rsidP="00A052D2">
            <w:pPr>
              <w:pStyle w:val="tvhtml"/>
              <w:spacing w:line="293" w:lineRule="atLeast"/>
              <w:jc w:val="center"/>
              <w:rPr>
                <w:b/>
                <w:bCs/>
                <w:sz w:val="22"/>
                <w:szCs w:val="22"/>
              </w:rPr>
            </w:pPr>
            <w:r>
              <w:rPr>
                <w:b/>
                <w:bCs/>
                <w:sz w:val="22"/>
                <w:szCs w:val="22"/>
              </w:rPr>
              <w:t>2019</w:t>
            </w:r>
            <w:r w:rsidR="00A5325C" w:rsidRPr="009C54EC">
              <w:rPr>
                <w:b/>
                <w:bCs/>
                <w:sz w:val="22"/>
                <w:szCs w:val="22"/>
              </w:rPr>
              <w:t>. gads</w:t>
            </w:r>
          </w:p>
        </w:tc>
        <w:tc>
          <w:tcPr>
            <w:tcW w:w="5528" w:type="dxa"/>
            <w:gridSpan w:val="5"/>
            <w:hideMark/>
          </w:tcPr>
          <w:p w14:paraId="033E9836" w14:textId="77777777" w:rsidR="00A5325C" w:rsidRPr="009C54EC" w:rsidRDefault="00A5325C" w:rsidP="00A052D2">
            <w:pPr>
              <w:pStyle w:val="tvhtml"/>
              <w:spacing w:line="293" w:lineRule="atLeast"/>
              <w:jc w:val="center"/>
              <w:rPr>
                <w:sz w:val="22"/>
                <w:szCs w:val="22"/>
              </w:rPr>
            </w:pPr>
            <w:r w:rsidRPr="009C54EC">
              <w:rPr>
                <w:sz w:val="22"/>
                <w:szCs w:val="22"/>
              </w:rPr>
              <w:t>Turpmākie trīs gadi (</w:t>
            </w:r>
            <w:proofErr w:type="spellStart"/>
            <w:r w:rsidRPr="009C54EC">
              <w:rPr>
                <w:i/>
                <w:iCs/>
                <w:sz w:val="22"/>
                <w:szCs w:val="22"/>
              </w:rPr>
              <w:t>euro</w:t>
            </w:r>
            <w:proofErr w:type="spellEnd"/>
            <w:r w:rsidRPr="009C54EC">
              <w:rPr>
                <w:sz w:val="22"/>
                <w:szCs w:val="22"/>
              </w:rPr>
              <w:t>)</w:t>
            </w:r>
          </w:p>
        </w:tc>
      </w:tr>
      <w:tr w:rsidR="00A5325C" w:rsidRPr="009A75D6" w14:paraId="136B3E79" w14:textId="77777777" w:rsidTr="009C54EC">
        <w:tc>
          <w:tcPr>
            <w:tcW w:w="1985" w:type="dxa"/>
            <w:vMerge/>
            <w:hideMark/>
          </w:tcPr>
          <w:p w14:paraId="34A1646D" w14:textId="77777777" w:rsidR="00A5325C" w:rsidRPr="009C54EC" w:rsidRDefault="00A5325C" w:rsidP="00A052D2">
            <w:pPr>
              <w:rPr>
                <w:b/>
                <w:bCs/>
              </w:rPr>
            </w:pPr>
          </w:p>
        </w:tc>
        <w:tc>
          <w:tcPr>
            <w:tcW w:w="2410" w:type="dxa"/>
            <w:gridSpan w:val="2"/>
            <w:vMerge/>
            <w:hideMark/>
          </w:tcPr>
          <w:p w14:paraId="2E96713B" w14:textId="77777777" w:rsidR="00A5325C" w:rsidRPr="009C54EC" w:rsidRDefault="00A5325C" w:rsidP="00A052D2">
            <w:pPr>
              <w:rPr>
                <w:rFonts w:ascii="Times New Roman" w:hAnsi="Times New Roman" w:cs="Times New Roman"/>
                <w:b/>
                <w:bCs/>
              </w:rPr>
            </w:pPr>
          </w:p>
        </w:tc>
        <w:tc>
          <w:tcPr>
            <w:tcW w:w="2127" w:type="dxa"/>
            <w:gridSpan w:val="2"/>
            <w:hideMark/>
          </w:tcPr>
          <w:p w14:paraId="5C82B0C9" w14:textId="1BEA49F1" w:rsidR="00A5325C" w:rsidRPr="009C54EC" w:rsidRDefault="00544EB5" w:rsidP="00A052D2">
            <w:pPr>
              <w:pStyle w:val="tvhtml"/>
              <w:spacing w:line="293" w:lineRule="atLeast"/>
              <w:jc w:val="center"/>
              <w:rPr>
                <w:b/>
                <w:bCs/>
                <w:sz w:val="22"/>
                <w:szCs w:val="22"/>
              </w:rPr>
            </w:pPr>
            <w:r>
              <w:rPr>
                <w:b/>
                <w:bCs/>
                <w:sz w:val="22"/>
                <w:szCs w:val="22"/>
              </w:rPr>
              <w:t>2020</w:t>
            </w:r>
            <w:r w:rsidR="00A5325C" w:rsidRPr="009C54EC">
              <w:rPr>
                <w:b/>
                <w:bCs/>
                <w:sz w:val="22"/>
                <w:szCs w:val="22"/>
              </w:rPr>
              <w:t>.gads</w:t>
            </w:r>
          </w:p>
        </w:tc>
        <w:tc>
          <w:tcPr>
            <w:tcW w:w="2089" w:type="dxa"/>
            <w:gridSpan w:val="2"/>
            <w:hideMark/>
          </w:tcPr>
          <w:p w14:paraId="1CC4EC62" w14:textId="0BA7AF7F" w:rsidR="00A5325C" w:rsidRPr="009C54EC" w:rsidRDefault="00544EB5" w:rsidP="00A052D2">
            <w:pPr>
              <w:pStyle w:val="tvhtml"/>
              <w:spacing w:line="293" w:lineRule="atLeast"/>
              <w:jc w:val="center"/>
              <w:rPr>
                <w:b/>
                <w:bCs/>
                <w:sz w:val="22"/>
                <w:szCs w:val="22"/>
              </w:rPr>
            </w:pPr>
            <w:r>
              <w:rPr>
                <w:b/>
                <w:bCs/>
                <w:sz w:val="22"/>
                <w:szCs w:val="22"/>
              </w:rPr>
              <w:t>2021</w:t>
            </w:r>
            <w:r w:rsidR="00A5325C" w:rsidRPr="009C54EC">
              <w:rPr>
                <w:b/>
                <w:bCs/>
                <w:sz w:val="22"/>
                <w:szCs w:val="22"/>
              </w:rPr>
              <w:t>.gads</w:t>
            </w:r>
          </w:p>
        </w:tc>
        <w:tc>
          <w:tcPr>
            <w:tcW w:w="1312" w:type="dxa"/>
            <w:hideMark/>
          </w:tcPr>
          <w:p w14:paraId="49AD2B84" w14:textId="0FFFD6A8" w:rsidR="00A5325C" w:rsidRPr="009C54EC" w:rsidRDefault="00544EB5" w:rsidP="00A052D2">
            <w:pPr>
              <w:pStyle w:val="tvhtml"/>
              <w:spacing w:line="293" w:lineRule="atLeast"/>
              <w:jc w:val="center"/>
              <w:rPr>
                <w:b/>
                <w:bCs/>
                <w:sz w:val="22"/>
                <w:szCs w:val="22"/>
              </w:rPr>
            </w:pPr>
            <w:r>
              <w:rPr>
                <w:b/>
                <w:bCs/>
                <w:sz w:val="22"/>
                <w:szCs w:val="22"/>
              </w:rPr>
              <w:t>2022</w:t>
            </w:r>
            <w:r w:rsidR="00A5325C" w:rsidRPr="009C54EC">
              <w:rPr>
                <w:b/>
                <w:bCs/>
                <w:sz w:val="22"/>
                <w:szCs w:val="22"/>
              </w:rPr>
              <w:t>.gads</w:t>
            </w:r>
          </w:p>
        </w:tc>
      </w:tr>
      <w:tr w:rsidR="00A5325C" w:rsidRPr="009A75D6" w14:paraId="652AA4A2" w14:textId="77777777" w:rsidTr="009C54EC">
        <w:tc>
          <w:tcPr>
            <w:tcW w:w="1985" w:type="dxa"/>
            <w:vMerge/>
            <w:hideMark/>
          </w:tcPr>
          <w:p w14:paraId="1448616E" w14:textId="77777777" w:rsidR="00A5325C" w:rsidRPr="009C54EC" w:rsidRDefault="00A5325C" w:rsidP="00A052D2">
            <w:pPr>
              <w:rPr>
                <w:b/>
                <w:bCs/>
              </w:rPr>
            </w:pPr>
          </w:p>
        </w:tc>
        <w:tc>
          <w:tcPr>
            <w:tcW w:w="1418" w:type="dxa"/>
            <w:hideMark/>
          </w:tcPr>
          <w:p w14:paraId="37CE78A7" w14:textId="77777777" w:rsidR="00A5325C" w:rsidRPr="009C54EC" w:rsidRDefault="00A5325C" w:rsidP="00A052D2">
            <w:pPr>
              <w:pStyle w:val="tvhtml"/>
              <w:spacing w:line="293" w:lineRule="atLeast"/>
              <w:jc w:val="center"/>
              <w:rPr>
                <w:sz w:val="22"/>
                <w:szCs w:val="22"/>
              </w:rPr>
            </w:pPr>
            <w:r w:rsidRPr="009C54EC">
              <w:rPr>
                <w:sz w:val="22"/>
                <w:szCs w:val="22"/>
              </w:rPr>
              <w:t>saskaņā ar valsts budžetu kārtējam gadam</w:t>
            </w:r>
          </w:p>
        </w:tc>
        <w:tc>
          <w:tcPr>
            <w:tcW w:w="992" w:type="dxa"/>
            <w:hideMark/>
          </w:tcPr>
          <w:p w14:paraId="06F76148" w14:textId="77777777" w:rsidR="00A5325C" w:rsidRPr="009C54EC" w:rsidRDefault="00A5325C" w:rsidP="00A052D2">
            <w:pPr>
              <w:pStyle w:val="tvhtml"/>
              <w:spacing w:line="293" w:lineRule="atLeast"/>
              <w:jc w:val="center"/>
              <w:rPr>
                <w:sz w:val="22"/>
                <w:szCs w:val="22"/>
              </w:rPr>
            </w:pPr>
            <w:r w:rsidRPr="009C54EC">
              <w:rPr>
                <w:sz w:val="22"/>
                <w:szCs w:val="22"/>
              </w:rPr>
              <w:t>izmaiņas kārtējā gadā, salīdzinot ar valsts budžetu kārtējam gadam</w:t>
            </w:r>
          </w:p>
        </w:tc>
        <w:tc>
          <w:tcPr>
            <w:tcW w:w="1134" w:type="dxa"/>
            <w:hideMark/>
          </w:tcPr>
          <w:p w14:paraId="5B5BCCFD"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saskaņā ar</w:t>
            </w:r>
          </w:p>
          <w:p w14:paraId="6BD3EAD6"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vidēja</w:t>
            </w:r>
          </w:p>
          <w:p w14:paraId="3BE50748"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termiņa</w:t>
            </w:r>
          </w:p>
          <w:p w14:paraId="5C553297"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budžeta</w:t>
            </w:r>
          </w:p>
          <w:p w14:paraId="4B82B81A"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ietvaru</w:t>
            </w:r>
          </w:p>
        </w:tc>
        <w:tc>
          <w:tcPr>
            <w:tcW w:w="993" w:type="dxa"/>
          </w:tcPr>
          <w:p w14:paraId="70DD90D6"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izmaiņas,</w:t>
            </w:r>
          </w:p>
          <w:p w14:paraId="7F0A684F"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salīdzinot ar</w:t>
            </w:r>
          </w:p>
          <w:p w14:paraId="4D50A798"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vidēja</w:t>
            </w:r>
          </w:p>
          <w:p w14:paraId="2A3A46AA"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termiņa</w:t>
            </w:r>
          </w:p>
          <w:p w14:paraId="18B5B66F"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budžeta</w:t>
            </w:r>
          </w:p>
          <w:p w14:paraId="0E248F87"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ietvaru 2019.</w:t>
            </w:r>
          </w:p>
          <w:p w14:paraId="2BA2E14C"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gadam</w:t>
            </w:r>
          </w:p>
        </w:tc>
        <w:tc>
          <w:tcPr>
            <w:tcW w:w="992" w:type="dxa"/>
            <w:hideMark/>
          </w:tcPr>
          <w:p w14:paraId="22A9DD61"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saskaņā ar</w:t>
            </w:r>
          </w:p>
          <w:p w14:paraId="699E91A0"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vidēja</w:t>
            </w:r>
          </w:p>
          <w:p w14:paraId="03459A98"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termiņa</w:t>
            </w:r>
          </w:p>
          <w:p w14:paraId="2048692D"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budžeta</w:t>
            </w:r>
          </w:p>
          <w:p w14:paraId="14F7A06B"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ietvaru</w:t>
            </w:r>
          </w:p>
        </w:tc>
        <w:tc>
          <w:tcPr>
            <w:tcW w:w="1097" w:type="dxa"/>
          </w:tcPr>
          <w:p w14:paraId="7AD1F4C5"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izmaiņas,</w:t>
            </w:r>
          </w:p>
          <w:p w14:paraId="63A829D7"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salīdzinot ar</w:t>
            </w:r>
          </w:p>
          <w:p w14:paraId="455A1C1C"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vidēja</w:t>
            </w:r>
          </w:p>
          <w:p w14:paraId="2CF53371"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termiņa</w:t>
            </w:r>
          </w:p>
          <w:p w14:paraId="55C344A6"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budžeta</w:t>
            </w:r>
          </w:p>
          <w:p w14:paraId="3F2D82E6"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ietvaru 2020.</w:t>
            </w:r>
          </w:p>
          <w:p w14:paraId="50038F4A"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gadam</w:t>
            </w:r>
          </w:p>
        </w:tc>
        <w:tc>
          <w:tcPr>
            <w:tcW w:w="1312" w:type="dxa"/>
            <w:hideMark/>
          </w:tcPr>
          <w:p w14:paraId="339CECA4"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izmaiņas,</w:t>
            </w:r>
          </w:p>
          <w:p w14:paraId="262F127E"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salīdzinot ar</w:t>
            </w:r>
          </w:p>
          <w:p w14:paraId="76E5271D"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vidēja</w:t>
            </w:r>
          </w:p>
          <w:p w14:paraId="501A7E58"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termiņa</w:t>
            </w:r>
          </w:p>
          <w:p w14:paraId="236DC4B8"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budžeta</w:t>
            </w:r>
          </w:p>
          <w:p w14:paraId="45209D03"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ietvaru 2021.</w:t>
            </w:r>
          </w:p>
          <w:p w14:paraId="0F345196" w14:textId="77777777" w:rsidR="00A5325C" w:rsidRPr="009C54EC" w:rsidRDefault="00A5325C" w:rsidP="00A052D2">
            <w:pPr>
              <w:pStyle w:val="tvhtml"/>
              <w:spacing w:before="0" w:beforeAutospacing="0" w:after="0" w:afterAutospacing="0" w:line="293" w:lineRule="atLeast"/>
              <w:jc w:val="center"/>
              <w:rPr>
                <w:sz w:val="22"/>
                <w:szCs w:val="22"/>
              </w:rPr>
            </w:pPr>
            <w:r w:rsidRPr="009C54EC">
              <w:rPr>
                <w:sz w:val="22"/>
                <w:szCs w:val="22"/>
              </w:rPr>
              <w:t>gadam</w:t>
            </w:r>
          </w:p>
        </w:tc>
      </w:tr>
      <w:tr w:rsidR="00A5325C" w:rsidRPr="009A75D6" w14:paraId="0C59491A" w14:textId="77777777" w:rsidTr="009C54EC">
        <w:tc>
          <w:tcPr>
            <w:tcW w:w="1985" w:type="dxa"/>
          </w:tcPr>
          <w:p w14:paraId="2FFABD15" w14:textId="77777777" w:rsidR="00A5325C" w:rsidRPr="00271879" w:rsidRDefault="00A5325C" w:rsidP="00A052D2">
            <w:pPr>
              <w:jc w:val="center"/>
              <w:rPr>
                <w:rFonts w:ascii="Times New Roman" w:hAnsi="Times New Roman" w:cs="Times New Roman"/>
                <w:bCs/>
              </w:rPr>
            </w:pPr>
            <w:r w:rsidRPr="00271879">
              <w:rPr>
                <w:rFonts w:ascii="Times New Roman" w:hAnsi="Times New Roman" w:cs="Times New Roman"/>
                <w:bCs/>
              </w:rPr>
              <w:t>1</w:t>
            </w:r>
          </w:p>
        </w:tc>
        <w:tc>
          <w:tcPr>
            <w:tcW w:w="1418" w:type="dxa"/>
          </w:tcPr>
          <w:p w14:paraId="4134AD7D" w14:textId="77777777" w:rsidR="00A5325C" w:rsidRPr="00A5325C" w:rsidRDefault="00A5325C" w:rsidP="00A052D2">
            <w:pPr>
              <w:pStyle w:val="tvhtml"/>
              <w:spacing w:line="293" w:lineRule="atLeast"/>
              <w:jc w:val="center"/>
            </w:pPr>
            <w:r w:rsidRPr="00A5325C">
              <w:t>2</w:t>
            </w:r>
          </w:p>
        </w:tc>
        <w:tc>
          <w:tcPr>
            <w:tcW w:w="992" w:type="dxa"/>
          </w:tcPr>
          <w:p w14:paraId="1CF06C9A" w14:textId="77777777" w:rsidR="00A5325C" w:rsidRPr="00A5325C" w:rsidRDefault="00A5325C" w:rsidP="00A052D2">
            <w:pPr>
              <w:pStyle w:val="tvhtml"/>
              <w:spacing w:line="293" w:lineRule="atLeast"/>
              <w:jc w:val="center"/>
            </w:pPr>
            <w:r w:rsidRPr="00A5325C">
              <w:t>3</w:t>
            </w:r>
          </w:p>
        </w:tc>
        <w:tc>
          <w:tcPr>
            <w:tcW w:w="1134" w:type="dxa"/>
          </w:tcPr>
          <w:p w14:paraId="4E8321C4" w14:textId="77777777" w:rsidR="00A5325C" w:rsidRPr="00A5325C" w:rsidRDefault="00A5325C" w:rsidP="00A052D2">
            <w:pPr>
              <w:pStyle w:val="tvhtml"/>
              <w:spacing w:before="0" w:beforeAutospacing="0" w:after="0" w:afterAutospacing="0" w:line="293" w:lineRule="atLeast"/>
              <w:jc w:val="center"/>
            </w:pPr>
            <w:r w:rsidRPr="00A5325C">
              <w:t>4</w:t>
            </w:r>
          </w:p>
        </w:tc>
        <w:tc>
          <w:tcPr>
            <w:tcW w:w="993" w:type="dxa"/>
          </w:tcPr>
          <w:p w14:paraId="17B34388" w14:textId="77777777" w:rsidR="00A5325C" w:rsidRPr="00A5325C" w:rsidRDefault="00A5325C" w:rsidP="00A052D2">
            <w:pPr>
              <w:pStyle w:val="tvhtml"/>
              <w:spacing w:before="0" w:beforeAutospacing="0" w:after="0" w:afterAutospacing="0" w:line="293" w:lineRule="atLeast"/>
              <w:jc w:val="center"/>
            </w:pPr>
            <w:r w:rsidRPr="00A5325C">
              <w:t>5</w:t>
            </w:r>
          </w:p>
        </w:tc>
        <w:tc>
          <w:tcPr>
            <w:tcW w:w="992" w:type="dxa"/>
          </w:tcPr>
          <w:p w14:paraId="53327E63" w14:textId="77777777" w:rsidR="00A5325C" w:rsidRPr="00A5325C" w:rsidRDefault="00A5325C" w:rsidP="00A052D2">
            <w:pPr>
              <w:pStyle w:val="tvhtml"/>
              <w:spacing w:before="0" w:beforeAutospacing="0" w:after="0" w:afterAutospacing="0" w:line="293" w:lineRule="atLeast"/>
              <w:jc w:val="center"/>
            </w:pPr>
            <w:r w:rsidRPr="00A5325C">
              <w:t>6</w:t>
            </w:r>
          </w:p>
        </w:tc>
        <w:tc>
          <w:tcPr>
            <w:tcW w:w="1097" w:type="dxa"/>
          </w:tcPr>
          <w:p w14:paraId="53278ED4" w14:textId="77777777" w:rsidR="00A5325C" w:rsidRPr="00A5325C" w:rsidRDefault="00A5325C" w:rsidP="00A052D2">
            <w:pPr>
              <w:pStyle w:val="tvhtml"/>
              <w:spacing w:before="0" w:beforeAutospacing="0" w:after="0" w:afterAutospacing="0" w:line="293" w:lineRule="atLeast"/>
              <w:jc w:val="center"/>
            </w:pPr>
            <w:r w:rsidRPr="00A5325C">
              <w:t>7</w:t>
            </w:r>
          </w:p>
        </w:tc>
        <w:tc>
          <w:tcPr>
            <w:tcW w:w="1312" w:type="dxa"/>
          </w:tcPr>
          <w:p w14:paraId="2F9F4650" w14:textId="77777777" w:rsidR="00A5325C" w:rsidRPr="00A5325C" w:rsidRDefault="00A5325C" w:rsidP="00A052D2">
            <w:pPr>
              <w:pStyle w:val="tvhtml"/>
              <w:spacing w:before="0" w:beforeAutospacing="0" w:after="0" w:afterAutospacing="0" w:line="293" w:lineRule="atLeast"/>
              <w:jc w:val="center"/>
            </w:pPr>
            <w:r w:rsidRPr="00A5325C">
              <w:t>8</w:t>
            </w:r>
          </w:p>
        </w:tc>
      </w:tr>
      <w:tr w:rsidR="00EB2C23" w:rsidRPr="009A75D6" w14:paraId="20DFDC18" w14:textId="77777777" w:rsidTr="009C54EC">
        <w:tc>
          <w:tcPr>
            <w:tcW w:w="1985" w:type="dxa"/>
          </w:tcPr>
          <w:p w14:paraId="58561C59" w14:textId="77777777" w:rsidR="00EB2C23" w:rsidRPr="00A5325C" w:rsidRDefault="00EB2C23" w:rsidP="00EB2C23">
            <w:pPr>
              <w:rPr>
                <w:rFonts w:ascii="Times New Roman" w:hAnsi="Times New Roman" w:cs="Times New Roman"/>
                <w:b/>
              </w:rPr>
            </w:pPr>
            <w:bookmarkStart w:id="2" w:name="_Hlk527979063"/>
            <w:r w:rsidRPr="00A5325C">
              <w:rPr>
                <w:rFonts w:ascii="Times New Roman" w:hAnsi="Times New Roman" w:cs="Times New Roman"/>
                <w:b/>
              </w:rPr>
              <w:t>1. Budžeta ieņēmumi</w:t>
            </w:r>
          </w:p>
        </w:tc>
        <w:tc>
          <w:tcPr>
            <w:tcW w:w="1418" w:type="dxa"/>
          </w:tcPr>
          <w:p w14:paraId="7A8A5B1E" w14:textId="1DE5ADA4" w:rsidR="00EB2C23" w:rsidRPr="00E83DF7" w:rsidRDefault="004314D7" w:rsidP="00EB2C23">
            <w:pPr>
              <w:pStyle w:val="tvhtml"/>
              <w:spacing w:line="293" w:lineRule="atLeast"/>
              <w:jc w:val="center"/>
              <w:rPr>
                <w:b/>
                <w:sz w:val="18"/>
                <w:szCs w:val="18"/>
              </w:rPr>
            </w:pPr>
            <w:r>
              <w:rPr>
                <w:b/>
                <w:sz w:val="18"/>
                <w:szCs w:val="18"/>
              </w:rPr>
              <w:t>14 919 409</w:t>
            </w:r>
          </w:p>
        </w:tc>
        <w:tc>
          <w:tcPr>
            <w:tcW w:w="992" w:type="dxa"/>
          </w:tcPr>
          <w:p w14:paraId="28D69778" w14:textId="77777777" w:rsidR="00EB2C23" w:rsidRPr="00E83DF7" w:rsidRDefault="00EB2C23" w:rsidP="00EB2C23">
            <w:pPr>
              <w:pStyle w:val="tvhtml"/>
              <w:spacing w:line="293" w:lineRule="atLeast"/>
              <w:jc w:val="center"/>
              <w:rPr>
                <w:b/>
                <w:sz w:val="18"/>
                <w:szCs w:val="18"/>
              </w:rPr>
            </w:pPr>
          </w:p>
        </w:tc>
        <w:tc>
          <w:tcPr>
            <w:tcW w:w="1134" w:type="dxa"/>
          </w:tcPr>
          <w:p w14:paraId="4B7D9CF3" w14:textId="5608F72E" w:rsidR="00EB2C23" w:rsidRPr="00E83DF7" w:rsidRDefault="00EB2C23" w:rsidP="00EB2C23">
            <w:pPr>
              <w:pStyle w:val="tvhtml"/>
              <w:spacing w:before="0" w:beforeAutospacing="0" w:after="0" w:afterAutospacing="0" w:line="293" w:lineRule="atLeast"/>
              <w:jc w:val="center"/>
              <w:rPr>
                <w:b/>
                <w:sz w:val="18"/>
                <w:szCs w:val="18"/>
              </w:rPr>
            </w:pPr>
            <w:r w:rsidRPr="00E83DF7">
              <w:rPr>
                <w:b/>
                <w:sz w:val="18"/>
                <w:szCs w:val="18"/>
              </w:rPr>
              <w:t>9 739 469</w:t>
            </w:r>
          </w:p>
        </w:tc>
        <w:tc>
          <w:tcPr>
            <w:tcW w:w="993" w:type="dxa"/>
          </w:tcPr>
          <w:p w14:paraId="2CFB059F" w14:textId="77777777" w:rsidR="00EB2C23" w:rsidRPr="00E83DF7" w:rsidRDefault="00EB2C23" w:rsidP="00EB2C23">
            <w:pPr>
              <w:pStyle w:val="tvhtml"/>
              <w:spacing w:before="0" w:beforeAutospacing="0" w:after="0" w:afterAutospacing="0" w:line="293" w:lineRule="atLeast"/>
              <w:jc w:val="center"/>
              <w:rPr>
                <w:b/>
                <w:sz w:val="18"/>
                <w:szCs w:val="18"/>
              </w:rPr>
            </w:pPr>
          </w:p>
        </w:tc>
        <w:tc>
          <w:tcPr>
            <w:tcW w:w="992" w:type="dxa"/>
          </w:tcPr>
          <w:p w14:paraId="35137B74" w14:textId="21CE804C" w:rsidR="00EB2C23" w:rsidRPr="00E83DF7" w:rsidRDefault="00EB2C23" w:rsidP="00EB2C23">
            <w:pPr>
              <w:pStyle w:val="tvhtml"/>
              <w:spacing w:before="0" w:beforeAutospacing="0" w:after="0" w:afterAutospacing="0" w:line="293" w:lineRule="atLeast"/>
              <w:jc w:val="center"/>
              <w:rPr>
                <w:b/>
                <w:sz w:val="18"/>
                <w:szCs w:val="18"/>
              </w:rPr>
            </w:pPr>
            <w:r w:rsidRPr="00E83DF7">
              <w:rPr>
                <w:b/>
                <w:sz w:val="18"/>
                <w:szCs w:val="18"/>
              </w:rPr>
              <w:t>9 739 469</w:t>
            </w:r>
          </w:p>
        </w:tc>
        <w:tc>
          <w:tcPr>
            <w:tcW w:w="1097" w:type="dxa"/>
          </w:tcPr>
          <w:p w14:paraId="4773F10C" w14:textId="77777777" w:rsidR="00EB2C23" w:rsidRPr="00E83DF7" w:rsidRDefault="00EB2C23" w:rsidP="00EB2C23">
            <w:pPr>
              <w:pStyle w:val="tvhtml"/>
              <w:spacing w:before="0" w:beforeAutospacing="0" w:after="0" w:afterAutospacing="0" w:line="293" w:lineRule="atLeast"/>
              <w:jc w:val="center"/>
              <w:rPr>
                <w:b/>
                <w:sz w:val="18"/>
                <w:szCs w:val="18"/>
              </w:rPr>
            </w:pPr>
          </w:p>
        </w:tc>
        <w:tc>
          <w:tcPr>
            <w:tcW w:w="1312" w:type="dxa"/>
          </w:tcPr>
          <w:p w14:paraId="45F34661" w14:textId="77777777" w:rsidR="00EB2C23" w:rsidRPr="00E83DF7" w:rsidRDefault="00EB2C23" w:rsidP="00EB2C23">
            <w:pPr>
              <w:pStyle w:val="tvhtml"/>
              <w:spacing w:before="0" w:beforeAutospacing="0" w:after="0" w:afterAutospacing="0" w:line="293" w:lineRule="atLeast"/>
              <w:jc w:val="center"/>
              <w:rPr>
                <w:b/>
                <w:sz w:val="18"/>
                <w:szCs w:val="18"/>
                <w:highlight w:val="yellow"/>
              </w:rPr>
            </w:pPr>
          </w:p>
        </w:tc>
      </w:tr>
      <w:tr w:rsidR="00EB2C23" w:rsidRPr="009A75D6" w14:paraId="5F6F17B7" w14:textId="77777777" w:rsidTr="009C54EC">
        <w:tc>
          <w:tcPr>
            <w:tcW w:w="1985" w:type="dxa"/>
          </w:tcPr>
          <w:p w14:paraId="470B4AED" w14:textId="77777777" w:rsidR="00EB2C23" w:rsidRPr="00A5325C" w:rsidRDefault="00EB2C23" w:rsidP="00EB2C23">
            <w:pPr>
              <w:rPr>
                <w:rFonts w:ascii="Times New Roman" w:hAnsi="Times New Roman" w:cs="Times New Roman"/>
              </w:rPr>
            </w:pPr>
            <w:r w:rsidRPr="00A5325C">
              <w:rPr>
                <w:rFonts w:ascii="Times New Roman" w:hAnsi="Times New Roman" w:cs="Times New Roman"/>
              </w:rPr>
              <w:t>1.1. valsts pamatbudžets, tai skaitā ieņēmumi no maksas pakalpojumiem un citi pašu ieņēmumi</w:t>
            </w:r>
          </w:p>
        </w:tc>
        <w:tc>
          <w:tcPr>
            <w:tcW w:w="1418" w:type="dxa"/>
          </w:tcPr>
          <w:p w14:paraId="17464782" w14:textId="77777777" w:rsidR="00EB2C23" w:rsidRPr="00E83DF7" w:rsidRDefault="00EB2C23" w:rsidP="00EB2C23">
            <w:pPr>
              <w:pStyle w:val="tvhtml"/>
              <w:spacing w:line="293" w:lineRule="atLeast"/>
              <w:jc w:val="center"/>
              <w:rPr>
                <w:sz w:val="18"/>
                <w:szCs w:val="18"/>
              </w:rPr>
            </w:pPr>
          </w:p>
        </w:tc>
        <w:tc>
          <w:tcPr>
            <w:tcW w:w="992" w:type="dxa"/>
          </w:tcPr>
          <w:p w14:paraId="7E31FECB" w14:textId="77777777" w:rsidR="00EB2C23" w:rsidRPr="00E83DF7" w:rsidRDefault="00EB2C23" w:rsidP="00EB2C23">
            <w:pPr>
              <w:pStyle w:val="tvhtml"/>
              <w:spacing w:line="293" w:lineRule="atLeast"/>
              <w:jc w:val="center"/>
              <w:rPr>
                <w:sz w:val="18"/>
                <w:szCs w:val="18"/>
              </w:rPr>
            </w:pPr>
          </w:p>
        </w:tc>
        <w:tc>
          <w:tcPr>
            <w:tcW w:w="1134" w:type="dxa"/>
          </w:tcPr>
          <w:p w14:paraId="5F08B744"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3" w:type="dxa"/>
          </w:tcPr>
          <w:p w14:paraId="6C6B9FEA"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2" w:type="dxa"/>
          </w:tcPr>
          <w:p w14:paraId="77E2C9A4"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097" w:type="dxa"/>
          </w:tcPr>
          <w:p w14:paraId="525E9FAC"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312" w:type="dxa"/>
          </w:tcPr>
          <w:p w14:paraId="13207682" w14:textId="77777777" w:rsidR="00EB2C23" w:rsidRPr="00E83DF7" w:rsidRDefault="00EB2C23" w:rsidP="00EB2C23">
            <w:pPr>
              <w:pStyle w:val="tvhtml"/>
              <w:spacing w:before="0" w:beforeAutospacing="0" w:after="0" w:afterAutospacing="0" w:line="293" w:lineRule="atLeast"/>
              <w:jc w:val="center"/>
              <w:rPr>
                <w:sz w:val="18"/>
                <w:szCs w:val="18"/>
                <w:highlight w:val="yellow"/>
              </w:rPr>
            </w:pPr>
          </w:p>
        </w:tc>
      </w:tr>
      <w:tr w:rsidR="00EB2C23" w:rsidRPr="009A75D6" w14:paraId="74D7B252" w14:textId="77777777" w:rsidTr="009C54EC">
        <w:tc>
          <w:tcPr>
            <w:tcW w:w="1985" w:type="dxa"/>
          </w:tcPr>
          <w:p w14:paraId="43EDB40D" w14:textId="66012AA2" w:rsidR="00EB2C23" w:rsidRPr="00A5325C" w:rsidRDefault="00EB2C23" w:rsidP="00EB2C23">
            <w:pPr>
              <w:rPr>
                <w:rFonts w:ascii="Times New Roman" w:hAnsi="Times New Roman" w:cs="Times New Roman"/>
              </w:rPr>
            </w:pPr>
            <w:r>
              <w:rPr>
                <w:rFonts w:ascii="Times New Roman" w:hAnsi="Times New Roman" w:cs="Times New Roman"/>
              </w:rPr>
              <w:t>02</w:t>
            </w:r>
            <w:r w:rsidRPr="00A5325C">
              <w:rPr>
                <w:rFonts w:ascii="Times New Roman" w:hAnsi="Times New Roman" w:cs="Times New Roman"/>
              </w:rPr>
              <w:t>.04.00</w:t>
            </w:r>
          </w:p>
        </w:tc>
        <w:tc>
          <w:tcPr>
            <w:tcW w:w="1418" w:type="dxa"/>
          </w:tcPr>
          <w:p w14:paraId="11213822" w14:textId="708D9ADA" w:rsidR="00EB2C23" w:rsidRPr="00E83DF7" w:rsidRDefault="004314D7" w:rsidP="00EB2C23">
            <w:pPr>
              <w:pStyle w:val="tvhtml"/>
              <w:spacing w:line="293" w:lineRule="atLeast"/>
              <w:jc w:val="center"/>
              <w:rPr>
                <w:sz w:val="18"/>
                <w:szCs w:val="18"/>
              </w:rPr>
            </w:pPr>
            <w:r>
              <w:rPr>
                <w:sz w:val="18"/>
                <w:szCs w:val="18"/>
              </w:rPr>
              <w:t>14 919 409</w:t>
            </w:r>
          </w:p>
        </w:tc>
        <w:tc>
          <w:tcPr>
            <w:tcW w:w="992" w:type="dxa"/>
          </w:tcPr>
          <w:p w14:paraId="427328EC" w14:textId="77777777" w:rsidR="00EB2C23" w:rsidRPr="00E83DF7" w:rsidRDefault="00EB2C23" w:rsidP="00EB2C23">
            <w:pPr>
              <w:pStyle w:val="tvhtml"/>
              <w:spacing w:line="293" w:lineRule="atLeast"/>
              <w:jc w:val="center"/>
              <w:rPr>
                <w:sz w:val="18"/>
                <w:szCs w:val="18"/>
              </w:rPr>
            </w:pPr>
          </w:p>
        </w:tc>
        <w:tc>
          <w:tcPr>
            <w:tcW w:w="1134" w:type="dxa"/>
          </w:tcPr>
          <w:p w14:paraId="56F5C4E4" w14:textId="4BB0CADD" w:rsidR="00EB2C23" w:rsidRPr="00E83DF7" w:rsidRDefault="00EB2C23" w:rsidP="00EB2C23">
            <w:pPr>
              <w:pStyle w:val="tvhtml"/>
              <w:spacing w:before="0" w:beforeAutospacing="0" w:after="0" w:afterAutospacing="0" w:line="293" w:lineRule="atLeast"/>
              <w:jc w:val="center"/>
              <w:rPr>
                <w:sz w:val="18"/>
                <w:szCs w:val="18"/>
              </w:rPr>
            </w:pPr>
            <w:r w:rsidRPr="00E83DF7">
              <w:rPr>
                <w:sz w:val="18"/>
                <w:szCs w:val="18"/>
              </w:rPr>
              <w:t>9 739 469</w:t>
            </w:r>
          </w:p>
        </w:tc>
        <w:tc>
          <w:tcPr>
            <w:tcW w:w="993" w:type="dxa"/>
          </w:tcPr>
          <w:p w14:paraId="2D8F52E5"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2" w:type="dxa"/>
          </w:tcPr>
          <w:p w14:paraId="6E6BDC87" w14:textId="0A1C9DFB" w:rsidR="00EB2C23" w:rsidRPr="00E83DF7" w:rsidRDefault="00EB2C23" w:rsidP="00EB2C23">
            <w:pPr>
              <w:pStyle w:val="tvhtml"/>
              <w:spacing w:before="0" w:beforeAutospacing="0" w:after="0" w:afterAutospacing="0" w:line="293" w:lineRule="atLeast"/>
              <w:jc w:val="center"/>
              <w:rPr>
                <w:sz w:val="18"/>
                <w:szCs w:val="18"/>
              </w:rPr>
            </w:pPr>
            <w:r w:rsidRPr="00E83DF7">
              <w:rPr>
                <w:sz w:val="18"/>
                <w:szCs w:val="18"/>
              </w:rPr>
              <w:t>9 739 469</w:t>
            </w:r>
          </w:p>
        </w:tc>
        <w:tc>
          <w:tcPr>
            <w:tcW w:w="1097" w:type="dxa"/>
          </w:tcPr>
          <w:p w14:paraId="3AF80FDE"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312" w:type="dxa"/>
          </w:tcPr>
          <w:p w14:paraId="598595FB" w14:textId="77777777" w:rsidR="00EB2C23" w:rsidRPr="00E83DF7" w:rsidRDefault="00EB2C23" w:rsidP="00EB2C23">
            <w:pPr>
              <w:pStyle w:val="tvhtml"/>
              <w:spacing w:before="0" w:beforeAutospacing="0" w:after="0" w:afterAutospacing="0" w:line="293" w:lineRule="atLeast"/>
              <w:jc w:val="center"/>
              <w:rPr>
                <w:sz w:val="18"/>
                <w:szCs w:val="18"/>
                <w:highlight w:val="yellow"/>
              </w:rPr>
            </w:pPr>
          </w:p>
        </w:tc>
      </w:tr>
      <w:tr w:rsidR="00EB2C23" w:rsidRPr="009A75D6" w14:paraId="041C914B" w14:textId="77777777" w:rsidTr="009C54EC">
        <w:tc>
          <w:tcPr>
            <w:tcW w:w="1985" w:type="dxa"/>
          </w:tcPr>
          <w:p w14:paraId="11E0E276" w14:textId="77777777" w:rsidR="00EB2C23" w:rsidRPr="00A5325C" w:rsidRDefault="00EB2C23" w:rsidP="00EB2C23">
            <w:pPr>
              <w:rPr>
                <w:rFonts w:ascii="Times New Roman" w:hAnsi="Times New Roman" w:cs="Times New Roman"/>
              </w:rPr>
            </w:pPr>
            <w:r w:rsidRPr="00A5325C">
              <w:rPr>
                <w:rFonts w:ascii="Times New Roman" w:hAnsi="Times New Roman" w:cs="Times New Roman"/>
              </w:rPr>
              <w:t>1.2. valsts speciālais budžets</w:t>
            </w:r>
          </w:p>
        </w:tc>
        <w:tc>
          <w:tcPr>
            <w:tcW w:w="1418" w:type="dxa"/>
          </w:tcPr>
          <w:p w14:paraId="7B5C8747" w14:textId="77777777" w:rsidR="00EB2C23" w:rsidRPr="00E83DF7" w:rsidRDefault="00EB2C23" w:rsidP="00EB2C23">
            <w:pPr>
              <w:pStyle w:val="tvhtml"/>
              <w:spacing w:line="293" w:lineRule="atLeast"/>
              <w:jc w:val="center"/>
              <w:rPr>
                <w:sz w:val="18"/>
                <w:szCs w:val="18"/>
              </w:rPr>
            </w:pPr>
          </w:p>
        </w:tc>
        <w:tc>
          <w:tcPr>
            <w:tcW w:w="992" w:type="dxa"/>
          </w:tcPr>
          <w:p w14:paraId="27BEBAC3" w14:textId="77777777" w:rsidR="00EB2C23" w:rsidRPr="00E83DF7" w:rsidRDefault="00EB2C23" w:rsidP="00EB2C23">
            <w:pPr>
              <w:pStyle w:val="tvhtml"/>
              <w:spacing w:line="293" w:lineRule="atLeast"/>
              <w:jc w:val="center"/>
              <w:rPr>
                <w:sz w:val="18"/>
                <w:szCs w:val="18"/>
              </w:rPr>
            </w:pPr>
          </w:p>
        </w:tc>
        <w:tc>
          <w:tcPr>
            <w:tcW w:w="1134" w:type="dxa"/>
          </w:tcPr>
          <w:p w14:paraId="5B0F8A01"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3" w:type="dxa"/>
          </w:tcPr>
          <w:p w14:paraId="7E2E26EB"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2" w:type="dxa"/>
          </w:tcPr>
          <w:p w14:paraId="4B980E6A"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097" w:type="dxa"/>
          </w:tcPr>
          <w:p w14:paraId="236DDAE4"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312" w:type="dxa"/>
          </w:tcPr>
          <w:p w14:paraId="48732343" w14:textId="77777777" w:rsidR="00EB2C23" w:rsidRPr="00E83DF7" w:rsidRDefault="00EB2C23" w:rsidP="00EB2C23">
            <w:pPr>
              <w:pStyle w:val="tvhtml"/>
              <w:spacing w:before="0" w:beforeAutospacing="0" w:after="0" w:afterAutospacing="0" w:line="293" w:lineRule="atLeast"/>
              <w:jc w:val="center"/>
              <w:rPr>
                <w:sz w:val="18"/>
                <w:szCs w:val="18"/>
                <w:highlight w:val="yellow"/>
              </w:rPr>
            </w:pPr>
          </w:p>
        </w:tc>
      </w:tr>
      <w:tr w:rsidR="00EB2C23" w:rsidRPr="009A75D6" w14:paraId="7C85E28C" w14:textId="77777777" w:rsidTr="009C54EC">
        <w:tc>
          <w:tcPr>
            <w:tcW w:w="1985" w:type="dxa"/>
          </w:tcPr>
          <w:p w14:paraId="56FE9674" w14:textId="77777777" w:rsidR="00EB2C23" w:rsidRPr="00A5325C" w:rsidRDefault="00EB2C23" w:rsidP="00EB2C23">
            <w:pPr>
              <w:rPr>
                <w:rFonts w:ascii="Times New Roman" w:hAnsi="Times New Roman" w:cs="Times New Roman"/>
              </w:rPr>
            </w:pPr>
            <w:r w:rsidRPr="00A5325C">
              <w:rPr>
                <w:rFonts w:ascii="Times New Roman" w:hAnsi="Times New Roman" w:cs="Times New Roman"/>
              </w:rPr>
              <w:t>1.3. pašvaldību budžets</w:t>
            </w:r>
          </w:p>
        </w:tc>
        <w:tc>
          <w:tcPr>
            <w:tcW w:w="1418" w:type="dxa"/>
          </w:tcPr>
          <w:p w14:paraId="7FDEC06B" w14:textId="77777777" w:rsidR="00EB2C23" w:rsidRPr="00E83DF7" w:rsidRDefault="00EB2C23" w:rsidP="00EB2C23">
            <w:pPr>
              <w:pStyle w:val="tvhtml"/>
              <w:spacing w:line="293" w:lineRule="atLeast"/>
              <w:jc w:val="center"/>
              <w:rPr>
                <w:sz w:val="18"/>
                <w:szCs w:val="18"/>
              </w:rPr>
            </w:pPr>
          </w:p>
        </w:tc>
        <w:tc>
          <w:tcPr>
            <w:tcW w:w="992" w:type="dxa"/>
          </w:tcPr>
          <w:p w14:paraId="1F88D8BC" w14:textId="77777777" w:rsidR="00EB2C23" w:rsidRPr="00E83DF7" w:rsidRDefault="00EB2C23" w:rsidP="00EB2C23">
            <w:pPr>
              <w:pStyle w:val="tvhtml"/>
              <w:spacing w:line="293" w:lineRule="atLeast"/>
              <w:jc w:val="center"/>
              <w:rPr>
                <w:sz w:val="18"/>
                <w:szCs w:val="18"/>
              </w:rPr>
            </w:pPr>
          </w:p>
        </w:tc>
        <w:tc>
          <w:tcPr>
            <w:tcW w:w="1134" w:type="dxa"/>
          </w:tcPr>
          <w:p w14:paraId="5FEF748B"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3" w:type="dxa"/>
          </w:tcPr>
          <w:p w14:paraId="0056E6F2"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992" w:type="dxa"/>
          </w:tcPr>
          <w:p w14:paraId="20E67B5A"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097" w:type="dxa"/>
          </w:tcPr>
          <w:p w14:paraId="4516F055" w14:textId="77777777" w:rsidR="00EB2C23" w:rsidRPr="00E83DF7" w:rsidRDefault="00EB2C23" w:rsidP="00EB2C23">
            <w:pPr>
              <w:pStyle w:val="tvhtml"/>
              <w:spacing w:before="0" w:beforeAutospacing="0" w:after="0" w:afterAutospacing="0" w:line="293" w:lineRule="atLeast"/>
              <w:jc w:val="center"/>
              <w:rPr>
                <w:sz w:val="18"/>
                <w:szCs w:val="18"/>
              </w:rPr>
            </w:pPr>
          </w:p>
        </w:tc>
        <w:tc>
          <w:tcPr>
            <w:tcW w:w="1312" w:type="dxa"/>
          </w:tcPr>
          <w:p w14:paraId="1C0EBD6E" w14:textId="77777777" w:rsidR="00EB2C23" w:rsidRPr="00E83DF7" w:rsidRDefault="00EB2C23" w:rsidP="00EB2C23">
            <w:pPr>
              <w:pStyle w:val="tvhtml"/>
              <w:spacing w:before="0" w:beforeAutospacing="0" w:after="0" w:afterAutospacing="0" w:line="293" w:lineRule="atLeast"/>
              <w:jc w:val="center"/>
              <w:rPr>
                <w:sz w:val="18"/>
                <w:szCs w:val="18"/>
                <w:highlight w:val="yellow"/>
              </w:rPr>
            </w:pPr>
          </w:p>
        </w:tc>
      </w:tr>
      <w:bookmarkEnd w:id="2"/>
      <w:tr w:rsidR="000817C9" w:rsidRPr="009A75D6" w14:paraId="38C40478" w14:textId="77777777" w:rsidTr="00C143E0">
        <w:tc>
          <w:tcPr>
            <w:tcW w:w="1985" w:type="dxa"/>
          </w:tcPr>
          <w:p w14:paraId="375120E7" w14:textId="77777777" w:rsidR="000817C9" w:rsidRPr="00A5325C" w:rsidRDefault="000817C9" w:rsidP="000817C9">
            <w:pPr>
              <w:rPr>
                <w:rFonts w:ascii="Times New Roman" w:hAnsi="Times New Roman" w:cs="Times New Roman"/>
                <w:b/>
              </w:rPr>
            </w:pPr>
            <w:r w:rsidRPr="00A5325C">
              <w:rPr>
                <w:rFonts w:ascii="Times New Roman" w:hAnsi="Times New Roman" w:cs="Times New Roman"/>
                <w:b/>
              </w:rPr>
              <w:lastRenderedPageBreak/>
              <w:t>2. Budžeta izdevumi</w:t>
            </w:r>
          </w:p>
        </w:tc>
        <w:tc>
          <w:tcPr>
            <w:tcW w:w="1418" w:type="dxa"/>
          </w:tcPr>
          <w:p w14:paraId="3E680420" w14:textId="2584C7F3" w:rsidR="000817C9" w:rsidRPr="00E83DF7" w:rsidRDefault="000817C9" w:rsidP="000817C9">
            <w:pPr>
              <w:pStyle w:val="tvhtml"/>
              <w:spacing w:line="293" w:lineRule="atLeast"/>
              <w:jc w:val="center"/>
              <w:rPr>
                <w:b/>
                <w:sz w:val="18"/>
                <w:szCs w:val="18"/>
              </w:rPr>
            </w:pPr>
            <w:r>
              <w:rPr>
                <w:b/>
                <w:sz w:val="18"/>
                <w:szCs w:val="18"/>
              </w:rPr>
              <w:t>14 919 409</w:t>
            </w:r>
          </w:p>
        </w:tc>
        <w:tc>
          <w:tcPr>
            <w:tcW w:w="992" w:type="dxa"/>
            <w:shd w:val="clear" w:color="auto" w:fill="auto"/>
          </w:tcPr>
          <w:p w14:paraId="37732108" w14:textId="3C4D4476" w:rsidR="000817C9" w:rsidRPr="00E83DF7" w:rsidRDefault="000817C9" w:rsidP="000817C9">
            <w:pPr>
              <w:pStyle w:val="tvhtml"/>
              <w:spacing w:line="293" w:lineRule="atLeast"/>
              <w:jc w:val="center"/>
              <w:rPr>
                <w:b/>
                <w:sz w:val="18"/>
                <w:szCs w:val="18"/>
              </w:rPr>
            </w:pPr>
            <w:r w:rsidRPr="00E83DF7">
              <w:rPr>
                <w:b/>
                <w:sz w:val="18"/>
                <w:szCs w:val="18"/>
              </w:rPr>
              <w:t>2 226 823</w:t>
            </w:r>
          </w:p>
        </w:tc>
        <w:tc>
          <w:tcPr>
            <w:tcW w:w="1134" w:type="dxa"/>
          </w:tcPr>
          <w:p w14:paraId="56C70ED7" w14:textId="793286B5" w:rsidR="000817C9" w:rsidRPr="00E83DF7" w:rsidRDefault="000817C9" w:rsidP="000817C9">
            <w:pPr>
              <w:pStyle w:val="tvhtml"/>
              <w:spacing w:before="0" w:beforeAutospacing="0" w:after="0" w:afterAutospacing="0" w:line="293" w:lineRule="atLeast"/>
              <w:jc w:val="center"/>
              <w:rPr>
                <w:b/>
                <w:sz w:val="18"/>
                <w:szCs w:val="18"/>
              </w:rPr>
            </w:pPr>
            <w:r w:rsidRPr="00E83DF7">
              <w:rPr>
                <w:b/>
                <w:sz w:val="18"/>
                <w:szCs w:val="18"/>
              </w:rPr>
              <w:t>9 739 469</w:t>
            </w:r>
          </w:p>
        </w:tc>
        <w:tc>
          <w:tcPr>
            <w:tcW w:w="993" w:type="dxa"/>
            <w:shd w:val="clear" w:color="auto" w:fill="auto"/>
          </w:tcPr>
          <w:p w14:paraId="2D912D44" w14:textId="3BE5AD66" w:rsidR="000817C9" w:rsidRPr="00E83DF7" w:rsidRDefault="000817C9" w:rsidP="000817C9">
            <w:pPr>
              <w:pStyle w:val="tvhtml"/>
              <w:spacing w:before="0" w:beforeAutospacing="0" w:after="0" w:afterAutospacing="0" w:line="293" w:lineRule="atLeast"/>
              <w:jc w:val="center"/>
              <w:rPr>
                <w:b/>
                <w:sz w:val="18"/>
                <w:szCs w:val="18"/>
              </w:rPr>
            </w:pPr>
            <w:r w:rsidRPr="00E83DF7">
              <w:rPr>
                <w:b/>
                <w:sz w:val="18"/>
                <w:szCs w:val="18"/>
              </w:rPr>
              <w:t>2 226 823</w:t>
            </w:r>
          </w:p>
        </w:tc>
        <w:tc>
          <w:tcPr>
            <w:tcW w:w="992" w:type="dxa"/>
          </w:tcPr>
          <w:p w14:paraId="35825768" w14:textId="06E56CC5" w:rsidR="000817C9" w:rsidRPr="00E83DF7" w:rsidRDefault="000817C9" w:rsidP="000817C9">
            <w:pPr>
              <w:pStyle w:val="tvhtml"/>
              <w:spacing w:before="0" w:beforeAutospacing="0" w:after="0" w:afterAutospacing="0" w:line="293" w:lineRule="atLeast"/>
              <w:jc w:val="center"/>
              <w:rPr>
                <w:b/>
                <w:sz w:val="18"/>
                <w:szCs w:val="18"/>
              </w:rPr>
            </w:pPr>
            <w:r w:rsidRPr="00E83DF7">
              <w:rPr>
                <w:b/>
                <w:sz w:val="18"/>
                <w:szCs w:val="18"/>
              </w:rPr>
              <w:t>9 739 469</w:t>
            </w:r>
          </w:p>
        </w:tc>
        <w:tc>
          <w:tcPr>
            <w:tcW w:w="1097" w:type="dxa"/>
            <w:shd w:val="clear" w:color="auto" w:fill="auto"/>
          </w:tcPr>
          <w:p w14:paraId="645FF21E" w14:textId="3C99B720" w:rsidR="000817C9" w:rsidRPr="00E83DF7" w:rsidRDefault="000817C9" w:rsidP="000817C9">
            <w:pPr>
              <w:pStyle w:val="tvhtml"/>
              <w:spacing w:before="0" w:beforeAutospacing="0" w:after="0" w:afterAutospacing="0" w:line="293" w:lineRule="atLeast"/>
              <w:rPr>
                <w:b/>
                <w:sz w:val="18"/>
                <w:szCs w:val="18"/>
              </w:rPr>
            </w:pPr>
            <w:r w:rsidRPr="00E83DF7">
              <w:rPr>
                <w:b/>
                <w:sz w:val="18"/>
                <w:szCs w:val="18"/>
              </w:rPr>
              <w:t>2 226 823</w:t>
            </w:r>
          </w:p>
        </w:tc>
        <w:tc>
          <w:tcPr>
            <w:tcW w:w="1312" w:type="dxa"/>
            <w:shd w:val="clear" w:color="auto" w:fill="auto"/>
          </w:tcPr>
          <w:p w14:paraId="4FD851B9" w14:textId="4DCA71DD" w:rsidR="000817C9" w:rsidRPr="00E83DF7" w:rsidRDefault="000817C9" w:rsidP="000817C9">
            <w:pPr>
              <w:pStyle w:val="tvhtml"/>
              <w:spacing w:before="0" w:beforeAutospacing="0" w:after="0" w:afterAutospacing="0" w:line="293" w:lineRule="atLeast"/>
              <w:jc w:val="center"/>
              <w:rPr>
                <w:b/>
                <w:sz w:val="18"/>
                <w:szCs w:val="18"/>
              </w:rPr>
            </w:pPr>
            <w:r w:rsidRPr="00E83DF7">
              <w:rPr>
                <w:b/>
                <w:sz w:val="18"/>
                <w:szCs w:val="18"/>
              </w:rPr>
              <w:t>2 226 823</w:t>
            </w:r>
          </w:p>
        </w:tc>
      </w:tr>
      <w:tr w:rsidR="000817C9" w:rsidRPr="009A75D6" w14:paraId="0AB845C2" w14:textId="77777777" w:rsidTr="00C143E0">
        <w:tc>
          <w:tcPr>
            <w:tcW w:w="1985" w:type="dxa"/>
          </w:tcPr>
          <w:p w14:paraId="52EC3666"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2.1. valsts pamatbudžets</w:t>
            </w:r>
          </w:p>
        </w:tc>
        <w:tc>
          <w:tcPr>
            <w:tcW w:w="1418" w:type="dxa"/>
          </w:tcPr>
          <w:p w14:paraId="4AEFD9D8" w14:textId="77777777" w:rsidR="000817C9" w:rsidRPr="00E83DF7" w:rsidRDefault="000817C9" w:rsidP="000817C9">
            <w:pPr>
              <w:pStyle w:val="tvhtml"/>
              <w:spacing w:line="293" w:lineRule="atLeast"/>
              <w:jc w:val="center"/>
              <w:rPr>
                <w:sz w:val="18"/>
                <w:szCs w:val="18"/>
              </w:rPr>
            </w:pPr>
          </w:p>
        </w:tc>
        <w:tc>
          <w:tcPr>
            <w:tcW w:w="992" w:type="dxa"/>
            <w:shd w:val="clear" w:color="auto" w:fill="auto"/>
          </w:tcPr>
          <w:p w14:paraId="6E8517CC" w14:textId="77777777" w:rsidR="000817C9" w:rsidRPr="00E83DF7" w:rsidRDefault="000817C9" w:rsidP="000817C9">
            <w:pPr>
              <w:pStyle w:val="tvhtml"/>
              <w:spacing w:line="293" w:lineRule="atLeast"/>
              <w:jc w:val="center"/>
              <w:rPr>
                <w:sz w:val="18"/>
                <w:szCs w:val="18"/>
              </w:rPr>
            </w:pPr>
          </w:p>
        </w:tc>
        <w:tc>
          <w:tcPr>
            <w:tcW w:w="1134" w:type="dxa"/>
          </w:tcPr>
          <w:p w14:paraId="02EECF45"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shd w:val="clear" w:color="auto" w:fill="auto"/>
          </w:tcPr>
          <w:p w14:paraId="1E923BBF"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2" w:type="dxa"/>
          </w:tcPr>
          <w:p w14:paraId="6B0AD246"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097" w:type="dxa"/>
            <w:shd w:val="clear" w:color="auto" w:fill="auto"/>
          </w:tcPr>
          <w:p w14:paraId="1931A7A4"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312" w:type="dxa"/>
            <w:shd w:val="clear" w:color="auto" w:fill="auto"/>
          </w:tcPr>
          <w:p w14:paraId="20F8FABF" w14:textId="77777777" w:rsidR="000817C9" w:rsidRPr="00E83DF7" w:rsidRDefault="000817C9" w:rsidP="000817C9">
            <w:pPr>
              <w:pStyle w:val="tvhtml"/>
              <w:spacing w:before="0" w:beforeAutospacing="0" w:after="0" w:afterAutospacing="0" w:line="293" w:lineRule="atLeast"/>
              <w:jc w:val="center"/>
              <w:rPr>
                <w:sz w:val="18"/>
                <w:szCs w:val="18"/>
              </w:rPr>
            </w:pPr>
          </w:p>
        </w:tc>
      </w:tr>
      <w:tr w:rsidR="000817C9" w:rsidRPr="009A75D6" w14:paraId="2E16314B" w14:textId="77777777" w:rsidTr="00C143E0">
        <w:tc>
          <w:tcPr>
            <w:tcW w:w="1985" w:type="dxa"/>
          </w:tcPr>
          <w:p w14:paraId="5A58EB2F" w14:textId="4778670C" w:rsidR="000817C9" w:rsidRPr="00A5325C" w:rsidRDefault="000817C9" w:rsidP="000817C9">
            <w:pPr>
              <w:rPr>
                <w:rFonts w:ascii="Times New Roman" w:hAnsi="Times New Roman" w:cs="Times New Roman"/>
              </w:rPr>
            </w:pPr>
            <w:r>
              <w:rPr>
                <w:rFonts w:ascii="Times New Roman" w:hAnsi="Times New Roman" w:cs="Times New Roman"/>
              </w:rPr>
              <w:t>02.04.00</w:t>
            </w:r>
          </w:p>
        </w:tc>
        <w:tc>
          <w:tcPr>
            <w:tcW w:w="1418" w:type="dxa"/>
          </w:tcPr>
          <w:p w14:paraId="20433D66" w14:textId="32D4E4D5" w:rsidR="000817C9" w:rsidRPr="00E83DF7" w:rsidRDefault="000817C9" w:rsidP="000817C9">
            <w:pPr>
              <w:pStyle w:val="tvhtml"/>
              <w:spacing w:line="293" w:lineRule="atLeast"/>
              <w:jc w:val="center"/>
              <w:rPr>
                <w:sz w:val="18"/>
                <w:szCs w:val="18"/>
              </w:rPr>
            </w:pPr>
            <w:r>
              <w:rPr>
                <w:sz w:val="18"/>
                <w:szCs w:val="18"/>
              </w:rPr>
              <w:t>14 919 409</w:t>
            </w:r>
          </w:p>
        </w:tc>
        <w:tc>
          <w:tcPr>
            <w:tcW w:w="992" w:type="dxa"/>
            <w:shd w:val="clear" w:color="auto" w:fill="auto"/>
          </w:tcPr>
          <w:p w14:paraId="4E9724EE" w14:textId="7B4828D9" w:rsidR="000817C9" w:rsidRPr="00E83DF7" w:rsidRDefault="000817C9" w:rsidP="000817C9">
            <w:pPr>
              <w:pStyle w:val="tvhtml"/>
              <w:spacing w:line="293" w:lineRule="atLeast"/>
              <w:jc w:val="center"/>
              <w:rPr>
                <w:sz w:val="18"/>
                <w:szCs w:val="18"/>
              </w:rPr>
            </w:pPr>
            <w:r w:rsidRPr="00E83DF7">
              <w:rPr>
                <w:sz w:val="18"/>
                <w:szCs w:val="18"/>
              </w:rPr>
              <w:t>2 226 823</w:t>
            </w:r>
          </w:p>
        </w:tc>
        <w:tc>
          <w:tcPr>
            <w:tcW w:w="1134" w:type="dxa"/>
          </w:tcPr>
          <w:p w14:paraId="1770A51E" w14:textId="2266C2B8" w:rsidR="000817C9" w:rsidRPr="00E83DF7" w:rsidRDefault="000817C9" w:rsidP="000817C9">
            <w:pPr>
              <w:pStyle w:val="tvhtml"/>
              <w:spacing w:before="0" w:beforeAutospacing="0" w:after="0" w:afterAutospacing="0" w:line="293" w:lineRule="atLeast"/>
              <w:jc w:val="center"/>
              <w:rPr>
                <w:sz w:val="18"/>
                <w:szCs w:val="18"/>
                <w:highlight w:val="yellow"/>
              </w:rPr>
            </w:pPr>
            <w:r w:rsidRPr="00E83DF7">
              <w:rPr>
                <w:sz w:val="18"/>
                <w:szCs w:val="18"/>
              </w:rPr>
              <w:t>9 739 469</w:t>
            </w:r>
          </w:p>
        </w:tc>
        <w:tc>
          <w:tcPr>
            <w:tcW w:w="993" w:type="dxa"/>
            <w:shd w:val="clear" w:color="auto" w:fill="auto"/>
          </w:tcPr>
          <w:p w14:paraId="577B1D87" w14:textId="7539EC88" w:rsidR="000817C9" w:rsidRPr="00E83DF7" w:rsidRDefault="000817C9" w:rsidP="000817C9">
            <w:pPr>
              <w:pStyle w:val="tvhtml"/>
              <w:spacing w:before="0" w:beforeAutospacing="0" w:after="0" w:afterAutospacing="0" w:line="293" w:lineRule="atLeast"/>
              <w:jc w:val="center"/>
              <w:rPr>
                <w:sz w:val="18"/>
                <w:szCs w:val="18"/>
              </w:rPr>
            </w:pPr>
            <w:r w:rsidRPr="00E83DF7">
              <w:rPr>
                <w:sz w:val="18"/>
                <w:szCs w:val="18"/>
              </w:rPr>
              <w:t>2 226 823</w:t>
            </w:r>
          </w:p>
        </w:tc>
        <w:tc>
          <w:tcPr>
            <w:tcW w:w="992" w:type="dxa"/>
          </w:tcPr>
          <w:p w14:paraId="2928B5A3" w14:textId="2A8A7917" w:rsidR="000817C9" w:rsidRPr="00E83DF7" w:rsidRDefault="000817C9" w:rsidP="000817C9">
            <w:pPr>
              <w:pStyle w:val="tvhtml"/>
              <w:spacing w:before="0" w:beforeAutospacing="0" w:after="0" w:afterAutospacing="0" w:line="293" w:lineRule="atLeast"/>
              <w:jc w:val="center"/>
              <w:rPr>
                <w:sz w:val="18"/>
                <w:szCs w:val="18"/>
              </w:rPr>
            </w:pPr>
            <w:r w:rsidRPr="00E83DF7">
              <w:rPr>
                <w:sz w:val="18"/>
                <w:szCs w:val="18"/>
              </w:rPr>
              <w:t>9 739 469</w:t>
            </w:r>
          </w:p>
        </w:tc>
        <w:tc>
          <w:tcPr>
            <w:tcW w:w="1097" w:type="dxa"/>
            <w:shd w:val="clear" w:color="auto" w:fill="auto"/>
          </w:tcPr>
          <w:p w14:paraId="19CCEFC8" w14:textId="70131EAA" w:rsidR="000817C9" w:rsidRPr="00E83DF7" w:rsidRDefault="000817C9" w:rsidP="000817C9">
            <w:pPr>
              <w:pStyle w:val="tvhtml"/>
              <w:spacing w:before="0" w:beforeAutospacing="0" w:after="0" w:afterAutospacing="0" w:line="293" w:lineRule="atLeast"/>
              <w:rPr>
                <w:sz w:val="18"/>
                <w:szCs w:val="18"/>
              </w:rPr>
            </w:pPr>
            <w:r w:rsidRPr="00E83DF7">
              <w:rPr>
                <w:sz w:val="18"/>
                <w:szCs w:val="18"/>
              </w:rPr>
              <w:t>2 226 823</w:t>
            </w:r>
          </w:p>
        </w:tc>
        <w:tc>
          <w:tcPr>
            <w:tcW w:w="1312" w:type="dxa"/>
            <w:shd w:val="clear" w:color="auto" w:fill="auto"/>
          </w:tcPr>
          <w:p w14:paraId="66177CA8" w14:textId="002A80A0" w:rsidR="000817C9" w:rsidRPr="00E83DF7" w:rsidRDefault="000817C9" w:rsidP="000817C9">
            <w:pPr>
              <w:pStyle w:val="tvhtml"/>
              <w:spacing w:before="0" w:beforeAutospacing="0" w:after="0" w:afterAutospacing="0" w:line="293" w:lineRule="atLeast"/>
              <w:jc w:val="center"/>
              <w:rPr>
                <w:sz w:val="18"/>
                <w:szCs w:val="18"/>
              </w:rPr>
            </w:pPr>
            <w:r w:rsidRPr="00E83DF7">
              <w:rPr>
                <w:sz w:val="18"/>
                <w:szCs w:val="18"/>
              </w:rPr>
              <w:t>2 226 823</w:t>
            </w:r>
          </w:p>
        </w:tc>
      </w:tr>
      <w:tr w:rsidR="000817C9" w:rsidRPr="009A75D6" w14:paraId="49F7B4E0" w14:textId="77777777" w:rsidTr="009C54EC">
        <w:tc>
          <w:tcPr>
            <w:tcW w:w="1985" w:type="dxa"/>
          </w:tcPr>
          <w:p w14:paraId="246DD22E"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2.2. valsts speciālais budžets</w:t>
            </w:r>
          </w:p>
        </w:tc>
        <w:tc>
          <w:tcPr>
            <w:tcW w:w="1418" w:type="dxa"/>
          </w:tcPr>
          <w:p w14:paraId="2424F093" w14:textId="77777777" w:rsidR="000817C9" w:rsidRPr="00E83DF7" w:rsidRDefault="000817C9" w:rsidP="000817C9">
            <w:pPr>
              <w:pStyle w:val="tvhtml"/>
              <w:spacing w:line="293" w:lineRule="atLeast"/>
              <w:jc w:val="center"/>
              <w:rPr>
                <w:sz w:val="18"/>
                <w:szCs w:val="18"/>
              </w:rPr>
            </w:pPr>
          </w:p>
        </w:tc>
        <w:tc>
          <w:tcPr>
            <w:tcW w:w="992" w:type="dxa"/>
          </w:tcPr>
          <w:p w14:paraId="382E0448" w14:textId="77777777" w:rsidR="000817C9" w:rsidRPr="00E83DF7" w:rsidRDefault="000817C9" w:rsidP="000817C9">
            <w:pPr>
              <w:pStyle w:val="tvhtml"/>
              <w:spacing w:line="293" w:lineRule="atLeast"/>
              <w:jc w:val="center"/>
              <w:rPr>
                <w:sz w:val="18"/>
                <w:szCs w:val="18"/>
              </w:rPr>
            </w:pPr>
          </w:p>
        </w:tc>
        <w:tc>
          <w:tcPr>
            <w:tcW w:w="1134" w:type="dxa"/>
          </w:tcPr>
          <w:p w14:paraId="5866FF91"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02674D79"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2" w:type="dxa"/>
          </w:tcPr>
          <w:p w14:paraId="5013CEBB"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097" w:type="dxa"/>
          </w:tcPr>
          <w:p w14:paraId="22EEC97C"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312" w:type="dxa"/>
          </w:tcPr>
          <w:p w14:paraId="3DB45398"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r>
      <w:tr w:rsidR="000817C9" w:rsidRPr="009A75D6" w14:paraId="09FC724C" w14:textId="77777777" w:rsidTr="009C54EC">
        <w:tc>
          <w:tcPr>
            <w:tcW w:w="1985" w:type="dxa"/>
          </w:tcPr>
          <w:p w14:paraId="3EE2DA3B"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2.3. pašvaldību budžets</w:t>
            </w:r>
          </w:p>
        </w:tc>
        <w:tc>
          <w:tcPr>
            <w:tcW w:w="1418" w:type="dxa"/>
          </w:tcPr>
          <w:p w14:paraId="1FDACFA5" w14:textId="77777777" w:rsidR="000817C9" w:rsidRPr="00E83DF7" w:rsidRDefault="000817C9" w:rsidP="000817C9">
            <w:pPr>
              <w:pStyle w:val="tvhtml"/>
              <w:spacing w:line="293" w:lineRule="atLeast"/>
              <w:jc w:val="center"/>
              <w:rPr>
                <w:sz w:val="18"/>
                <w:szCs w:val="18"/>
              </w:rPr>
            </w:pPr>
          </w:p>
        </w:tc>
        <w:tc>
          <w:tcPr>
            <w:tcW w:w="992" w:type="dxa"/>
          </w:tcPr>
          <w:p w14:paraId="285CA7FD" w14:textId="77777777" w:rsidR="000817C9" w:rsidRPr="00E83DF7" w:rsidRDefault="000817C9" w:rsidP="000817C9">
            <w:pPr>
              <w:pStyle w:val="tvhtml"/>
              <w:spacing w:line="293" w:lineRule="atLeast"/>
              <w:jc w:val="center"/>
              <w:rPr>
                <w:sz w:val="18"/>
                <w:szCs w:val="18"/>
              </w:rPr>
            </w:pPr>
          </w:p>
        </w:tc>
        <w:tc>
          <w:tcPr>
            <w:tcW w:w="1134" w:type="dxa"/>
          </w:tcPr>
          <w:p w14:paraId="05A54D7C"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319A46D8"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2" w:type="dxa"/>
          </w:tcPr>
          <w:p w14:paraId="069C9A2C"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097" w:type="dxa"/>
          </w:tcPr>
          <w:p w14:paraId="40D34B52"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1312" w:type="dxa"/>
          </w:tcPr>
          <w:p w14:paraId="04FD719E"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r>
      <w:tr w:rsidR="000817C9" w:rsidRPr="009A75D6" w14:paraId="33E51B1A" w14:textId="77777777" w:rsidTr="009C54EC">
        <w:tc>
          <w:tcPr>
            <w:tcW w:w="1985" w:type="dxa"/>
          </w:tcPr>
          <w:p w14:paraId="34B9946B"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3. Finansiālā ietekme</w:t>
            </w:r>
          </w:p>
        </w:tc>
        <w:tc>
          <w:tcPr>
            <w:tcW w:w="1418" w:type="dxa"/>
          </w:tcPr>
          <w:p w14:paraId="4E7F994C" w14:textId="77777777" w:rsidR="000817C9" w:rsidRPr="00E83DF7" w:rsidRDefault="000817C9" w:rsidP="000817C9">
            <w:pPr>
              <w:pStyle w:val="tvhtml"/>
              <w:spacing w:line="293" w:lineRule="atLeast"/>
              <w:jc w:val="center"/>
              <w:rPr>
                <w:sz w:val="18"/>
                <w:szCs w:val="18"/>
              </w:rPr>
            </w:pPr>
          </w:p>
        </w:tc>
        <w:tc>
          <w:tcPr>
            <w:tcW w:w="992" w:type="dxa"/>
          </w:tcPr>
          <w:p w14:paraId="1028DCF1" w14:textId="1A53FFB3" w:rsidR="000817C9" w:rsidRPr="00E83DF7" w:rsidRDefault="000817C9" w:rsidP="000817C9">
            <w:pPr>
              <w:pStyle w:val="tvhtml"/>
              <w:spacing w:line="293" w:lineRule="atLeast"/>
              <w:jc w:val="center"/>
              <w:rPr>
                <w:sz w:val="18"/>
                <w:szCs w:val="18"/>
              </w:rPr>
            </w:pPr>
            <w:r w:rsidRPr="00E83DF7">
              <w:rPr>
                <w:sz w:val="18"/>
                <w:szCs w:val="18"/>
              </w:rPr>
              <w:t>-2 226 823</w:t>
            </w:r>
          </w:p>
        </w:tc>
        <w:tc>
          <w:tcPr>
            <w:tcW w:w="1134" w:type="dxa"/>
          </w:tcPr>
          <w:p w14:paraId="0AB0C559" w14:textId="405D5A30" w:rsidR="000817C9" w:rsidRPr="00E83DF7" w:rsidRDefault="000817C9" w:rsidP="000817C9">
            <w:pPr>
              <w:pStyle w:val="tvhtml"/>
              <w:spacing w:before="0" w:beforeAutospacing="0" w:after="0" w:afterAutospacing="0" w:line="293" w:lineRule="atLeast"/>
              <w:rPr>
                <w:sz w:val="18"/>
                <w:szCs w:val="18"/>
                <w:highlight w:val="yellow"/>
              </w:rPr>
            </w:pPr>
          </w:p>
        </w:tc>
        <w:tc>
          <w:tcPr>
            <w:tcW w:w="993" w:type="dxa"/>
          </w:tcPr>
          <w:p w14:paraId="3A8F98DC" w14:textId="4BF6B8EE" w:rsidR="000817C9" w:rsidRPr="00E83DF7" w:rsidRDefault="000817C9" w:rsidP="000817C9">
            <w:pPr>
              <w:pStyle w:val="tvhtml"/>
              <w:spacing w:before="0" w:beforeAutospacing="0" w:after="0" w:afterAutospacing="0" w:line="293" w:lineRule="atLeast"/>
              <w:rPr>
                <w:sz w:val="18"/>
                <w:szCs w:val="18"/>
              </w:rPr>
            </w:pPr>
            <w:r w:rsidRPr="00E83DF7">
              <w:rPr>
                <w:sz w:val="18"/>
                <w:szCs w:val="18"/>
              </w:rPr>
              <w:t>-2 226 823</w:t>
            </w:r>
          </w:p>
        </w:tc>
        <w:tc>
          <w:tcPr>
            <w:tcW w:w="992" w:type="dxa"/>
          </w:tcPr>
          <w:p w14:paraId="31E80C3C" w14:textId="52F1BAE1" w:rsidR="000817C9" w:rsidRPr="00E83DF7" w:rsidRDefault="000817C9" w:rsidP="000817C9">
            <w:pPr>
              <w:pStyle w:val="tvhtml"/>
              <w:spacing w:before="0" w:beforeAutospacing="0" w:after="0" w:afterAutospacing="0" w:line="293" w:lineRule="atLeast"/>
              <w:jc w:val="center"/>
              <w:rPr>
                <w:sz w:val="18"/>
                <w:szCs w:val="18"/>
              </w:rPr>
            </w:pPr>
          </w:p>
        </w:tc>
        <w:tc>
          <w:tcPr>
            <w:tcW w:w="1097" w:type="dxa"/>
          </w:tcPr>
          <w:p w14:paraId="2E2A2B3F" w14:textId="0014C27B" w:rsidR="000817C9" w:rsidRPr="00E83DF7" w:rsidRDefault="000817C9" w:rsidP="000817C9">
            <w:pPr>
              <w:pStyle w:val="tvhtml"/>
              <w:spacing w:before="0" w:beforeAutospacing="0" w:after="0" w:afterAutospacing="0" w:line="293" w:lineRule="atLeast"/>
              <w:rPr>
                <w:sz w:val="18"/>
                <w:szCs w:val="18"/>
              </w:rPr>
            </w:pPr>
            <w:r w:rsidRPr="00E83DF7">
              <w:rPr>
                <w:sz w:val="18"/>
                <w:szCs w:val="18"/>
              </w:rPr>
              <w:t>-2 226 823</w:t>
            </w:r>
          </w:p>
        </w:tc>
        <w:tc>
          <w:tcPr>
            <w:tcW w:w="1312" w:type="dxa"/>
          </w:tcPr>
          <w:p w14:paraId="22C9D460" w14:textId="2E2D96AC" w:rsidR="000817C9" w:rsidRPr="00E83DF7" w:rsidRDefault="000817C9" w:rsidP="000817C9">
            <w:pPr>
              <w:pStyle w:val="tvhtml"/>
              <w:spacing w:before="0" w:beforeAutospacing="0" w:after="0" w:afterAutospacing="0" w:line="293" w:lineRule="atLeast"/>
              <w:jc w:val="center"/>
              <w:rPr>
                <w:sz w:val="18"/>
                <w:szCs w:val="18"/>
              </w:rPr>
            </w:pPr>
            <w:r w:rsidRPr="00E83DF7">
              <w:rPr>
                <w:sz w:val="18"/>
                <w:szCs w:val="18"/>
              </w:rPr>
              <w:t xml:space="preserve"> -2 226 823</w:t>
            </w:r>
          </w:p>
        </w:tc>
      </w:tr>
      <w:tr w:rsidR="000817C9" w:rsidRPr="009A75D6" w14:paraId="2610A270" w14:textId="77777777" w:rsidTr="009C54EC">
        <w:tc>
          <w:tcPr>
            <w:tcW w:w="1985" w:type="dxa"/>
          </w:tcPr>
          <w:p w14:paraId="774D7F12"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3.1. valsts pamatbudžets</w:t>
            </w:r>
          </w:p>
        </w:tc>
        <w:tc>
          <w:tcPr>
            <w:tcW w:w="1418" w:type="dxa"/>
          </w:tcPr>
          <w:p w14:paraId="7310D271" w14:textId="77777777" w:rsidR="000817C9" w:rsidRPr="00E83DF7" w:rsidRDefault="000817C9" w:rsidP="000817C9">
            <w:pPr>
              <w:pStyle w:val="tvhtml"/>
              <w:spacing w:line="293" w:lineRule="atLeast"/>
              <w:jc w:val="center"/>
              <w:rPr>
                <w:sz w:val="18"/>
                <w:szCs w:val="18"/>
              </w:rPr>
            </w:pPr>
          </w:p>
        </w:tc>
        <w:tc>
          <w:tcPr>
            <w:tcW w:w="992" w:type="dxa"/>
          </w:tcPr>
          <w:p w14:paraId="67663175" w14:textId="23853B0A" w:rsidR="000817C9" w:rsidRPr="00E83DF7" w:rsidRDefault="000817C9" w:rsidP="000817C9">
            <w:pPr>
              <w:pStyle w:val="tvhtml"/>
              <w:spacing w:line="293" w:lineRule="atLeast"/>
              <w:jc w:val="center"/>
              <w:rPr>
                <w:sz w:val="18"/>
                <w:szCs w:val="18"/>
              </w:rPr>
            </w:pPr>
            <w:r w:rsidRPr="00E83DF7">
              <w:rPr>
                <w:sz w:val="18"/>
                <w:szCs w:val="18"/>
              </w:rPr>
              <w:t>-2 226  823</w:t>
            </w:r>
          </w:p>
        </w:tc>
        <w:tc>
          <w:tcPr>
            <w:tcW w:w="1134" w:type="dxa"/>
          </w:tcPr>
          <w:p w14:paraId="568451CF" w14:textId="5859C13F"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2D435927" w14:textId="001C27DC" w:rsidR="000817C9" w:rsidRPr="00E83DF7" w:rsidRDefault="000817C9" w:rsidP="000817C9">
            <w:pPr>
              <w:pStyle w:val="tvhtml"/>
              <w:spacing w:before="0" w:beforeAutospacing="0" w:after="0" w:afterAutospacing="0" w:line="293" w:lineRule="atLeast"/>
              <w:rPr>
                <w:sz w:val="18"/>
                <w:szCs w:val="18"/>
              </w:rPr>
            </w:pPr>
            <w:r w:rsidRPr="00E83DF7">
              <w:rPr>
                <w:sz w:val="18"/>
                <w:szCs w:val="18"/>
              </w:rPr>
              <w:t>-2 226  823</w:t>
            </w:r>
          </w:p>
        </w:tc>
        <w:tc>
          <w:tcPr>
            <w:tcW w:w="992" w:type="dxa"/>
          </w:tcPr>
          <w:p w14:paraId="0BBFF6AD" w14:textId="1E9B2168" w:rsidR="000817C9" w:rsidRPr="00E83DF7" w:rsidRDefault="000817C9" w:rsidP="000817C9">
            <w:pPr>
              <w:pStyle w:val="tvhtml"/>
              <w:spacing w:before="0" w:beforeAutospacing="0" w:after="0" w:afterAutospacing="0" w:line="293" w:lineRule="atLeast"/>
              <w:jc w:val="center"/>
              <w:rPr>
                <w:sz w:val="18"/>
                <w:szCs w:val="18"/>
              </w:rPr>
            </w:pPr>
          </w:p>
        </w:tc>
        <w:tc>
          <w:tcPr>
            <w:tcW w:w="1097" w:type="dxa"/>
          </w:tcPr>
          <w:p w14:paraId="5E670597" w14:textId="19364B41" w:rsidR="000817C9" w:rsidRPr="00E83DF7" w:rsidRDefault="000817C9" w:rsidP="000817C9">
            <w:pPr>
              <w:pStyle w:val="tvhtml"/>
              <w:spacing w:before="0" w:beforeAutospacing="0" w:after="0" w:afterAutospacing="0" w:line="293" w:lineRule="atLeast"/>
              <w:rPr>
                <w:sz w:val="18"/>
                <w:szCs w:val="18"/>
              </w:rPr>
            </w:pPr>
            <w:r w:rsidRPr="00E83DF7">
              <w:rPr>
                <w:sz w:val="18"/>
                <w:szCs w:val="18"/>
              </w:rPr>
              <w:t>-2 226  823</w:t>
            </w:r>
          </w:p>
        </w:tc>
        <w:tc>
          <w:tcPr>
            <w:tcW w:w="1312" w:type="dxa"/>
          </w:tcPr>
          <w:p w14:paraId="314E5B48" w14:textId="34F062D8" w:rsidR="000817C9" w:rsidRPr="00E83DF7" w:rsidRDefault="000817C9" w:rsidP="000817C9">
            <w:pPr>
              <w:pStyle w:val="tvhtml"/>
              <w:spacing w:before="0" w:beforeAutospacing="0" w:after="0" w:afterAutospacing="0" w:line="293" w:lineRule="atLeast"/>
              <w:jc w:val="center"/>
              <w:rPr>
                <w:sz w:val="18"/>
                <w:szCs w:val="18"/>
              </w:rPr>
            </w:pPr>
            <w:r w:rsidRPr="00E83DF7">
              <w:rPr>
                <w:sz w:val="18"/>
                <w:szCs w:val="18"/>
              </w:rPr>
              <w:t>-2 226  823</w:t>
            </w:r>
          </w:p>
        </w:tc>
      </w:tr>
      <w:tr w:rsidR="000817C9" w:rsidRPr="009A75D6" w14:paraId="744EEE52" w14:textId="77777777" w:rsidTr="009C54EC">
        <w:tc>
          <w:tcPr>
            <w:tcW w:w="1985" w:type="dxa"/>
          </w:tcPr>
          <w:p w14:paraId="67346EE3"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3.2. speciālais budžets</w:t>
            </w:r>
          </w:p>
        </w:tc>
        <w:tc>
          <w:tcPr>
            <w:tcW w:w="1418" w:type="dxa"/>
          </w:tcPr>
          <w:p w14:paraId="618EF040" w14:textId="77777777" w:rsidR="000817C9" w:rsidRPr="00E83DF7" w:rsidRDefault="000817C9" w:rsidP="000817C9">
            <w:pPr>
              <w:pStyle w:val="tvhtml"/>
              <w:spacing w:line="293" w:lineRule="atLeast"/>
              <w:jc w:val="center"/>
              <w:rPr>
                <w:sz w:val="18"/>
                <w:szCs w:val="18"/>
              </w:rPr>
            </w:pPr>
          </w:p>
        </w:tc>
        <w:tc>
          <w:tcPr>
            <w:tcW w:w="992" w:type="dxa"/>
          </w:tcPr>
          <w:p w14:paraId="43A3B5C5" w14:textId="77777777" w:rsidR="000817C9" w:rsidRPr="00E83DF7" w:rsidRDefault="000817C9" w:rsidP="000817C9">
            <w:pPr>
              <w:pStyle w:val="tvhtml"/>
              <w:spacing w:line="293" w:lineRule="atLeast"/>
              <w:jc w:val="center"/>
              <w:rPr>
                <w:sz w:val="18"/>
                <w:szCs w:val="18"/>
              </w:rPr>
            </w:pPr>
          </w:p>
        </w:tc>
        <w:tc>
          <w:tcPr>
            <w:tcW w:w="1134" w:type="dxa"/>
          </w:tcPr>
          <w:p w14:paraId="7A811D55"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464F2CC1"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992" w:type="dxa"/>
          </w:tcPr>
          <w:p w14:paraId="6674D116"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097" w:type="dxa"/>
          </w:tcPr>
          <w:p w14:paraId="2A862531"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312" w:type="dxa"/>
          </w:tcPr>
          <w:p w14:paraId="774D875D" w14:textId="77777777" w:rsidR="000817C9" w:rsidRPr="00E83DF7" w:rsidRDefault="000817C9" w:rsidP="000817C9">
            <w:pPr>
              <w:pStyle w:val="tvhtml"/>
              <w:spacing w:before="0" w:beforeAutospacing="0" w:after="0" w:afterAutospacing="0" w:line="293" w:lineRule="atLeast"/>
              <w:jc w:val="center"/>
              <w:rPr>
                <w:sz w:val="18"/>
                <w:szCs w:val="18"/>
              </w:rPr>
            </w:pPr>
          </w:p>
        </w:tc>
      </w:tr>
      <w:tr w:rsidR="000817C9" w:rsidRPr="009A75D6" w14:paraId="09039677" w14:textId="77777777" w:rsidTr="009C54EC">
        <w:tc>
          <w:tcPr>
            <w:tcW w:w="1985" w:type="dxa"/>
          </w:tcPr>
          <w:p w14:paraId="1319C397"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3.3. pašvaldību budžets</w:t>
            </w:r>
          </w:p>
        </w:tc>
        <w:tc>
          <w:tcPr>
            <w:tcW w:w="1418" w:type="dxa"/>
          </w:tcPr>
          <w:p w14:paraId="5E713ED0" w14:textId="77777777" w:rsidR="000817C9" w:rsidRPr="00E83DF7" w:rsidRDefault="000817C9" w:rsidP="000817C9">
            <w:pPr>
              <w:pStyle w:val="tvhtml"/>
              <w:spacing w:line="293" w:lineRule="atLeast"/>
              <w:jc w:val="center"/>
              <w:rPr>
                <w:sz w:val="18"/>
                <w:szCs w:val="18"/>
              </w:rPr>
            </w:pPr>
          </w:p>
        </w:tc>
        <w:tc>
          <w:tcPr>
            <w:tcW w:w="992" w:type="dxa"/>
          </w:tcPr>
          <w:p w14:paraId="39838BED" w14:textId="77777777" w:rsidR="000817C9" w:rsidRPr="00E83DF7" w:rsidRDefault="000817C9" w:rsidP="000817C9">
            <w:pPr>
              <w:pStyle w:val="tvhtml"/>
              <w:spacing w:line="293" w:lineRule="atLeast"/>
              <w:jc w:val="center"/>
              <w:rPr>
                <w:sz w:val="18"/>
                <w:szCs w:val="18"/>
              </w:rPr>
            </w:pPr>
          </w:p>
        </w:tc>
        <w:tc>
          <w:tcPr>
            <w:tcW w:w="1134" w:type="dxa"/>
          </w:tcPr>
          <w:p w14:paraId="069BDF30"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24CDF0FB"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992" w:type="dxa"/>
          </w:tcPr>
          <w:p w14:paraId="0BA29E09"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097" w:type="dxa"/>
          </w:tcPr>
          <w:p w14:paraId="7895725E"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312" w:type="dxa"/>
          </w:tcPr>
          <w:p w14:paraId="18517BB5" w14:textId="77777777" w:rsidR="000817C9" w:rsidRPr="00E83DF7" w:rsidRDefault="000817C9" w:rsidP="000817C9">
            <w:pPr>
              <w:pStyle w:val="tvhtml"/>
              <w:spacing w:before="0" w:beforeAutospacing="0" w:after="0" w:afterAutospacing="0" w:line="293" w:lineRule="atLeast"/>
              <w:jc w:val="center"/>
              <w:rPr>
                <w:sz w:val="18"/>
                <w:szCs w:val="18"/>
              </w:rPr>
            </w:pPr>
          </w:p>
        </w:tc>
      </w:tr>
      <w:tr w:rsidR="000817C9" w:rsidRPr="009A75D6" w14:paraId="63C29BD8" w14:textId="77777777" w:rsidTr="009C54EC">
        <w:tc>
          <w:tcPr>
            <w:tcW w:w="1985" w:type="dxa"/>
          </w:tcPr>
          <w:p w14:paraId="69B0002F" w14:textId="77777777" w:rsidR="000817C9" w:rsidRPr="00A5325C" w:rsidRDefault="000817C9" w:rsidP="000817C9">
            <w:pPr>
              <w:rPr>
                <w:rFonts w:ascii="Times New Roman" w:hAnsi="Times New Roman" w:cs="Times New Roman"/>
              </w:rPr>
            </w:pPr>
            <w:r w:rsidRPr="00A5325C">
              <w:rPr>
                <w:rFonts w:ascii="Times New Roman" w:hAnsi="Times New Roman" w:cs="Times New Roman"/>
              </w:rPr>
              <w:t>4. Finanšu līdzekļi papildu izdevumu finansēšanai (kompensējošu izdevumu samazinājumu norāda ar "+" zīmi)</w:t>
            </w:r>
          </w:p>
        </w:tc>
        <w:tc>
          <w:tcPr>
            <w:tcW w:w="1418" w:type="dxa"/>
          </w:tcPr>
          <w:p w14:paraId="20040AAE" w14:textId="77777777" w:rsidR="000817C9" w:rsidRPr="00E83DF7" w:rsidRDefault="000817C9" w:rsidP="000817C9">
            <w:pPr>
              <w:pStyle w:val="tvhtml"/>
              <w:spacing w:line="293" w:lineRule="atLeast"/>
              <w:jc w:val="center"/>
              <w:rPr>
                <w:sz w:val="18"/>
                <w:szCs w:val="18"/>
              </w:rPr>
            </w:pPr>
          </w:p>
        </w:tc>
        <w:tc>
          <w:tcPr>
            <w:tcW w:w="992" w:type="dxa"/>
          </w:tcPr>
          <w:p w14:paraId="561A7580" w14:textId="77777777" w:rsidR="000817C9" w:rsidRPr="00E83DF7" w:rsidRDefault="000817C9" w:rsidP="000817C9">
            <w:pPr>
              <w:pStyle w:val="tvhtml"/>
              <w:spacing w:line="293" w:lineRule="atLeast"/>
              <w:jc w:val="center"/>
              <w:rPr>
                <w:sz w:val="18"/>
                <w:szCs w:val="18"/>
              </w:rPr>
            </w:pPr>
          </w:p>
        </w:tc>
        <w:tc>
          <w:tcPr>
            <w:tcW w:w="1134" w:type="dxa"/>
          </w:tcPr>
          <w:p w14:paraId="501A837E" w14:textId="77777777" w:rsidR="000817C9" w:rsidRPr="00E83DF7" w:rsidRDefault="000817C9" w:rsidP="000817C9">
            <w:pPr>
              <w:pStyle w:val="tvhtml"/>
              <w:spacing w:before="0" w:beforeAutospacing="0" w:after="0" w:afterAutospacing="0" w:line="293" w:lineRule="atLeast"/>
              <w:jc w:val="center"/>
              <w:rPr>
                <w:sz w:val="18"/>
                <w:szCs w:val="18"/>
                <w:highlight w:val="yellow"/>
              </w:rPr>
            </w:pPr>
          </w:p>
        </w:tc>
        <w:tc>
          <w:tcPr>
            <w:tcW w:w="993" w:type="dxa"/>
          </w:tcPr>
          <w:p w14:paraId="24336A5E"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992" w:type="dxa"/>
          </w:tcPr>
          <w:p w14:paraId="638459B5"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097" w:type="dxa"/>
          </w:tcPr>
          <w:p w14:paraId="6772727B" w14:textId="77777777" w:rsidR="000817C9" w:rsidRPr="00E83DF7" w:rsidRDefault="000817C9" w:rsidP="000817C9">
            <w:pPr>
              <w:pStyle w:val="tvhtml"/>
              <w:spacing w:before="0" w:beforeAutospacing="0" w:after="0" w:afterAutospacing="0" w:line="293" w:lineRule="atLeast"/>
              <w:jc w:val="center"/>
              <w:rPr>
                <w:sz w:val="18"/>
                <w:szCs w:val="18"/>
              </w:rPr>
            </w:pPr>
          </w:p>
        </w:tc>
        <w:tc>
          <w:tcPr>
            <w:tcW w:w="1312" w:type="dxa"/>
          </w:tcPr>
          <w:p w14:paraId="2C9ED0F2" w14:textId="77777777" w:rsidR="000817C9" w:rsidRPr="00E83DF7" w:rsidRDefault="000817C9" w:rsidP="000817C9">
            <w:pPr>
              <w:pStyle w:val="tvhtml"/>
              <w:spacing w:before="0" w:beforeAutospacing="0" w:after="0" w:afterAutospacing="0" w:line="293" w:lineRule="atLeast"/>
              <w:jc w:val="center"/>
              <w:rPr>
                <w:sz w:val="18"/>
                <w:szCs w:val="18"/>
              </w:rPr>
            </w:pPr>
          </w:p>
        </w:tc>
      </w:tr>
      <w:tr w:rsidR="00EF4F7D" w:rsidRPr="009A75D6" w14:paraId="422EDE4B" w14:textId="77777777" w:rsidTr="009C54EC">
        <w:tc>
          <w:tcPr>
            <w:tcW w:w="1985" w:type="dxa"/>
          </w:tcPr>
          <w:p w14:paraId="3BE195B2"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5. Precizēta finansiālā ietekme</w:t>
            </w:r>
          </w:p>
        </w:tc>
        <w:tc>
          <w:tcPr>
            <w:tcW w:w="1418" w:type="dxa"/>
            <w:vMerge w:val="restart"/>
          </w:tcPr>
          <w:p w14:paraId="58389A8A" w14:textId="77777777" w:rsidR="00EF4F7D" w:rsidRPr="00E83DF7" w:rsidRDefault="00EF4F7D" w:rsidP="00EF4F7D">
            <w:pPr>
              <w:pStyle w:val="tvhtml"/>
              <w:spacing w:line="293" w:lineRule="atLeast"/>
              <w:jc w:val="center"/>
              <w:rPr>
                <w:sz w:val="18"/>
                <w:szCs w:val="18"/>
              </w:rPr>
            </w:pPr>
          </w:p>
        </w:tc>
        <w:tc>
          <w:tcPr>
            <w:tcW w:w="992" w:type="dxa"/>
          </w:tcPr>
          <w:p w14:paraId="0E8D87E9" w14:textId="1A778A2D" w:rsidR="00EF4F7D" w:rsidRPr="00E83DF7" w:rsidRDefault="00EF4F7D" w:rsidP="00EF4F7D">
            <w:pPr>
              <w:pStyle w:val="tvhtml"/>
              <w:spacing w:line="293" w:lineRule="atLeast"/>
              <w:jc w:val="center"/>
              <w:rPr>
                <w:sz w:val="18"/>
                <w:szCs w:val="18"/>
              </w:rPr>
            </w:pPr>
            <w:r w:rsidRPr="00E83DF7">
              <w:rPr>
                <w:sz w:val="18"/>
                <w:szCs w:val="18"/>
              </w:rPr>
              <w:t xml:space="preserve">  -2 226 823</w:t>
            </w:r>
          </w:p>
        </w:tc>
        <w:tc>
          <w:tcPr>
            <w:tcW w:w="1134" w:type="dxa"/>
            <w:vMerge w:val="restart"/>
          </w:tcPr>
          <w:p w14:paraId="66A3BF12" w14:textId="39DE2DC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3" w:type="dxa"/>
          </w:tcPr>
          <w:p w14:paraId="32E6160B" w14:textId="2562B423" w:rsidR="00EF4F7D" w:rsidRPr="00E83DF7" w:rsidRDefault="00EF4F7D" w:rsidP="00EF4F7D">
            <w:pPr>
              <w:pStyle w:val="tvhtml"/>
              <w:spacing w:before="0" w:beforeAutospacing="0" w:after="0" w:afterAutospacing="0" w:line="293" w:lineRule="atLeast"/>
              <w:rPr>
                <w:sz w:val="18"/>
                <w:szCs w:val="18"/>
              </w:rPr>
            </w:pPr>
            <w:r w:rsidRPr="00E83DF7">
              <w:rPr>
                <w:sz w:val="18"/>
                <w:szCs w:val="18"/>
              </w:rPr>
              <w:t xml:space="preserve">  -2 226 823</w:t>
            </w:r>
          </w:p>
        </w:tc>
        <w:tc>
          <w:tcPr>
            <w:tcW w:w="992" w:type="dxa"/>
            <w:vMerge w:val="restart"/>
          </w:tcPr>
          <w:p w14:paraId="3FE86B2E" w14:textId="77777777" w:rsidR="00EF4F7D" w:rsidRPr="00E83DF7" w:rsidRDefault="00EF4F7D" w:rsidP="00EF4F7D">
            <w:pPr>
              <w:pStyle w:val="tvhtml"/>
              <w:spacing w:before="0" w:beforeAutospacing="0" w:after="0" w:afterAutospacing="0" w:line="293" w:lineRule="atLeast"/>
              <w:jc w:val="center"/>
              <w:rPr>
                <w:sz w:val="18"/>
                <w:szCs w:val="18"/>
              </w:rPr>
            </w:pPr>
          </w:p>
        </w:tc>
        <w:tc>
          <w:tcPr>
            <w:tcW w:w="1097" w:type="dxa"/>
          </w:tcPr>
          <w:p w14:paraId="52648C9E" w14:textId="56A95163" w:rsidR="00EF4F7D" w:rsidRPr="00E83DF7" w:rsidRDefault="00EF4F7D" w:rsidP="00EF4F7D">
            <w:pPr>
              <w:pStyle w:val="tvhtml"/>
              <w:spacing w:before="0" w:beforeAutospacing="0" w:after="0" w:afterAutospacing="0" w:line="293" w:lineRule="atLeast"/>
              <w:jc w:val="center"/>
              <w:rPr>
                <w:sz w:val="18"/>
                <w:szCs w:val="18"/>
              </w:rPr>
            </w:pPr>
            <w:r>
              <w:rPr>
                <w:sz w:val="18"/>
                <w:szCs w:val="18"/>
              </w:rPr>
              <w:t xml:space="preserve">  </w:t>
            </w:r>
            <w:r w:rsidRPr="00E83DF7">
              <w:rPr>
                <w:sz w:val="18"/>
                <w:szCs w:val="18"/>
              </w:rPr>
              <w:t xml:space="preserve"> -2 226 823</w:t>
            </w:r>
          </w:p>
        </w:tc>
        <w:tc>
          <w:tcPr>
            <w:tcW w:w="1312" w:type="dxa"/>
          </w:tcPr>
          <w:p w14:paraId="7673591F" w14:textId="3FE9F87C" w:rsidR="00EF4F7D" w:rsidRPr="00E83DF7" w:rsidRDefault="00EF4F7D" w:rsidP="00EF4F7D">
            <w:pPr>
              <w:pStyle w:val="tvhtml"/>
              <w:spacing w:before="0" w:beforeAutospacing="0" w:after="0" w:afterAutospacing="0" w:line="293" w:lineRule="atLeast"/>
              <w:jc w:val="center"/>
              <w:rPr>
                <w:sz w:val="18"/>
                <w:szCs w:val="18"/>
              </w:rPr>
            </w:pPr>
            <w:r w:rsidRPr="00E83DF7">
              <w:rPr>
                <w:sz w:val="18"/>
                <w:szCs w:val="18"/>
              </w:rPr>
              <w:t xml:space="preserve">     -2 226 823</w:t>
            </w:r>
          </w:p>
        </w:tc>
      </w:tr>
      <w:tr w:rsidR="00EF4F7D" w:rsidRPr="009A75D6" w14:paraId="6CAADBD3" w14:textId="77777777" w:rsidTr="009C54EC">
        <w:trPr>
          <w:trHeight w:val="526"/>
        </w:trPr>
        <w:tc>
          <w:tcPr>
            <w:tcW w:w="1985" w:type="dxa"/>
          </w:tcPr>
          <w:p w14:paraId="1B12A99B"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5.1. valsts pamatbudžets</w:t>
            </w:r>
          </w:p>
        </w:tc>
        <w:tc>
          <w:tcPr>
            <w:tcW w:w="1418" w:type="dxa"/>
            <w:vMerge/>
          </w:tcPr>
          <w:p w14:paraId="3601684A" w14:textId="77777777" w:rsidR="00EF4F7D" w:rsidRPr="00E83DF7" w:rsidRDefault="00EF4F7D" w:rsidP="00EF4F7D">
            <w:pPr>
              <w:pStyle w:val="tvhtml"/>
              <w:spacing w:line="293" w:lineRule="atLeast"/>
              <w:jc w:val="center"/>
              <w:rPr>
                <w:sz w:val="18"/>
                <w:szCs w:val="18"/>
              </w:rPr>
            </w:pPr>
          </w:p>
        </w:tc>
        <w:tc>
          <w:tcPr>
            <w:tcW w:w="992" w:type="dxa"/>
          </w:tcPr>
          <w:p w14:paraId="6F0AB593" w14:textId="76FCAC66" w:rsidR="00EF4F7D" w:rsidRPr="00E83DF7" w:rsidRDefault="00EF4F7D" w:rsidP="00EF4F7D">
            <w:pPr>
              <w:pStyle w:val="tvhtml"/>
              <w:spacing w:line="293" w:lineRule="atLeast"/>
              <w:jc w:val="center"/>
              <w:rPr>
                <w:sz w:val="18"/>
                <w:szCs w:val="18"/>
              </w:rPr>
            </w:pPr>
            <w:r w:rsidRPr="00E83DF7">
              <w:rPr>
                <w:sz w:val="18"/>
                <w:szCs w:val="18"/>
              </w:rPr>
              <w:t>-2 226  823</w:t>
            </w:r>
          </w:p>
        </w:tc>
        <w:tc>
          <w:tcPr>
            <w:tcW w:w="1134" w:type="dxa"/>
            <w:vMerge/>
          </w:tcPr>
          <w:p w14:paraId="08E4A850" w14:textId="1B8EFC5E"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3" w:type="dxa"/>
          </w:tcPr>
          <w:p w14:paraId="4719CBB8" w14:textId="48921765" w:rsidR="00EF4F7D" w:rsidRPr="00E83DF7" w:rsidRDefault="00EF4F7D" w:rsidP="00EF4F7D">
            <w:pPr>
              <w:pStyle w:val="tvhtml"/>
              <w:spacing w:before="0" w:beforeAutospacing="0" w:after="0" w:afterAutospacing="0" w:line="293" w:lineRule="atLeast"/>
              <w:jc w:val="center"/>
              <w:rPr>
                <w:sz w:val="18"/>
                <w:szCs w:val="18"/>
              </w:rPr>
            </w:pPr>
            <w:r w:rsidRPr="00E83DF7">
              <w:rPr>
                <w:sz w:val="18"/>
                <w:szCs w:val="18"/>
              </w:rPr>
              <w:t>-2 226  823</w:t>
            </w:r>
          </w:p>
        </w:tc>
        <w:tc>
          <w:tcPr>
            <w:tcW w:w="992" w:type="dxa"/>
            <w:vMerge/>
          </w:tcPr>
          <w:p w14:paraId="43A936B3" w14:textId="77777777" w:rsidR="00EF4F7D" w:rsidRPr="00E83DF7" w:rsidRDefault="00EF4F7D" w:rsidP="00EF4F7D">
            <w:pPr>
              <w:pStyle w:val="tvhtml"/>
              <w:spacing w:before="0" w:beforeAutospacing="0" w:after="0" w:afterAutospacing="0" w:line="293" w:lineRule="atLeast"/>
              <w:jc w:val="center"/>
              <w:rPr>
                <w:sz w:val="18"/>
                <w:szCs w:val="18"/>
              </w:rPr>
            </w:pPr>
          </w:p>
        </w:tc>
        <w:tc>
          <w:tcPr>
            <w:tcW w:w="1097" w:type="dxa"/>
          </w:tcPr>
          <w:p w14:paraId="4DA4373C" w14:textId="6EB9E856" w:rsidR="00EF4F7D" w:rsidRPr="00E83DF7" w:rsidRDefault="00EF4F7D" w:rsidP="00EF4F7D">
            <w:pPr>
              <w:pStyle w:val="tvhtml"/>
              <w:spacing w:before="0" w:beforeAutospacing="0" w:after="0" w:afterAutospacing="0" w:line="293" w:lineRule="atLeast"/>
              <w:jc w:val="center"/>
              <w:rPr>
                <w:sz w:val="18"/>
                <w:szCs w:val="18"/>
              </w:rPr>
            </w:pPr>
            <w:r w:rsidRPr="00E83DF7">
              <w:rPr>
                <w:sz w:val="18"/>
                <w:szCs w:val="18"/>
              </w:rPr>
              <w:t>-2 226  823</w:t>
            </w:r>
          </w:p>
        </w:tc>
        <w:tc>
          <w:tcPr>
            <w:tcW w:w="1312" w:type="dxa"/>
          </w:tcPr>
          <w:p w14:paraId="2FE7DA34" w14:textId="0DEE9606" w:rsidR="00EF4F7D" w:rsidRPr="00E83DF7" w:rsidRDefault="00EF4F7D" w:rsidP="00EF4F7D">
            <w:pPr>
              <w:pStyle w:val="tvhtml"/>
              <w:spacing w:before="0" w:beforeAutospacing="0" w:after="0" w:afterAutospacing="0" w:line="293" w:lineRule="atLeast"/>
              <w:jc w:val="center"/>
              <w:rPr>
                <w:sz w:val="18"/>
                <w:szCs w:val="18"/>
              </w:rPr>
            </w:pPr>
            <w:r w:rsidRPr="00E83DF7">
              <w:rPr>
                <w:sz w:val="18"/>
                <w:szCs w:val="18"/>
              </w:rPr>
              <w:t>-2 226  823</w:t>
            </w:r>
          </w:p>
        </w:tc>
      </w:tr>
      <w:tr w:rsidR="00EF4F7D" w:rsidRPr="009A75D6" w14:paraId="7CE6839F" w14:textId="77777777" w:rsidTr="009C54EC">
        <w:tc>
          <w:tcPr>
            <w:tcW w:w="1985" w:type="dxa"/>
          </w:tcPr>
          <w:p w14:paraId="71C00CCF"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5.2. speciālais budžets</w:t>
            </w:r>
          </w:p>
        </w:tc>
        <w:tc>
          <w:tcPr>
            <w:tcW w:w="1418" w:type="dxa"/>
            <w:vMerge/>
          </w:tcPr>
          <w:p w14:paraId="6FB85569" w14:textId="77777777" w:rsidR="00EF4F7D" w:rsidRPr="00E83DF7" w:rsidRDefault="00EF4F7D" w:rsidP="00EF4F7D">
            <w:pPr>
              <w:pStyle w:val="tvhtml"/>
              <w:spacing w:line="293" w:lineRule="atLeast"/>
              <w:jc w:val="center"/>
              <w:rPr>
                <w:sz w:val="18"/>
                <w:szCs w:val="18"/>
              </w:rPr>
            </w:pPr>
          </w:p>
        </w:tc>
        <w:tc>
          <w:tcPr>
            <w:tcW w:w="992" w:type="dxa"/>
          </w:tcPr>
          <w:p w14:paraId="0DB192DC" w14:textId="77777777" w:rsidR="00EF4F7D" w:rsidRPr="00E83DF7" w:rsidRDefault="00EF4F7D" w:rsidP="00EF4F7D">
            <w:pPr>
              <w:pStyle w:val="tvhtml"/>
              <w:spacing w:line="293" w:lineRule="atLeast"/>
              <w:jc w:val="center"/>
              <w:rPr>
                <w:sz w:val="18"/>
                <w:szCs w:val="18"/>
              </w:rPr>
            </w:pPr>
          </w:p>
        </w:tc>
        <w:tc>
          <w:tcPr>
            <w:tcW w:w="1134" w:type="dxa"/>
            <w:vMerge/>
          </w:tcPr>
          <w:p w14:paraId="705BC32F"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3" w:type="dxa"/>
          </w:tcPr>
          <w:p w14:paraId="0B5BC3EF"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2" w:type="dxa"/>
            <w:vMerge/>
          </w:tcPr>
          <w:p w14:paraId="5A7863FE"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1097" w:type="dxa"/>
          </w:tcPr>
          <w:p w14:paraId="57A0DBA4"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1312" w:type="dxa"/>
          </w:tcPr>
          <w:p w14:paraId="511710A6"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r>
      <w:tr w:rsidR="00EF4F7D" w:rsidRPr="009A75D6" w14:paraId="6F7FBFE0" w14:textId="77777777" w:rsidTr="009C54EC">
        <w:trPr>
          <w:trHeight w:val="789"/>
        </w:trPr>
        <w:tc>
          <w:tcPr>
            <w:tcW w:w="1985" w:type="dxa"/>
          </w:tcPr>
          <w:p w14:paraId="32546A5E"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5.3. pašvaldību budžets</w:t>
            </w:r>
          </w:p>
        </w:tc>
        <w:tc>
          <w:tcPr>
            <w:tcW w:w="1418" w:type="dxa"/>
            <w:vMerge/>
          </w:tcPr>
          <w:p w14:paraId="6B815882" w14:textId="77777777" w:rsidR="00EF4F7D" w:rsidRPr="00E83DF7" w:rsidRDefault="00EF4F7D" w:rsidP="00EF4F7D">
            <w:pPr>
              <w:pStyle w:val="tvhtml"/>
              <w:spacing w:line="293" w:lineRule="atLeast"/>
              <w:jc w:val="center"/>
              <w:rPr>
                <w:sz w:val="18"/>
                <w:szCs w:val="18"/>
              </w:rPr>
            </w:pPr>
          </w:p>
        </w:tc>
        <w:tc>
          <w:tcPr>
            <w:tcW w:w="992" w:type="dxa"/>
          </w:tcPr>
          <w:p w14:paraId="5C2D748D" w14:textId="77777777" w:rsidR="00EF4F7D" w:rsidRPr="00E83DF7" w:rsidRDefault="00EF4F7D" w:rsidP="00EF4F7D">
            <w:pPr>
              <w:pStyle w:val="tvhtml"/>
              <w:spacing w:line="293" w:lineRule="atLeast"/>
              <w:jc w:val="center"/>
              <w:rPr>
                <w:sz w:val="18"/>
                <w:szCs w:val="18"/>
              </w:rPr>
            </w:pPr>
          </w:p>
        </w:tc>
        <w:tc>
          <w:tcPr>
            <w:tcW w:w="1134" w:type="dxa"/>
            <w:vMerge/>
          </w:tcPr>
          <w:p w14:paraId="56DD32D7"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3" w:type="dxa"/>
          </w:tcPr>
          <w:p w14:paraId="7EF45857"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992" w:type="dxa"/>
            <w:vMerge/>
          </w:tcPr>
          <w:p w14:paraId="7EEDF391"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1097" w:type="dxa"/>
          </w:tcPr>
          <w:p w14:paraId="09A60C86"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c>
          <w:tcPr>
            <w:tcW w:w="1312" w:type="dxa"/>
          </w:tcPr>
          <w:p w14:paraId="423B141F" w14:textId="77777777" w:rsidR="00EF4F7D" w:rsidRPr="00E83DF7" w:rsidRDefault="00EF4F7D" w:rsidP="00EF4F7D">
            <w:pPr>
              <w:pStyle w:val="tvhtml"/>
              <w:spacing w:before="0" w:beforeAutospacing="0" w:after="0" w:afterAutospacing="0" w:line="293" w:lineRule="atLeast"/>
              <w:jc w:val="center"/>
              <w:rPr>
                <w:sz w:val="18"/>
                <w:szCs w:val="18"/>
                <w:highlight w:val="yellow"/>
              </w:rPr>
            </w:pPr>
          </w:p>
        </w:tc>
      </w:tr>
      <w:tr w:rsidR="00EF4F7D" w:rsidRPr="009A75D6" w14:paraId="7C736CF4" w14:textId="77777777" w:rsidTr="009C54EC">
        <w:tc>
          <w:tcPr>
            <w:tcW w:w="1985" w:type="dxa"/>
          </w:tcPr>
          <w:p w14:paraId="12F0F3AE"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6. Detalizēts ieņēmumu un izdevumu aprēķins (ja nepieciešams, detalizētu ieņēmumu un izdevumu aprēķinu var pievienot anotācijas pielikumā)</w:t>
            </w:r>
          </w:p>
        </w:tc>
        <w:tc>
          <w:tcPr>
            <w:tcW w:w="7938" w:type="dxa"/>
            <w:gridSpan w:val="7"/>
            <w:vMerge w:val="restart"/>
          </w:tcPr>
          <w:p w14:paraId="0AEA0907" w14:textId="1297FA01" w:rsidR="00EF4F7D" w:rsidRPr="009C54EC" w:rsidRDefault="00EF4F7D" w:rsidP="00EF4F7D">
            <w:pPr>
              <w:jc w:val="both"/>
              <w:rPr>
                <w:rFonts w:ascii="Times New Roman" w:hAnsi="Times New Roman" w:cs="Times New Roman"/>
                <w:sz w:val="24"/>
                <w:szCs w:val="24"/>
              </w:rPr>
            </w:pPr>
            <w:r w:rsidRPr="009C54EC">
              <w:rPr>
                <w:rFonts w:ascii="Times New Roman" w:hAnsi="Times New Roman" w:cs="Times New Roman"/>
                <w:sz w:val="24"/>
                <w:szCs w:val="24"/>
              </w:rPr>
              <w:t xml:space="preserve">Rezidentiem darba samaksas palielinājumam 20% apmērā paredzētais finansējums ir </w:t>
            </w:r>
            <w:r w:rsidRPr="009C54EC">
              <w:rPr>
                <w:rFonts w:ascii="Times New Roman" w:hAnsi="Times New Roman" w:cs="Times New Roman"/>
                <w:b/>
                <w:sz w:val="24"/>
                <w:szCs w:val="24"/>
              </w:rPr>
              <w:t xml:space="preserve">2 226 823 </w:t>
            </w:r>
            <w:proofErr w:type="spellStart"/>
            <w:r w:rsidRPr="009C54EC">
              <w:rPr>
                <w:rFonts w:ascii="Times New Roman" w:hAnsi="Times New Roman" w:cs="Times New Roman"/>
                <w:b/>
                <w:i/>
                <w:sz w:val="24"/>
                <w:szCs w:val="24"/>
              </w:rPr>
              <w:t>euro</w:t>
            </w:r>
            <w:proofErr w:type="spellEnd"/>
            <w:r w:rsidRPr="009C54EC">
              <w:rPr>
                <w:rFonts w:ascii="Times New Roman" w:hAnsi="Times New Roman" w:cs="Times New Roman"/>
                <w:b/>
                <w:i/>
                <w:sz w:val="24"/>
                <w:szCs w:val="24"/>
              </w:rPr>
              <w:t>.</w:t>
            </w:r>
            <w:r w:rsidRPr="009C54EC">
              <w:rPr>
                <w:rFonts w:ascii="Times New Roman" w:hAnsi="Times New Roman" w:cs="Times New Roman"/>
                <w:b/>
                <w:sz w:val="24"/>
                <w:szCs w:val="24"/>
              </w:rPr>
              <w:t xml:space="preserve"> </w:t>
            </w:r>
            <w:r w:rsidRPr="00005F52">
              <w:rPr>
                <w:rFonts w:ascii="Times New Roman" w:hAnsi="Times New Roman" w:cs="Times New Roman"/>
                <w:sz w:val="24"/>
                <w:szCs w:val="24"/>
              </w:rPr>
              <w:t>(Ietekme uz 782 rezidentiem gadā).</w:t>
            </w:r>
            <w:r>
              <w:rPr>
                <w:rFonts w:ascii="Times New Roman" w:hAnsi="Times New Roman" w:cs="Times New Roman"/>
                <w:b/>
                <w:sz w:val="24"/>
                <w:szCs w:val="24"/>
              </w:rPr>
              <w:t xml:space="preserve"> </w:t>
            </w:r>
            <w:r w:rsidRPr="009C54EC">
              <w:rPr>
                <w:rFonts w:ascii="Times New Roman" w:hAnsi="Times New Roman" w:cs="Times New Roman"/>
                <w:sz w:val="24"/>
                <w:szCs w:val="24"/>
              </w:rPr>
              <w:t xml:space="preserve">Iepriekšminēto pasākumu plānots īstenot Veselības ministrijas budžeta programmas </w:t>
            </w:r>
            <w:r w:rsidRPr="009C54EC">
              <w:rPr>
                <w:rFonts w:ascii="Times New Roman" w:eastAsia="Times New Roman" w:hAnsi="Times New Roman" w:cs="Angsana New"/>
                <w:sz w:val="24"/>
                <w:szCs w:val="24"/>
                <w:shd w:val="clear" w:color="auto" w:fill="FFFFFF"/>
                <w:lang w:eastAsia="lv-LV"/>
              </w:rPr>
              <w:t xml:space="preserve">02.00.00 “Medicīnas izglītība” </w:t>
            </w:r>
            <w:r w:rsidRPr="009C54EC">
              <w:rPr>
                <w:rFonts w:ascii="Times New Roman" w:hAnsi="Times New Roman" w:cs="Times New Roman"/>
                <w:sz w:val="24"/>
                <w:szCs w:val="24"/>
              </w:rPr>
              <w:t xml:space="preserve">apakšprogrammā </w:t>
            </w:r>
            <w:r w:rsidRPr="009C54EC">
              <w:rPr>
                <w:rFonts w:ascii="Times New Roman" w:hAnsi="Times New Roman" w:cs="Times New Roman"/>
                <w:i/>
                <w:sz w:val="24"/>
                <w:szCs w:val="24"/>
              </w:rPr>
              <w:t xml:space="preserve"> </w:t>
            </w:r>
            <w:r w:rsidRPr="009C54EC">
              <w:rPr>
                <w:rFonts w:ascii="Times New Roman" w:eastAsia="Times New Roman" w:hAnsi="Times New Roman" w:cs="Angsana New"/>
                <w:sz w:val="24"/>
                <w:szCs w:val="24"/>
                <w:shd w:val="clear" w:color="auto" w:fill="FFFFFF"/>
                <w:lang w:eastAsia="lv-LV"/>
              </w:rPr>
              <w:t>02.04.00 “Rezidentu apmācība”.</w:t>
            </w:r>
          </w:p>
          <w:p w14:paraId="6C2B3770" w14:textId="4181B96E" w:rsidR="00EF4F7D" w:rsidRDefault="00EF4F7D" w:rsidP="00EF4F7D">
            <w:pPr>
              <w:tabs>
                <w:tab w:val="left" w:pos="604"/>
                <w:tab w:val="left" w:pos="976"/>
              </w:tabs>
              <w:jc w:val="both"/>
              <w:rPr>
                <w:rFonts w:ascii="Times New Roman" w:eastAsia="Times New Roman" w:hAnsi="Times New Roman" w:cs="Angsana New"/>
                <w:sz w:val="24"/>
                <w:szCs w:val="24"/>
                <w:shd w:val="clear" w:color="auto" w:fill="FFFFFF"/>
                <w:lang w:eastAsia="lv-LV"/>
              </w:rPr>
            </w:pPr>
          </w:p>
          <w:p w14:paraId="1197826E" w14:textId="669539F8" w:rsidR="00EF4F7D" w:rsidRPr="00BA292D" w:rsidRDefault="00EF4F7D" w:rsidP="00EF4F7D">
            <w:pPr>
              <w:tabs>
                <w:tab w:val="left" w:pos="604"/>
                <w:tab w:val="left" w:pos="976"/>
              </w:tabs>
              <w:jc w:val="both"/>
              <w:rPr>
                <w:rFonts w:ascii="Times New Roman" w:eastAsia="Times New Roman" w:hAnsi="Times New Roman" w:cs="Times New Roman"/>
                <w:sz w:val="24"/>
                <w:szCs w:val="24"/>
                <w:lang w:eastAsia="lv-LV"/>
              </w:rPr>
            </w:pPr>
            <w:r>
              <w:rPr>
                <w:rFonts w:ascii="Times New Roman" w:eastAsia="Times New Roman" w:hAnsi="Times New Roman" w:cs="Angsana New"/>
                <w:sz w:val="24"/>
                <w:szCs w:val="24"/>
                <w:shd w:val="clear" w:color="auto" w:fill="FFFFFF"/>
                <w:lang w:eastAsia="lv-LV"/>
              </w:rPr>
              <w:t>Finansiālā ietekme uz Veselības ministrijas budžetu un detalizēta informācija par rezidentu darba samaksas palielinājumu ir pieejama</w:t>
            </w:r>
            <w:r w:rsidRPr="002E3A30">
              <w:rPr>
                <w:rFonts w:ascii="Times New Roman" w:eastAsia="Times New Roman" w:hAnsi="Times New Roman" w:cs="Times New Roman"/>
                <w:sz w:val="28"/>
                <w:szCs w:val="28"/>
                <w:lang w:eastAsia="lv-LV"/>
              </w:rPr>
              <w:t xml:space="preserve"> </w:t>
            </w:r>
            <w:r w:rsidRPr="007F68F4">
              <w:rPr>
                <w:rFonts w:ascii="Times New Roman" w:eastAsia="Times New Roman" w:hAnsi="Times New Roman" w:cs="Times New Roman"/>
                <w:sz w:val="24"/>
                <w:szCs w:val="24"/>
                <w:lang w:eastAsia="lv-LV"/>
              </w:rPr>
              <w:t xml:space="preserve">Ministru kabineta 2018.gada 18.decembra </w:t>
            </w:r>
            <w:r>
              <w:rPr>
                <w:rFonts w:ascii="Times New Roman" w:eastAsia="Times New Roman" w:hAnsi="Times New Roman" w:cs="Times New Roman"/>
                <w:sz w:val="24"/>
                <w:szCs w:val="24"/>
                <w:lang w:eastAsia="lv-LV"/>
              </w:rPr>
              <w:t xml:space="preserve"> noteikumu</w:t>
            </w:r>
            <w:r w:rsidRPr="007F68F4">
              <w:rPr>
                <w:rFonts w:ascii="Times New Roman" w:eastAsia="Times New Roman" w:hAnsi="Times New Roman" w:cs="Times New Roman"/>
                <w:sz w:val="24"/>
                <w:szCs w:val="24"/>
                <w:lang w:eastAsia="lv-LV"/>
              </w:rPr>
              <w:t xml:space="preserve"> Nr. 851 “</w:t>
            </w:r>
            <w:r w:rsidRPr="00330021">
              <w:rPr>
                <w:rFonts w:ascii="Times New Roman" w:eastAsia="Times New Roman" w:hAnsi="Times New Roman" w:cs="Times New Roman"/>
                <w:sz w:val="24"/>
                <w:szCs w:val="24"/>
                <w:lang w:eastAsia="lv-LV"/>
              </w:rPr>
              <w:t>Noteikumi par zemāko mēnešalgu un speciāl</w:t>
            </w:r>
            <w:r>
              <w:rPr>
                <w:rFonts w:ascii="Times New Roman" w:eastAsia="Times New Roman" w:hAnsi="Times New Roman" w:cs="Times New Roman"/>
                <w:sz w:val="24"/>
                <w:szCs w:val="24"/>
                <w:lang w:eastAsia="lv-LV"/>
              </w:rPr>
              <w:t>o piemaksu  veselības aprūpes jomā nodarbinātajiem</w:t>
            </w:r>
            <w:r w:rsidRPr="007F68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sākotnējās ietekmes novērtējuma ziņojumā (anotācijā).</w:t>
            </w:r>
          </w:p>
        </w:tc>
      </w:tr>
      <w:tr w:rsidR="00EF4F7D" w:rsidRPr="009A75D6" w14:paraId="31236444" w14:textId="77777777" w:rsidTr="009C54EC">
        <w:tc>
          <w:tcPr>
            <w:tcW w:w="1985" w:type="dxa"/>
          </w:tcPr>
          <w:p w14:paraId="7327D947"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6.1. detalizēts ieņēmumu aprēķins</w:t>
            </w:r>
          </w:p>
        </w:tc>
        <w:tc>
          <w:tcPr>
            <w:tcW w:w="7938" w:type="dxa"/>
            <w:gridSpan w:val="7"/>
            <w:vMerge/>
          </w:tcPr>
          <w:p w14:paraId="5AC776BF" w14:textId="77777777" w:rsidR="00EF4F7D" w:rsidRPr="00784065" w:rsidRDefault="00EF4F7D" w:rsidP="00EF4F7D">
            <w:pPr>
              <w:pStyle w:val="tvhtml"/>
              <w:spacing w:before="0" w:beforeAutospacing="0" w:after="0" w:afterAutospacing="0" w:line="293" w:lineRule="atLeast"/>
              <w:jc w:val="center"/>
              <w:rPr>
                <w:highlight w:val="yellow"/>
              </w:rPr>
            </w:pPr>
          </w:p>
        </w:tc>
      </w:tr>
      <w:tr w:rsidR="00EF4F7D" w:rsidRPr="009A75D6" w14:paraId="42AFC304" w14:textId="77777777" w:rsidTr="009C54EC">
        <w:tc>
          <w:tcPr>
            <w:tcW w:w="1985" w:type="dxa"/>
          </w:tcPr>
          <w:p w14:paraId="35CA473E"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6.2. detalizēts izdevumu aprēķins</w:t>
            </w:r>
          </w:p>
        </w:tc>
        <w:tc>
          <w:tcPr>
            <w:tcW w:w="7938" w:type="dxa"/>
            <w:gridSpan w:val="7"/>
            <w:vMerge/>
          </w:tcPr>
          <w:p w14:paraId="2C1BD464" w14:textId="77777777" w:rsidR="00EF4F7D" w:rsidRPr="00784065" w:rsidRDefault="00EF4F7D" w:rsidP="00EF4F7D">
            <w:pPr>
              <w:pStyle w:val="tvhtml"/>
              <w:spacing w:before="0" w:beforeAutospacing="0" w:after="0" w:afterAutospacing="0" w:line="293" w:lineRule="atLeast"/>
              <w:jc w:val="center"/>
              <w:rPr>
                <w:highlight w:val="yellow"/>
              </w:rPr>
            </w:pPr>
          </w:p>
        </w:tc>
      </w:tr>
      <w:tr w:rsidR="00EF4F7D" w:rsidRPr="009A75D6" w14:paraId="3568C3C9" w14:textId="77777777" w:rsidTr="009C54EC">
        <w:tc>
          <w:tcPr>
            <w:tcW w:w="1985" w:type="dxa"/>
          </w:tcPr>
          <w:p w14:paraId="6BD93D41"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7. Amata vietu skaita</w:t>
            </w:r>
          </w:p>
          <w:p w14:paraId="080FC76D"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izmaiņas</w:t>
            </w:r>
          </w:p>
        </w:tc>
        <w:tc>
          <w:tcPr>
            <w:tcW w:w="7938" w:type="dxa"/>
            <w:gridSpan w:val="7"/>
          </w:tcPr>
          <w:p w14:paraId="606247C9" w14:textId="77777777" w:rsidR="00EF4F7D" w:rsidRPr="00DA3082" w:rsidRDefault="00EF4F7D" w:rsidP="00EF4F7D">
            <w:pPr>
              <w:pStyle w:val="tvhtml"/>
              <w:spacing w:before="0" w:beforeAutospacing="0" w:after="0" w:afterAutospacing="0" w:line="293" w:lineRule="atLeast"/>
              <w:jc w:val="both"/>
            </w:pPr>
            <w:r>
              <w:t>Nav</w:t>
            </w:r>
          </w:p>
        </w:tc>
      </w:tr>
      <w:tr w:rsidR="00EF4F7D" w:rsidRPr="009A75D6" w14:paraId="75449EB1" w14:textId="77777777" w:rsidTr="009C54EC">
        <w:trPr>
          <w:trHeight w:val="555"/>
        </w:trPr>
        <w:tc>
          <w:tcPr>
            <w:tcW w:w="1985" w:type="dxa"/>
            <w:hideMark/>
          </w:tcPr>
          <w:p w14:paraId="0F2BC0BA" w14:textId="77777777" w:rsidR="00EF4F7D" w:rsidRPr="00A5325C" w:rsidRDefault="00EF4F7D" w:rsidP="00EF4F7D">
            <w:pPr>
              <w:rPr>
                <w:rFonts w:ascii="Times New Roman" w:hAnsi="Times New Roman" w:cs="Times New Roman"/>
              </w:rPr>
            </w:pPr>
            <w:r w:rsidRPr="00A5325C">
              <w:rPr>
                <w:rFonts w:ascii="Times New Roman" w:hAnsi="Times New Roman" w:cs="Times New Roman"/>
              </w:rPr>
              <w:t>8. Cita informācija</w:t>
            </w:r>
          </w:p>
        </w:tc>
        <w:tc>
          <w:tcPr>
            <w:tcW w:w="7938" w:type="dxa"/>
            <w:gridSpan w:val="7"/>
            <w:hideMark/>
          </w:tcPr>
          <w:p w14:paraId="09C4CDC7" w14:textId="314714D0" w:rsidR="00EF4F7D" w:rsidRPr="00896072" w:rsidRDefault="00EF4F7D" w:rsidP="005E3079">
            <w:pPr>
              <w:tabs>
                <w:tab w:val="left" w:pos="7543"/>
              </w:tabs>
              <w:spacing w:before="40" w:after="40"/>
              <w:ind w:right="135"/>
              <w:jc w:val="both"/>
              <w:rPr>
                <w:rFonts w:ascii="Times New Roman" w:hAnsi="Times New Roman" w:cs="Times New Roman"/>
                <w:color w:val="2A2A2A"/>
                <w:sz w:val="24"/>
                <w:szCs w:val="24"/>
                <w:shd w:val="clear" w:color="auto" w:fill="FFFFFF"/>
              </w:rPr>
            </w:pPr>
            <w:r w:rsidRPr="00896072">
              <w:rPr>
                <w:rFonts w:ascii="Times New Roman" w:hAnsi="Times New Roman" w:cs="Times New Roman"/>
                <w:sz w:val="24"/>
                <w:szCs w:val="24"/>
              </w:rPr>
              <w:t xml:space="preserve">2018.gada 18.decembra Ministru kabineta sēdes protokola Nr.60 </w:t>
            </w:r>
            <w:r w:rsidRPr="00896072">
              <w:rPr>
                <w:rFonts w:ascii="Times New Roman" w:hAnsi="Times New Roman" w:cs="Times New Roman"/>
                <w:sz w:val="24"/>
                <w:szCs w:val="24"/>
                <w:shd w:val="clear" w:color="auto" w:fill="FFFFFF"/>
              </w:rPr>
              <w:t>88. §</w:t>
            </w:r>
            <w:r>
              <w:rPr>
                <w:rFonts w:ascii="Times New Roman" w:hAnsi="Times New Roman" w:cs="Times New Roman"/>
                <w:sz w:val="24"/>
                <w:szCs w:val="24"/>
                <w:shd w:val="clear" w:color="auto" w:fill="FFFFFF"/>
              </w:rPr>
              <w:t xml:space="preserve"> “Noteikumu projekts “Noteikumi par</w:t>
            </w:r>
            <w:r w:rsidR="00683F4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zemāko mēnešalgu un speciālo piemaksu ārstniecības personām””</w:t>
            </w:r>
            <w:r w:rsidRPr="00896072">
              <w:rPr>
                <w:rFonts w:ascii="Times New Roman" w:hAnsi="Times New Roman" w:cs="Times New Roman"/>
                <w:sz w:val="24"/>
                <w:szCs w:val="24"/>
                <w:shd w:val="clear" w:color="auto" w:fill="FFFFFF"/>
              </w:rPr>
              <w:t xml:space="preserve"> (turpmāk – protokols Nr.60</w:t>
            </w:r>
            <w:r>
              <w:rPr>
                <w:rFonts w:ascii="Times New Roman" w:hAnsi="Times New Roman" w:cs="Times New Roman"/>
                <w:sz w:val="24"/>
                <w:szCs w:val="24"/>
                <w:shd w:val="clear" w:color="auto" w:fill="FFFFFF"/>
              </w:rPr>
              <w:t xml:space="preserve">) 5.punkts paredz </w:t>
            </w:r>
            <w:r w:rsidRPr="00896072">
              <w:rPr>
                <w:rFonts w:ascii="Times New Roman" w:hAnsi="Times New Roman" w:cs="Times New Roman"/>
                <w:color w:val="2A2A2A"/>
                <w:sz w:val="24"/>
                <w:szCs w:val="24"/>
                <w:shd w:val="clear" w:color="auto" w:fill="FFFFFF"/>
              </w:rPr>
              <w:t xml:space="preserve">piešķirt papildu </w:t>
            </w:r>
            <w:r w:rsidR="00AE5745">
              <w:rPr>
                <w:rFonts w:ascii="Times New Roman" w:hAnsi="Times New Roman" w:cs="Times New Roman"/>
                <w:color w:val="2A2A2A"/>
                <w:sz w:val="24"/>
                <w:szCs w:val="24"/>
                <w:shd w:val="clear" w:color="auto" w:fill="FFFFFF"/>
              </w:rPr>
              <w:t>finansējumu noteikumu projektā “</w:t>
            </w:r>
            <w:r w:rsidRPr="00896072">
              <w:rPr>
                <w:rFonts w:ascii="Times New Roman" w:hAnsi="Times New Roman" w:cs="Times New Roman"/>
                <w:color w:val="2A2A2A"/>
                <w:sz w:val="24"/>
                <w:szCs w:val="24"/>
                <w:shd w:val="clear" w:color="auto" w:fill="FFFFFF"/>
              </w:rPr>
              <w:t>Noteikumi par zemāko mēnešalgu un speciālo piemaksu vesel</w:t>
            </w:r>
            <w:r w:rsidR="00AE5745">
              <w:rPr>
                <w:rFonts w:ascii="Times New Roman" w:hAnsi="Times New Roman" w:cs="Times New Roman"/>
                <w:color w:val="2A2A2A"/>
                <w:sz w:val="24"/>
                <w:szCs w:val="24"/>
                <w:shd w:val="clear" w:color="auto" w:fill="FFFFFF"/>
              </w:rPr>
              <w:t>ības aprūpes jomā nodarbinātiem”</w:t>
            </w:r>
            <w:r w:rsidRPr="00896072">
              <w:rPr>
                <w:rFonts w:ascii="Times New Roman" w:hAnsi="Times New Roman" w:cs="Times New Roman"/>
                <w:color w:val="2A2A2A"/>
                <w:sz w:val="24"/>
                <w:szCs w:val="24"/>
                <w:shd w:val="clear" w:color="auto" w:fill="FFFFFF"/>
              </w:rPr>
              <w:t xml:space="preserve"> un Minist</w:t>
            </w:r>
            <w:r w:rsidR="004F58CB">
              <w:rPr>
                <w:rFonts w:ascii="Times New Roman" w:hAnsi="Times New Roman" w:cs="Times New Roman"/>
                <w:color w:val="2A2A2A"/>
                <w:sz w:val="24"/>
                <w:szCs w:val="24"/>
                <w:shd w:val="clear" w:color="auto" w:fill="FFFFFF"/>
              </w:rPr>
              <w:t xml:space="preserve">ru kabineta </w:t>
            </w:r>
            <w:r w:rsidR="004F58CB">
              <w:rPr>
                <w:rFonts w:ascii="Times New Roman" w:hAnsi="Times New Roman" w:cs="Times New Roman"/>
                <w:color w:val="2A2A2A"/>
                <w:sz w:val="24"/>
                <w:szCs w:val="24"/>
                <w:shd w:val="clear" w:color="auto" w:fill="FFFFFF"/>
              </w:rPr>
              <w:lastRenderedPageBreak/>
              <w:t>noteikumu projektā “</w:t>
            </w:r>
            <w:r w:rsidRPr="00896072">
              <w:rPr>
                <w:rFonts w:ascii="Times New Roman" w:hAnsi="Times New Roman" w:cs="Times New Roman"/>
                <w:color w:val="2A2A2A"/>
                <w:sz w:val="24"/>
                <w:szCs w:val="24"/>
                <w:shd w:val="clear" w:color="auto" w:fill="FFFFFF"/>
              </w:rPr>
              <w:t>Grozījumi Ministru kabineta 2018.gad</w:t>
            </w:r>
            <w:r w:rsidR="004F58CB">
              <w:rPr>
                <w:rFonts w:ascii="Times New Roman" w:hAnsi="Times New Roman" w:cs="Times New Roman"/>
                <w:color w:val="2A2A2A"/>
                <w:sz w:val="24"/>
                <w:szCs w:val="24"/>
                <w:shd w:val="clear" w:color="auto" w:fill="FFFFFF"/>
              </w:rPr>
              <w:t>a 28.augusta noteikumos Nr.555 “</w:t>
            </w:r>
            <w:r w:rsidRPr="00896072">
              <w:rPr>
                <w:rFonts w:ascii="Times New Roman" w:hAnsi="Times New Roman" w:cs="Times New Roman"/>
                <w:color w:val="2A2A2A"/>
                <w:sz w:val="24"/>
                <w:szCs w:val="24"/>
                <w:shd w:val="clear" w:color="auto" w:fill="FFFFFF"/>
              </w:rPr>
              <w:t>Veselības aprūpes pakalpojumu org</w:t>
            </w:r>
            <w:r w:rsidR="004F58CB">
              <w:rPr>
                <w:rFonts w:ascii="Times New Roman" w:hAnsi="Times New Roman" w:cs="Times New Roman"/>
                <w:color w:val="2A2A2A"/>
                <w:sz w:val="24"/>
                <w:szCs w:val="24"/>
                <w:shd w:val="clear" w:color="auto" w:fill="FFFFFF"/>
              </w:rPr>
              <w:t>anizēšanas un samaksas kārtība””</w:t>
            </w:r>
            <w:r w:rsidRPr="00896072">
              <w:rPr>
                <w:rFonts w:ascii="Times New Roman" w:hAnsi="Times New Roman" w:cs="Times New Roman"/>
                <w:color w:val="2A2A2A"/>
                <w:sz w:val="24"/>
                <w:szCs w:val="24"/>
                <w:shd w:val="clear" w:color="auto" w:fill="FFFFFF"/>
              </w:rPr>
              <w:t xml:space="preserve"> paredzētajam darba samaksas pieaugumam ārstniecības personām, tai skaitā rezidentiem, pārējam personālam valsts apmaksāto veselības aprūpes pakalpojumu sniegšanas nodrošināšanai, kas nav ārstniecības personas (integrēšanai tarifos), reģistru uzturēšanā un metodiski organizatoriskā darbā iesaistītām ārstniecības personām un neatliekamās medicīniskās palīdzības brigādes operatīvā medicīniskā transportlīdzekļa vadītājiem 2019.gadam un turpmāk ik gadu 83</w:t>
            </w:r>
            <w:r>
              <w:rPr>
                <w:rFonts w:ascii="Times New Roman" w:hAnsi="Times New Roman" w:cs="Times New Roman"/>
                <w:color w:val="2A2A2A"/>
                <w:sz w:val="24"/>
                <w:szCs w:val="24"/>
                <w:shd w:val="clear" w:color="auto" w:fill="FFFFFF"/>
              </w:rPr>
              <w:t xml:space="preserve"> 315 880 </w:t>
            </w:r>
            <w:proofErr w:type="spellStart"/>
            <w:r w:rsidRPr="007B1772">
              <w:rPr>
                <w:rFonts w:ascii="Times New Roman" w:hAnsi="Times New Roman" w:cs="Times New Roman"/>
                <w:i/>
                <w:color w:val="2A2A2A"/>
                <w:sz w:val="24"/>
                <w:szCs w:val="24"/>
                <w:shd w:val="clear" w:color="auto" w:fill="FFFFFF"/>
              </w:rPr>
              <w:t>euro</w:t>
            </w:r>
            <w:proofErr w:type="spellEnd"/>
            <w:r w:rsidRPr="00896072">
              <w:rPr>
                <w:rFonts w:ascii="Times New Roman" w:hAnsi="Times New Roman" w:cs="Times New Roman"/>
                <w:color w:val="2A2A2A"/>
                <w:sz w:val="24"/>
                <w:szCs w:val="24"/>
                <w:shd w:val="clear" w:color="auto" w:fill="FFFFFF"/>
              </w:rPr>
              <w:t xml:space="preserve"> apmērā, tai skaitā:</w:t>
            </w:r>
          </w:p>
          <w:p w14:paraId="363AFA94" w14:textId="2B179C81" w:rsidR="00EF4F7D" w:rsidRPr="00896072" w:rsidRDefault="00EF4F7D" w:rsidP="005E3079">
            <w:pPr>
              <w:tabs>
                <w:tab w:val="left" w:pos="7543"/>
              </w:tabs>
              <w:spacing w:before="40" w:after="40"/>
              <w:ind w:right="135"/>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protokola Nr.60 5.1.2. apakšpunkts paredz, ka 2 226 823 </w:t>
            </w:r>
            <w:proofErr w:type="spellStart"/>
            <w:r w:rsidRPr="007B1772">
              <w:rPr>
                <w:rFonts w:ascii="Times New Roman" w:hAnsi="Times New Roman" w:cs="Times New Roman"/>
                <w:i/>
                <w:color w:val="2A2A2A"/>
                <w:sz w:val="24"/>
                <w:szCs w:val="24"/>
                <w:shd w:val="clear" w:color="auto" w:fill="FFFFFF"/>
              </w:rPr>
              <w:t>euro</w:t>
            </w:r>
            <w:proofErr w:type="spellEnd"/>
            <w:r w:rsidRPr="00896072">
              <w:rPr>
                <w:rFonts w:ascii="Times New Roman" w:hAnsi="Times New Roman" w:cs="Times New Roman"/>
                <w:color w:val="2A2A2A"/>
                <w:sz w:val="24"/>
                <w:szCs w:val="24"/>
                <w:shd w:val="clear" w:color="auto" w:fill="FFFFFF"/>
              </w:rPr>
              <w:t xml:space="preserve"> izdevumiem valsts budžeta </w:t>
            </w:r>
            <w:proofErr w:type="spellStart"/>
            <w:r w:rsidRPr="00896072">
              <w:rPr>
                <w:rFonts w:ascii="Times New Roman" w:hAnsi="Times New Roman" w:cs="Times New Roman"/>
                <w:color w:val="2A2A2A"/>
                <w:sz w:val="24"/>
                <w:szCs w:val="24"/>
                <w:shd w:val="clear" w:color="auto" w:fill="FFFFFF"/>
              </w:rPr>
              <w:t>transfertiem</w:t>
            </w:r>
            <w:proofErr w:type="spellEnd"/>
            <w:r w:rsidRPr="00896072">
              <w:rPr>
                <w:rFonts w:ascii="Times New Roman" w:hAnsi="Times New Roman" w:cs="Times New Roman"/>
                <w:color w:val="2A2A2A"/>
                <w:sz w:val="24"/>
                <w:szCs w:val="24"/>
                <w:shd w:val="clear" w:color="auto" w:fill="FFFFFF"/>
              </w:rPr>
              <w:t xml:space="preserve"> valsts budžeta daļēji finansētām atvasinātām publiskām personām un budžeta nefinansētām iestādēm noteiktam mērķim bu</w:t>
            </w:r>
            <w:r w:rsidR="004F58CB">
              <w:rPr>
                <w:rFonts w:ascii="Times New Roman" w:hAnsi="Times New Roman" w:cs="Times New Roman"/>
                <w:color w:val="2A2A2A"/>
                <w:sz w:val="24"/>
                <w:szCs w:val="24"/>
                <w:shd w:val="clear" w:color="auto" w:fill="FFFFFF"/>
              </w:rPr>
              <w:t>džeta apakšprogrammai 02.04.00 “Rezidentu apmācība”</w:t>
            </w:r>
            <w:r w:rsidRPr="00896072">
              <w:rPr>
                <w:rFonts w:ascii="Times New Roman" w:hAnsi="Times New Roman" w:cs="Times New Roman"/>
                <w:color w:val="2A2A2A"/>
                <w:sz w:val="24"/>
                <w:szCs w:val="24"/>
                <w:shd w:val="clear" w:color="auto" w:fill="FFFFFF"/>
              </w:rPr>
              <w:t>.</w:t>
            </w:r>
          </w:p>
          <w:p w14:paraId="19894E31" w14:textId="2649CA33" w:rsidR="00EF4F7D" w:rsidRPr="007B1772" w:rsidRDefault="00EF4F7D" w:rsidP="005E3079">
            <w:pPr>
              <w:tabs>
                <w:tab w:val="left" w:pos="7543"/>
              </w:tabs>
              <w:spacing w:before="40" w:after="40"/>
              <w:ind w:right="135"/>
              <w:jc w:val="both"/>
              <w:rPr>
                <w:rFonts w:ascii="Times New Roman" w:hAnsi="Times New Roman" w:cs="Times New Roman"/>
                <w:color w:val="2A2A2A"/>
                <w:sz w:val="24"/>
                <w:szCs w:val="24"/>
                <w:shd w:val="clear" w:color="auto" w:fill="FFFFFF"/>
              </w:rPr>
            </w:pPr>
            <w:r w:rsidRPr="007B1772">
              <w:rPr>
                <w:rFonts w:ascii="Times New Roman" w:hAnsi="Times New Roman" w:cs="Times New Roman"/>
                <w:color w:val="2A2A2A"/>
                <w:sz w:val="24"/>
                <w:szCs w:val="24"/>
                <w:shd w:val="clear" w:color="auto" w:fill="FFFFFF"/>
              </w:rPr>
              <w:t>Vienlaikus informējam, ka</w:t>
            </w:r>
            <w:r>
              <w:rPr>
                <w:rFonts w:ascii="Times New Roman" w:hAnsi="Times New Roman" w:cs="Times New Roman"/>
                <w:color w:val="2A2A2A"/>
                <w:sz w:val="24"/>
                <w:szCs w:val="24"/>
                <w:shd w:val="clear" w:color="auto" w:fill="FFFFFF"/>
              </w:rPr>
              <w:t xml:space="preserve"> protokola Nr.60 6.punkts paredz</w:t>
            </w:r>
            <w:r w:rsidRPr="007B1772">
              <w:rPr>
                <w:rFonts w:ascii="Times New Roman" w:hAnsi="Times New Roman" w:cs="Times New Roman"/>
                <w:color w:val="2A2A2A"/>
                <w:sz w:val="24"/>
                <w:szCs w:val="24"/>
                <w:shd w:val="clear" w:color="auto" w:fill="FFFFFF"/>
              </w:rPr>
              <w:t xml:space="preserve"> piešķirt papildu finansējumu plānotajam darba samaksas pieaugumam Veselības ministrijas, </w:t>
            </w:r>
            <w:proofErr w:type="spellStart"/>
            <w:r w:rsidRPr="007B1772">
              <w:rPr>
                <w:rFonts w:ascii="Times New Roman" w:hAnsi="Times New Roman" w:cs="Times New Roman"/>
                <w:color w:val="2A2A2A"/>
                <w:sz w:val="24"/>
                <w:szCs w:val="24"/>
                <w:shd w:val="clear" w:color="auto" w:fill="FFFFFF"/>
              </w:rPr>
              <w:t>Iekšlietu</w:t>
            </w:r>
            <w:proofErr w:type="spellEnd"/>
            <w:r w:rsidRPr="007B1772">
              <w:rPr>
                <w:rFonts w:ascii="Times New Roman" w:hAnsi="Times New Roman" w:cs="Times New Roman"/>
                <w:color w:val="2A2A2A"/>
                <w:sz w:val="24"/>
                <w:szCs w:val="24"/>
                <w:shd w:val="clear" w:color="auto" w:fill="FFFFFF"/>
              </w:rPr>
              <w:t xml:space="preserve"> ministrijas, Labklājības ministrijas un Izglītības un zinātnes ministrijas, citu budžeta resoru padotības iestāžu ārstniecības personām, uz kurām ir attiecināms Valsts un pašvaldību institūciju amatpersonu un darbinieku atlīdzības likumā noteiktās mēnešalgu grupu maksimālās mēnešalgas, tai skaitā saistībā ar pagarinātā normālā darba laika atcelšanu, un Labklājības ministrijas </w:t>
            </w:r>
            <w:proofErr w:type="spellStart"/>
            <w:r w:rsidRPr="007B1772">
              <w:rPr>
                <w:rFonts w:ascii="Times New Roman" w:hAnsi="Times New Roman" w:cs="Times New Roman"/>
                <w:color w:val="2A2A2A"/>
                <w:sz w:val="24"/>
                <w:szCs w:val="24"/>
                <w:shd w:val="clear" w:color="auto" w:fill="FFFFFF"/>
              </w:rPr>
              <w:t>līgumorganizāciju</w:t>
            </w:r>
            <w:proofErr w:type="spellEnd"/>
            <w:r w:rsidRPr="007B1772">
              <w:rPr>
                <w:rFonts w:ascii="Times New Roman" w:hAnsi="Times New Roman" w:cs="Times New Roman"/>
                <w:color w:val="2A2A2A"/>
                <w:sz w:val="24"/>
                <w:szCs w:val="24"/>
                <w:shd w:val="clear" w:color="auto" w:fill="FFFFFF"/>
              </w:rPr>
              <w:t>, kuras sociālos pakalpojumus sniedz uz līguma par valsts pārvaldes deleģēto funkciju izpildi vai publiskā iepirkuma pamata, ārstniecības personām, kuras sniedz valsts apmaksātos veselības aprūpes pakalpojumus, darba samaksas palielinā</w:t>
            </w:r>
            <w:r>
              <w:rPr>
                <w:rFonts w:ascii="Times New Roman" w:hAnsi="Times New Roman" w:cs="Times New Roman"/>
                <w:color w:val="2A2A2A"/>
                <w:sz w:val="24"/>
                <w:szCs w:val="24"/>
                <w:shd w:val="clear" w:color="auto" w:fill="FFFFFF"/>
              </w:rPr>
              <w:t xml:space="preserve">šanai 2019. gadam un turpmāk ik gadu 4 167 828 </w:t>
            </w:r>
            <w:proofErr w:type="spellStart"/>
            <w:r w:rsidRPr="007B1772">
              <w:rPr>
                <w:rFonts w:ascii="Times New Roman" w:hAnsi="Times New Roman" w:cs="Times New Roman"/>
                <w:i/>
                <w:color w:val="2A2A2A"/>
                <w:sz w:val="24"/>
                <w:szCs w:val="24"/>
                <w:shd w:val="clear" w:color="auto" w:fill="FFFFFF"/>
              </w:rPr>
              <w:t>euro</w:t>
            </w:r>
            <w:proofErr w:type="spellEnd"/>
            <w:r w:rsidRPr="007B1772">
              <w:rPr>
                <w:rFonts w:ascii="Times New Roman" w:hAnsi="Times New Roman" w:cs="Times New Roman"/>
                <w:color w:val="2A2A2A"/>
                <w:sz w:val="24"/>
                <w:szCs w:val="24"/>
                <w:shd w:val="clear" w:color="auto" w:fill="FFFFFF"/>
              </w:rPr>
              <w:t xml:space="preserve"> apmērā. </w:t>
            </w:r>
          </w:p>
          <w:p w14:paraId="1C8D56B8" w14:textId="18240839" w:rsidR="00EF4F7D" w:rsidRPr="007B1772" w:rsidRDefault="00EF4F7D" w:rsidP="005E3079">
            <w:pPr>
              <w:tabs>
                <w:tab w:val="left" w:pos="7543"/>
              </w:tabs>
              <w:spacing w:before="40" w:after="40"/>
              <w:ind w:right="135"/>
              <w:jc w:val="both"/>
              <w:rPr>
                <w:rFonts w:ascii="Times New Roman" w:hAnsi="Times New Roman" w:cs="Times New Roman"/>
                <w:color w:val="2A2A2A"/>
                <w:sz w:val="24"/>
                <w:szCs w:val="24"/>
                <w:shd w:val="clear" w:color="auto" w:fill="FFFFFF"/>
              </w:rPr>
            </w:pPr>
            <w:r w:rsidRPr="007B1772">
              <w:rPr>
                <w:rFonts w:ascii="Times New Roman" w:hAnsi="Times New Roman" w:cs="Times New Roman"/>
                <w:color w:val="2A2A2A"/>
                <w:sz w:val="24"/>
                <w:szCs w:val="24"/>
                <w:shd w:val="clear" w:color="auto" w:fill="FFFFFF"/>
              </w:rPr>
              <w:t>Tāpat atbilsto</w:t>
            </w:r>
            <w:r>
              <w:rPr>
                <w:rFonts w:ascii="Times New Roman" w:hAnsi="Times New Roman" w:cs="Times New Roman"/>
                <w:color w:val="2A2A2A"/>
                <w:sz w:val="24"/>
                <w:szCs w:val="24"/>
                <w:shd w:val="clear" w:color="auto" w:fill="FFFFFF"/>
              </w:rPr>
              <w:t xml:space="preserve">ši </w:t>
            </w:r>
            <w:r w:rsidRPr="007B1772">
              <w:rPr>
                <w:rFonts w:ascii="Times New Roman" w:hAnsi="Times New Roman" w:cs="Times New Roman"/>
                <w:color w:val="2A2A2A"/>
                <w:sz w:val="24"/>
                <w:szCs w:val="24"/>
                <w:shd w:val="clear" w:color="auto" w:fill="FFFFFF"/>
              </w:rPr>
              <w:t xml:space="preserve"> protokola </w:t>
            </w:r>
            <w:r>
              <w:rPr>
                <w:rFonts w:ascii="Times New Roman" w:hAnsi="Times New Roman" w:cs="Times New Roman"/>
                <w:color w:val="2A2A2A"/>
                <w:sz w:val="24"/>
                <w:szCs w:val="24"/>
                <w:shd w:val="clear" w:color="auto" w:fill="FFFFFF"/>
              </w:rPr>
              <w:t>Nr.60 7.punkts paredz</w:t>
            </w:r>
            <w:r w:rsidRPr="007B1772">
              <w:rPr>
                <w:rFonts w:ascii="Times New Roman" w:hAnsi="Times New Roman" w:cs="Times New Roman"/>
                <w:color w:val="2A2A2A"/>
                <w:sz w:val="24"/>
                <w:szCs w:val="24"/>
                <w:shd w:val="clear" w:color="auto" w:fill="FFFFFF"/>
              </w:rPr>
              <w:t xml:space="preserve">, atļaut </w:t>
            </w:r>
            <w:r>
              <w:rPr>
                <w:rFonts w:ascii="Times New Roman" w:hAnsi="Times New Roman" w:cs="Times New Roman"/>
                <w:color w:val="2A2A2A"/>
                <w:sz w:val="24"/>
                <w:szCs w:val="24"/>
                <w:shd w:val="clear" w:color="auto" w:fill="FFFFFF"/>
              </w:rPr>
              <w:t>protokola Nr.60</w:t>
            </w:r>
            <w:r w:rsidRPr="007B1772">
              <w:rPr>
                <w:rFonts w:ascii="Times New Roman" w:hAnsi="Times New Roman" w:cs="Times New Roman"/>
                <w:color w:val="2A2A2A"/>
                <w:sz w:val="24"/>
                <w:szCs w:val="24"/>
                <w:shd w:val="clear" w:color="auto" w:fill="FFFFFF"/>
              </w:rPr>
              <w:t xml:space="preserve"> 5. un 6.punktā minētajām ministrijām un budžeta resoriem uzņemties saistības darba samaksas palielināšanai ar 2019.gada 1.janvāri atbilstoši tajos minētajam finanšu apjomam. Kā </w:t>
            </w:r>
            <w:r>
              <w:rPr>
                <w:rFonts w:ascii="Times New Roman" w:hAnsi="Times New Roman" w:cs="Times New Roman"/>
                <w:color w:val="2A2A2A"/>
                <w:sz w:val="24"/>
                <w:szCs w:val="24"/>
                <w:shd w:val="clear" w:color="auto" w:fill="FFFFFF"/>
              </w:rPr>
              <w:t>arī</w:t>
            </w:r>
            <w:r w:rsidRPr="007B1772">
              <w:rPr>
                <w:rFonts w:ascii="Times New Roman" w:hAnsi="Times New Roman" w:cs="Times New Roman"/>
                <w:color w:val="2A2A2A"/>
                <w:sz w:val="24"/>
                <w:szCs w:val="24"/>
                <w:shd w:val="clear" w:color="auto" w:fill="FFFFFF"/>
              </w:rPr>
              <w:t xml:space="preserve"> protokola</w:t>
            </w:r>
            <w:r>
              <w:rPr>
                <w:rFonts w:ascii="Times New Roman" w:hAnsi="Times New Roman" w:cs="Times New Roman"/>
                <w:color w:val="2A2A2A"/>
                <w:sz w:val="24"/>
                <w:szCs w:val="24"/>
                <w:shd w:val="clear" w:color="auto" w:fill="FFFFFF"/>
              </w:rPr>
              <w:t xml:space="preserve"> Nr.60 8.punkts paredz</w:t>
            </w:r>
            <w:r w:rsidRPr="007B1772">
              <w:rPr>
                <w:rFonts w:ascii="Times New Roman" w:hAnsi="Times New Roman" w:cs="Times New Roman"/>
                <w:color w:val="2A2A2A"/>
                <w:sz w:val="24"/>
                <w:szCs w:val="24"/>
                <w:shd w:val="clear" w:color="auto" w:fill="FFFFFF"/>
              </w:rPr>
              <w:t>, ka  papildu nepieciešamo finansējumu 2019.gadam un turpmāk ik gad</w:t>
            </w:r>
            <w:r>
              <w:rPr>
                <w:rFonts w:ascii="Times New Roman" w:hAnsi="Times New Roman" w:cs="Times New Roman"/>
                <w:color w:val="2A2A2A"/>
                <w:sz w:val="24"/>
                <w:szCs w:val="24"/>
                <w:shd w:val="clear" w:color="auto" w:fill="FFFFFF"/>
              </w:rPr>
              <w:t>u protokola Nr.60</w:t>
            </w:r>
            <w:r w:rsidRPr="007B1772">
              <w:rPr>
                <w:rFonts w:ascii="Times New Roman" w:hAnsi="Times New Roman" w:cs="Times New Roman"/>
                <w:color w:val="2A2A2A"/>
                <w:sz w:val="24"/>
                <w:szCs w:val="24"/>
                <w:shd w:val="clear" w:color="auto" w:fill="FFFFFF"/>
              </w:rPr>
              <w:t xml:space="preserve"> 5. un 6.punktā minētā apmērā darba samaksas palielināšanai ar 2019.gada 1.</w:t>
            </w:r>
            <w:r w:rsidR="004F58CB">
              <w:rPr>
                <w:rFonts w:ascii="Times New Roman" w:hAnsi="Times New Roman" w:cs="Times New Roman"/>
                <w:color w:val="2A2A2A"/>
                <w:sz w:val="24"/>
                <w:szCs w:val="24"/>
                <w:shd w:val="clear" w:color="auto" w:fill="FFFFFF"/>
              </w:rPr>
              <w:t>janvāri piešķirt likumprojekta “Par valsts budžetu 2019.gadam”</w:t>
            </w:r>
            <w:r w:rsidRPr="007B1772">
              <w:rPr>
                <w:rFonts w:ascii="Times New Roman" w:hAnsi="Times New Roman" w:cs="Times New Roman"/>
                <w:color w:val="2A2A2A"/>
                <w:sz w:val="24"/>
                <w:szCs w:val="24"/>
                <w:shd w:val="clear" w:color="auto" w:fill="FFFFFF"/>
              </w:rPr>
              <w:t xml:space="preserve"> un likump</w:t>
            </w:r>
            <w:r w:rsidR="004F58CB">
              <w:rPr>
                <w:rFonts w:ascii="Times New Roman" w:hAnsi="Times New Roman" w:cs="Times New Roman"/>
                <w:color w:val="2A2A2A"/>
                <w:sz w:val="24"/>
                <w:szCs w:val="24"/>
                <w:shd w:val="clear" w:color="auto" w:fill="FFFFFF"/>
              </w:rPr>
              <w:t>rojekta “</w:t>
            </w:r>
            <w:r w:rsidRPr="007B1772">
              <w:rPr>
                <w:rFonts w:ascii="Times New Roman" w:hAnsi="Times New Roman" w:cs="Times New Roman"/>
                <w:color w:val="2A2A2A"/>
                <w:sz w:val="24"/>
                <w:szCs w:val="24"/>
                <w:shd w:val="clear" w:color="auto" w:fill="FFFFFF"/>
              </w:rPr>
              <w:t>Par vidēja termiņa budžeta iet</w:t>
            </w:r>
            <w:r w:rsidR="004F58CB">
              <w:rPr>
                <w:rFonts w:ascii="Times New Roman" w:hAnsi="Times New Roman" w:cs="Times New Roman"/>
                <w:color w:val="2A2A2A"/>
                <w:sz w:val="24"/>
                <w:szCs w:val="24"/>
                <w:shd w:val="clear" w:color="auto" w:fill="FFFFFF"/>
              </w:rPr>
              <w:t>varu 2019., 2020. un 2021.gadam”</w:t>
            </w:r>
            <w:r w:rsidRPr="007B1772">
              <w:rPr>
                <w:rFonts w:ascii="Times New Roman" w:hAnsi="Times New Roman" w:cs="Times New Roman"/>
                <w:color w:val="2A2A2A"/>
                <w:sz w:val="24"/>
                <w:szCs w:val="24"/>
                <w:shd w:val="clear" w:color="auto" w:fill="FFFFFF"/>
              </w:rPr>
              <w:t xml:space="preserve"> sagatavošanas un izskatīšanas procesā un 2019.gada laikā atbilstoši valsts budžeta finansiālajām iespējām. </w:t>
            </w:r>
          </w:p>
        </w:tc>
      </w:tr>
    </w:tbl>
    <w:p w14:paraId="48E09C78" w14:textId="27A5466D" w:rsidR="00A5325C" w:rsidRDefault="00A5325C" w:rsidP="00152DE2">
      <w:pPr>
        <w:shd w:val="clear" w:color="auto" w:fill="FFFFFF"/>
        <w:spacing w:after="0" w:line="240" w:lineRule="auto"/>
        <w:rPr>
          <w:rFonts w:ascii="Times New Roman" w:eastAsia="Times New Roman" w:hAnsi="Times New Roman" w:cs="Times New Roman"/>
          <w:color w:val="414142"/>
          <w:sz w:val="24"/>
          <w:szCs w:val="24"/>
          <w:lang w:eastAsia="lv-LV"/>
        </w:rPr>
      </w:pPr>
    </w:p>
    <w:p w14:paraId="455F1A48" w14:textId="46B9D26B" w:rsidR="00344B1F" w:rsidRDefault="00344B1F" w:rsidP="00344B1F">
      <w:pPr>
        <w:spacing w:after="0" w:line="240" w:lineRule="auto"/>
        <w:rPr>
          <w:rFonts w:ascii="Times New Roman" w:hAnsi="Times New Roman" w:cs="Times New Roman"/>
          <w:iCs/>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175CE3" w14:paraId="63920977" w14:textId="77777777" w:rsidTr="001A2CED">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E1C011" w14:textId="0096298A" w:rsidR="00175CE3" w:rsidRPr="003429ED" w:rsidRDefault="00175CE3" w:rsidP="00175CE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3" w:name="_Hlk534193596"/>
            <w:r w:rsidRPr="00D6578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75CE3" w14:paraId="7D106C5F" w14:textId="77777777" w:rsidTr="001A2CED">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14:paraId="74820A65" w14:textId="77777777"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3BD5C1AC" w14:textId="1E9197D6"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003988">
              <w:rPr>
                <w:rFonts w:ascii="Times New Roman" w:eastAsia="Times New Roman" w:hAnsi="Times New Roman" w:cs="Times New Roman"/>
                <w:iCs/>
                <w:sz w:val="24"/>
                <w:szCs w:val="24"/>
                <w:lang w:eastAsia="lv-LV"/>
              </w:rPr>
              <w:t>Saistītie tiesību aktu projekti</w:t>
            </w:r>
          </w:p>
        </w:tc>
        <w:tc>
          <w:tcPr>
            <w:tcW w:w="3849" w:type="pct"/>
            <w:tcBorders>
              <w:top w:val="outset" w:sz="6" w:space="0" w:color="414142"/>
              <w:left w:val="outset" w:sz="6" w:space="0" w:color="414142"/>
              <w:bottom w:val="outset" w:sz="6" w:space="0" w:color="414142"/>
              <w:right w:val="outset" w:sz="6" w:space="0" w:color="414142"/>
            </w:tcBorders>
          </w:tcPr>
          <w:p w14:paraId="1273BC6D" w14:textId="06C75DC3" w:rsidR="00175CE3" w:rsidRPr="002B1945" w:rsidRDefault="00175CE3" w:rsidP="00175CE3">
            <w:pPr>
              <w:spacing w:after="0" w:line="240" w:lineRule="auto"/>
              <w:ind w:left="118" w:right="123" w:hanging="141"/>
              <w:jc w:val="both"/>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p>
        </w:tc>
      </w:tr>
      <w:tr w:rsidR="00175CE3" w14:paraId="3C7355BB" w14:textId="77777777" w:rsidTr="001A2CED">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7A1A835A" w14:textId="77777777"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14:paraId="662E03DC" w14:textId="58AAB51A" w:rsidR="00175CE3" w:rsidRPr="003429ED" w:rsidRDefault="00175CE3" w:rsidP="00175C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849" w:type="pct"/>
            <w:tcBorders>
              <w:top w:val="outset" w:sz="6" w:space="0" w:color="414142"/>
              <w:left w:val="outset" w:sz="6" w:space="0" w:color="414142"/>
              <w:bottom w:val="outset" w:sz="6" w:space="0" w:color="414142"/>
              <w:right w:val="outset" w:sz="6" w:space="0" w:color="414142"/>
            </w:tcBorders>
          </w:tcPr>
          <w:p w14:paraId="0E570BFB" w14:textId="6F388D60" w:rsidR="00175CE3" w:rsidRPr="002B1945" w:rsidRDefault="00175CE3" w:rsidP="00175C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Veselības ministrija</w:t>
            </w:r>
          </w:p>
        </w:tc>
      </w:tr>
      <w:tr w:rsidR="00175CE3" w14:paraId="1BF1EB14" w14:textId="77777777" w:rsidTr="001A2CED">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78D5FBE1" w14:textId="1477CA72" w:rsidR="00175CE3" w:rsidRPr="003429ED" w:rsidRDefault="00175CE3" w:rsidP="00175C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429ED">
              <w:rPr>
                <w:rFonts w:ascii="Times New Roman" w:eastAsia="Times New Roman" w:hAnsi="Times New Roman" w:cs="Times New Roman"/>
                <w:sz w:val="24"/>
                <w:szCs w:val="24"/>
                <w:lang w:eastAsia="lv-LV"/>
              </w:rPr>
              <w:t>.</w:t>
            </w:r>
          </w:p>
        </w:tc>
        <w:tc>
          <w:tcPr>
            <w:tcW w:w="924" w:type="pct"/>
            <w:tcBorders>
              <w:top w:val="outset" w:sz="6" w:space="0" w:color="414142"/>
              <w:left w:val="outset" w:sz="6" w:space="0" w:color="414142"/>
              <w:bottom w:val="outset" w:sz="6" w:space="0" w:color="414142"/>
              <w:right w:val="outset" w:sz="6" w:space="0" w:color="414142"/>
            </w:tcBorders>
            <w:hideMark/>
          </w:tcPr>
          <w:p w14:paraId="442CEC43" w14:textId="77777777"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0A709432" w14:textId="77777777" w:rsidR="00175CE3" w:rsidRPr="002B1945" w:rsidRDefault="00175CE3" w:rsidP="00175CE3">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Nav</w:t>
            </w:r>
          </w:p>
        </w:tc>
      </w:tr>
      <w:bookmarkEnd w:id="3"/>
    </w:tbl>
    <w:p w14:paraId="52E93D5E" w14:textId="7A8B200F" w:rsidR="00175CE3" w:rsidRDefault="00175CE3" w:rsidP="00344B1F">
      <w:pPr>
        <w:spacing w:after="0" w:line="240" w:lineRule="auto"/>
        <w:rPr>
          <w:rFonts w:ascii="Times New Roman" w:hAnsi="Times New Roman" w:cs="Times New Roman"/>
          <w:iCs/>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096160" w14:paraId="682578C6" w14:textId="77777777" w:rsidTr="005C523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53991A" w14:textId="23D9579E" w:rsidR="00096160" w:rsidRPr="003429ED" w:rsidRDefault="00096160" w:rsidP="005C523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iCs/>
                <w:color w:val="414142"/>
                <w:sz w:val="24"/>
                <w:szCs w:val="24"/>
                <w:lang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096160" w14:paraId="53E9DDDD" w14:textId="77777777" w:rsidTr="005C5236">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14:paraId="0097275D" w14:textId="77777777" w:rsidR="00096160" w:rsidRPr="003429ED" w:rsidRDefault="00096160" w:rsidP="005C5236">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41CDCFAF" w14:textId="468C2BCF" w:rsidR="00096160" w:rsidRPr="008333AC" w:rsidRDefault="00096160" w:rsidP="005C5236">
            <w:pPr>
              <w:spacing w:after="0" w:line="240" w:lineRule="auto"/>
              <w:rPr>
                <w:rFonts w:ascii="Times New Roman" w:eastAsia="Times New Roman" w:hAnsi="Times New Roman" w:cs="Times New Roman"/>
                <w:sz w:val="24"/>
                <w:szCs w:val="24"/>
                <w:lang w:eastAsia="lv-LV"/>
              </w:rPr>
            </w:pPr>
            <w:proofErr w:type="spellStart"/>
            <w:r w:rsidRPr="008333AC">
              <w:rPr>
                <w:rFonts w:ascii="Times New Roman" w:eastAsia="Times New Roman" w:hAnsi="Times New Roman" w:cs="Times New Roman"/>
                <w:iCs/>
                <w:sz w:val="24"/>
                <w:szCs w:val="24"/>
                <w:lang w:val="en-US" w:eastAsia="lv-LV"/>
              </w:rPr>
              <w:t>Saistības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pret</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Eiropas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Savienību</w:t>
            </w:r>
            <w:proofErr w:type="spellEnd"/>
          </w:p>
        </w:tc>
        <w:tc>
          <w:tcPr>
            <w:tcW w:w="3849" w:type="pct"/>
            <w:tcBorders>
              <w:top w:val="outset" w:sz="6" w:space="0" w:color="414142"/>
              <w:left w:val="outset" w:sz="6" w:space="0" w:color="414142"/>
              <w:bottom w:val="outset" w:sz="6" w:space="0" w:color="414142"/>
              <w:right w:val="outset" w:sz="6" w:space="0" w:color="414142"/>
            </w:tcBorders>
          </w:tcPr>
          <w:p w14:paraId="0FA54F8F" w14:textId="77777777" w:rsidR="00096160" w:rsidRPr="002B1945" w:rsidRDefault="00096160" w:rsidP="005C5236">
            <w:pPr>
              <w:spacing w:after="0" w:line="240" w:lineRule="auto"/>
              <w:ind w:left="118" w:right="123" w:hanging="141"/>
              <w:jc w:val="both"/>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p>
        </w:tc>
      </w:tr>
      <w:tr w:rsidR="00096160" w14:paraId="75FC972D" w14:textId="77777777" w:rsidTr="005C5236">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4DF15AF9" w14:textId="77777777" w:rsidR="00096160" w:rsidRPr="003429ED" w:rsidRDefault="00096160" w:rsidP="005C5236">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924" w:type="pct"/>
            <w:tcBorders>
              <w:top w:val="outset" w:sz="6" w:space="0" w:color="414142"/>
              <w:left w:val="outset" w:sz="6" w:space="0" w:color="414142"/>
              <w:bottom w:val="outset" w:sz="6" w:space="0" w:color="414142"/>
              <w:right w:val="outset" w:sz="6" w:space="0" w:color="414142"/>
            </w:tcBorders>
            <w:hideMark/>
          </w:tcPr>
          <w:p w14:paraId="3F3BEDAE" w14:textId="38473D94" w:rsidR="00096160" w:rsidRPr="008333AC" w:rsidRDefault="00096160" w:rsidP="005C5236">
            <w:pPr>
              <w:spacing w:after="0" w:line="240" w:lineRule="auto"/>
              <w:rPr>
                <w:rFonts w:ascii="Times New Roman" w:eastAsia="Times New Roman" w:hAnsi="Times New Roman" w:cs="Times New Roman"/>
                <w:sz w:val="24"/>
                <w:szCs w:val="24"/>
                <w:lang w:eastAsia="lv-LV"/>
              </w:rPr>
            </w:pPr>
            <w:proofErr w:type="spellStart"/>
            <w:r w:rsidRPr="008333AC">
              <w:rPr>
                <w:rFonts w:ascii="Times New Roman" w:eastAsia="Times New Roman" w:hAnsi="Times New Roman" w:cs="Times New Roman"/>
                <w:iCs/>
                <w:sz w:val="24"/>
                <w:szCs w:val="24"/>
                <w:lang w:val="en-US" w:eastAsia="lv-LV"/>
              </w:rPr>
              <w:t>Citas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starptautiskās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saistības</w:t>
            </w:r>
            <w:proofErr w:type="spellEnd"/>
          </w:p>
        </w:tc>
        <w:tc>
          <w:tcPr>
            <w:tcW w:w="3849" w:type="pct"/>
            <w:tcBorders>
              <w:top w:val="outset" w:sz="6" w:space="0" w:color="414142"/>
              <w:left w:val="outset" w:sz="6" w:space="0" w:color="414142"/>
              <w:bottom w:val="outset" w:sz="6" w:space="0" w:color="414142"/>
              <w:right w:val="outset" w:sz="6" w:space="0" w:color="414142"/>
            </w:tcBorders>
          </w:tcPr>
          <w:p w14:paraId="791A0346" w14:textId="6CDDF5CF" w:rsidR="00096160" w:rsidRPr="002B1945" w:rsidRDefault="00096160" w:rsidP="005C523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Nav</w:t>
            </w:r>
          </w:p>
        </w:tc>
      </w:tr>
      <w:tr w:rsidR="00096160" w14:paraId="7B890976" w14:textId="77777777" w:rsidTr="005C5236">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76409833" w14:textId="77777777" w:rsidR="00096160" w:rsidRPr="003429ED" w:rsidRDefault="00096160" w:rsidP="005C52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429ED">
              <w:rPr>
                <w:rFonts w:ascii="Times New Roman" w:eastAsia="Times New Roman" w:hAnsi="Times New Roman" w:cs="Times New Roman"/>
                <w:sz w:val="24"/>
                <w:szCs w:val="24"/>
                <w:lang w:eastAsia="lv-LV"/>
              </w:rPr>
              <w:t>.</w:t>
            </w:r>
          </w:p>
        </w:tc>
        <w:tc>
          <w:tcPr>
            <w:tcW w:w="924" w:type="pct"/>
            <w:tcBorders>
              <w:top w:val="outset" w:sz="6" w:space="0" w:color="414142"/>
              <w:left w:val="outset" w:sz="6" w:space="0" w:color="414142"/>
              <w:bottom w:val="outset" w:sz="6" w:space="0" w:color="414142"/>
              <w:right w:val="outset" w:sz="6" w:space="0" w:color="414142"/>
            </w:tcBorders>
            <w:hideMark/>
          </w:tcPr>
          <w:p w14:paraId="271BCA4D" w14:textId="77777777" w:rsidR="00096160" w:rsidRPr="003429ED" w:rsidRDefault="00096160" w:rsidP="005C5236">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702CA37E" w14:textId="77777777" w:rsidR="00096160" w:rsidRPr="002B1945" w:rsidRDefault="00096160" w:rsidP="005C5236">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Nav</w:t>
            </w:r>
          </w:p>
        </w:tc>
      </w:tr>
    </w:tbl>
    <w:p w14:paraId="602F265C" w14:textId="2F7ED42D" w:rsidR="00096160" w:rsidRDefault="00096160" w:rsidP="00344B1F">
      <w:pPr>
        <w:spacing w:after="0" w:line="240" w:lineRule="auto"/>
        <w:rPr>
          <w:rFonts w:ascii="Times New Roman" w:hAnsi="Times New Roman" w:cs="Times New Roman"/>
          <w:iCs/>
          <w:sz w:val="24"/>
          <w:szCs w:val="24"/>
          <w:lang w:eastAsia="lv-LV"/>
        </w:rPr>
      </w:pPr>
    </w:p>
    <w:p w14:paraId="11793387" w14:textId="77777777" w:rsidR="000A7605" w:rsidRDefault="000A760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8B7E22" w14:paraId="140A6636" w14:textId="77777777" w:rsidTr="00AC021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967B70" w14:textId="77777777" w:rsidR="00894C55" w:rsidRPr="003429ED" w:rsidRDefault="006572D7"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4" w:name="_Hlk534186258"/>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8B7E22" w14:paraId="655940A0" w14:textId="77777777" w:rsidTr="00A93C07">
        <w:trPr>
          <w:trHeight w:val="1965"/>
          <w:jc w:val="center"/>
        </w:trPr>
        <w:tc>
          <w:tcPr>
            <w:tcW w:w="227" w:type="pct"/>
            <w:tcBorders>
              <w:top w:val="outset" w:sz="6" w:space="0" w:color="414142"/>
              <w:left w:val="outset" w:sz="6" w:space="0" w:color="414142"/>
              <w:bottom w:val="outset" w:sz="6" w:space="0" w:color="414142"/>
              <w:right w:val="outset" w:sz="6" w:space="0" w:color="414142"/>
            </w:tcBorders>
            <w:hideMark/>
          </w:tcPr>
          <w:p w14:paraId="6DFFD605"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0AC264B2"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849" w:type="pct"/>
            <w:tcBorders>
              <w:top w:val="outset" w:sz="6" w:space="0" w:color="414142"/>
              <w:left w:val="outset" w:sz="6" w:space="0" w:color="414142"/>
              <w:bottom w:val="outset" w:sz="6" w:space="0" w:color="414142"/>
              <w:right w:val="outset" w:sz="6" w:space="0" w:color="414142"/>
            </w:tcBorders>
          </w:tcPr>
          <w:p w14:paraId="1A75AD3A" w14:textId="3B14B02B" w:rsidR="00FF53FD" w:rsidRDefault="007D300F" w:rsidP="002B1945">
            <w:pPr>
              <w:spacing w:after="0" w:line="240" w:lineRule="auto"/>
              <w:ind w:left="118" w:right="123" w:hanging="141"/>
              <w:jc w:val="both"/>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sidR="004468D7" w:rsidRPr="002B1945">
              <w:rPr>
                <w:rFonts w:ascii="Times New Roman" w:eastAsia="Times New Roman" w:hAnsi="Times New Roman" w:cs="Times New Roman"/>
                <w:sz w:val="24"/>
                <w:szCs w:val="24"/>
                <w:lang w:eastAsia="lv-LV"/>
              </w:rPr>
              <w:t xml:space="preserve"> </w:t>
            </w:r>
            <w:r w:rsidR="00B6136E">
              <w:rPr>
                <w:rFonts w:ascii="Times New Roman" w:eastAsia="Times New Roman" w:hAnsi="Times New Roman" w:cs="Times New Roman"/>
                <w:sz w:val="24"/>
                <w:szCs w:val="24"/>
                <w:lang w:eastAsia="lv-LV"/>
              </w:rPr>
              <w:t xml:space="preserve">Ņemot vērā, ka Noteikumu projektā veikti tehniski precizējumi, lai saskaņotu tos ar Ministru kabineta </w:t>
            </w:r>
            <w:r w:rsidR="00B6136E" w:rsidRPr="00330021">
              <w:rPr>
                <w:rFonts w:ascii="Times New Roman" w:eastAsia="Times New Roman" w:hAnsi="Times New Roman" w:cs="Times New Roman"/>
                <w:sz w:val="24"/>
                <w:szCs w:val="24"/>
                <w:lang w:eastAsia="lv-LV"/>
              </w:rPr>
              <w:t>2018.gada 18.decembra  noteikumiem Nr. 851 “Noteikumi par zemāko mēnešalgu un speciāl</w:t>
            </w:r>
            <w:r w:rsidR="00B6136E">
              <w:rPr>
                <w:rFonts w:ascii="Times New Roman" w:eastAsia="Times New Roman" w:hAnsi="Times New Roman" w:cs="Times New Roman"/>
                <w:sz w:val="24"/>
                <w:szCs w:val="24"/>
                <w:lang w:eastAsia="lv-LV"/>
              </w:rPr>
              <w:t>o piemaksu  veselības aprūpes jomā nodarbinātajiem</w:t>
            </w:r>
            <w:r w:rsidR="00B6136E" w:rsidRPr="00330021">
              <w:rPr>
                <w:rFonts w:ascii="Times New Roman" w:eastAsia="Times New Roman" w:hAnsi="Times New Roman" w:cs="Times New Roman"/>
                <w:sz w:val="24"/>
                <w:szCs w:val="24"/>
                <w:lang w:eastAsia="lv-LV"/>
              </w:rPr>
              <w:t>”</w:t>
            </w:r>
            <w:r w:rsidR="00B6136E">
              <w:rPr>
                <w:rFonts w:ascii="Times New Roman" w:eastAsia="Times New Roman" w:hAnsi="Times New Roman" w:cs="Times New Roman"/>
                <w:sz w:val="24"/>
                <w:szCs w:val="24"/>
                <w:lang w:eastAsia="lv-LV"/>
              </w:rPr>
              <w:t>, sabiedrības iesaiste nav nepieciešama.</w:t>
            </w:r>
          </w:p>
          <w:p w14:paraId="08DDD62B" w14:textId="77777777" w:rsidR="00B6136E" w:rsidRDefault="00B6136E" w:rsidP="002B1945">
            <w:pPr>
              <w:spacing w:after="0" w:line="240" w:lineRule="auto"/>
              <w:ind w:left="118" w:right="123" w:hanging="141"/>
              <w:jc w:val="both"/>
              <w:rPr>
                <w:rFonts w:ascii="Times New Roman" w:eastAsia="Times New Roman" w:hAnsi="Times New Roman" w:cs="Times New Roman"/>
                <w:sz w:val="24"/>
                <w:szCs w:val="24"/>
                <w:lang w:eastAsia="lv-LV"/>
              </w:rPr>
            </w:pPr>
          </w:p>
          <w:p w14:paraId="5BEAD25A" w14:textId="77777777" w:rsidR="00B6136E" w:rsidRDefault="00B6136E" w:rsidP="002B1945">
            <w:pPr>
              <w:spacing w:after="0" w:line="240" w:lineRule="auto"/>
              <w:ind w:left="118" w:right="123" w:hanging="141"/>
              <w:jc w:val="both"/>
              <w:rPr>
                <w:rFonts w:ascii="Times New Roman" w:eastAsia="Times New Roman" w:hAnsi="Times New Roman" w:cs="Times New Roman"/>
                <w:sz w:val="24"/>
                <w:szCs w:val="24"/>
                <w:lang w:eastAsia="lv-LV"/>
              </w:rPr>
            </w:pPr>
          </w:p>
          <w:p w14:paraId="174C067D" w14:textId="77777777" w:rsidR="00B6136E" w:rsidRDefault="00B6136E" w:rsidP="002B1945">
            <w:pPr>
              <w:spacing w:after="0" w:line="240" w:lineRule="auto"/>
              <w:ind w:left="118" w:right="123" w:hanging="141"/>
              <w:jc w:val="both"/>
              <w:rPr>
                <w:rFonts w:ascii="Times New Roman" w:eastAsia="Times New Roman" w:hAnsi="Times New Roman" w:cs="Times New Roman"/>
                <w:sz w:val="24"/>
                <w:szCs w:val="24"/>
                <w:lang w:eastAsia="lv-LV"/>
              </w:rPr>
            </w:pPr>
          </w:p>
          <w:p w14:paraId="5E9DC346" w14:textId="5A94BE0E" w:rsidR="00B6136E" w:rsidRPr="002B1945" w:rsidRDefault="00B6136E" w:rsidP="002B1945">
            <w:pPr>
              <w:spacing w:after="0" w:line="240" w:lineRule="auto"/>
              <w:ind w:left="118" w:right="123" w:hanging="141"/>
              <w:jc w:val="both"/>
              <w:rPr>
                <w:rFonts w:ascii="Times New Roman" w:eastAsia="Times New Roman" w:hAnsi="Times New Roman" w:cs="Times New Roman"/>
                <w:sz w:val="24"/>
                <w:szCs w:val="24"/>
                <w:lang w:eastAsia="lv-LV"/>
              </w:rPr>
            </w:pPr>
          </w:p>
        </w:tc>
      </w:tr>
      <w:tr w:rsidR="008B7E22" w14:paraId="7ACEF56E" w14:textId="77777777" w:rsidTr="009D0AEA">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2C111F0E"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14:paraId="27E12944" w14:textId="77777777"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849" w:type="pct"/>
            <w:tcBorders>
              <w:top w:val="outset" w:sz="6" w:space="0" w:color="414142"/>
              <w:left w:val="outset" w:sz="6" w:space="0" w:color="414142"/>
              <w:bottom w:val="outset" w:sz="6" w:space="0" w:color="414142"/>
              <w:right w:val="outset" w:sz="6" w:space="0" w:color="414142"/>
            </w:tcBorders>
          </w:tcPr>
          <w:p w14:paraId="03F8CCA1" w14:textId="78FBB741" w:rsidR="00FF53FD" w:rsidRPr="002B1945" w:rsidRDefault="00B6136E" w:rsidP="00B6136E">
            <w:pPr>
              <w:spacing w:after="0" w:line="240" w:lineRule="auto"/>
              <w:ind w:left="118" w:right="123" w:firstLine="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Noteikumu projektā veikti tehniski precizējumi, lai saskaņotu tos ar Ministru kabineta </w:t>
            </w:r>
            <w:r w:rsidRPr="00330021">
              <w:rPr>
                <w:rFonts w:ascii="Times New Roman" w:eastAsia="Times New Roman" w:hAnsi="Times New Roman" w:cs="Times New Roman"/>
                <w:sz w:val="24"/>
                <w:szCs w:val="24"/>
                <w:lang w:eastAsia="lv-LV"/>
              </w:rPr>
              <w:t>2018.gada 18.decembra  noteikumiem Nr. 851 “Noteikumi par zemāko mēnešalgu un speciāl</w:t>
            </w:r>
            <w:r>
              <w:rPr>
                <w:rFonts w:ascii="Times New Roman" w:eastAsia="Times New Roman" w:hAnsi="Times New Roman" w:cs="Times New Roman"/>
                <w:sz w:val="24"/>
                <w:szCs w:val="24"/>
                <w:lang w:eastAsia="lv-LV"/>
              </w:rPr>
              <w:t>o piemaksu  veselības aprūpes jomā nodarbinātajiem</w:t>
            </w:r>
            <w:r w:rsidRPr="0033002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sabiedrības iesaiste nav nepieciešama.</w:t>
            </w:r>
          </w:p>
        </w:tc>
      </w:tr>
      <w:tr w:rsidR="008B7E22" w14:paraId="1A594C0D" w14:textId="77777777"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70AA7EF5" w14:textId="77777777"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14:paraId="57D582E6" w14:textId="77777777"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849" w:type="pct"/>
            <w:tcBorders>
              <w:top w:val="outset" w:sz="6" w:space="0" w:color="414142"/>
              <w:left w:val="outset" w:sz="6" w:space="0" w:color="414142"/>
              <w:bottom w:val="outset" w:sz="6" w:space="0" w:color="414142"/>
              <w:right w:val="outset" w:sz="6" w:space="0" w:color="414142"/>
            </w:tcBorders>
          </w:tcPr>
          <w:p w14:paraId="350BA22C" w14:textId="10B3C447" w:rsidR="00F8319C" w:rsidRPr="002B1945" w:rsidRDefault="00B6136E" w:rsidP="00B6136E">
            <w:pPr>
              <w:spacing w:after="0" w:line="240" w:lineRule="auto"/>
              <w:ind w:left="118" w:right="123" w:firstLine="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Noteikumu projektā veikti tehniski precizējumi, lai saskaņotu tos ar Ministru kabineta </w:t>
            </w:r>
            <w:r w:rsidRPr="00330021">
              <w:rPr>
                <w:rFonts w:ascii="Times New Roman" w:eastAsia="Times New Roman" w:hAnsi="Times New Roman" w:cs="Times New Roman"/>
                <w:sz w:val="24"/>
                <w:szCs w:val="24"/>
                <w:lang w:eastAsia="lv-LV"/>
              </w:rPr>
              <w:t>2018.gada 18.decembra  noteikumiem Nr. 851 “Noteikumi par zemāko mēnešalgu un speciāl</w:t>
            </w:r>
            <w:r>
              <w:rPr>
                <w:rFonts w:ascii="Times New Roman" w:eastAsia="Times New Roman" w:hAnsi="Times New Roman" w:cs="Times New Roman"/>
                <w:sz w:val="24"/>
                <w:szCs w:val="24"/>
                <w:lang w:eastAsia="lv-LV"/>
              </w:rPr>
              <w:t>o piemaksu  veselības aprūpes jomā nodarbinātajiem</w:t>
            </w:r>
            <w:r w:rsidRPr="0033002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sabiedrības iesaiste nav nepieciešama.</w:t>
            </w:r>
          </w:p>
        </w:tc>
      </w:tr>
      <w:tr w:rsidR="008B7E22" w14:paraId="507FA124" w14:textId="77777777"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6EC74EEF" w14:textId="77777777"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924" w:type="pct"/>
            <w:tcBorders>
              <w:top w:val="outset" w:sz="6" w:space="0" w:color="414142"/>
              <w:left w:val="outset" w:sz="6" w:space="0" w:color="414142"/>
              <w:bottom w:val="outset" w:sz="6" w:space="0" w:color="414142"/>
              <w:right w:val="outset" w:sz="6" w:space="0" w:color="414142"/>
            </w:tcBorders>
            <w:hideMark/>
          </w:tcPr>
          <w:p w14:paraId="6F2C1A36" w14:textId="77777777"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09F67F55" w14:textId="4F8365E5" w:rsidR="00655340" w:rsidRPr="002B1945" w:rsidRDefault="002B1945" w:rsidP="00655340">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sidR="006572D7" w:rsidRPr="002B1945">
              <w:rPr>
                <w:rFonts w:ascii="Times New Roman" w:eastAsia="Times New Roman" w:hAnsi="Times New Roman" w:cs="Times New Roman"/>
                <w:sz w:val="24"/>
                <w:szCs w:val="24"/>
                <w:lang w:eastAsia="lv-LV"/>
              </w:rPr>
              <w:t>Nav</w:t>
            </w:r>
          </w:p>
        </w:tc>
      </w:tr>
    </w:tbl>
    <w:p w14:paraId="4B55C3EF"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bookmarkEnd w:id="4"/>
    <w:p w14:paraId="344A8A35" w14:textId="77777777" w:rsidR="009857E6"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8B7E22" w14:paraId="60084B0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4004E4" w14:textId="77777777" w:rsidR="00894C55" w:rsidRPr="006E52FA" w:rsidRDefault="006572D7"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B7E22" w14:paraId="1E0B4796" w14:textId="77777777" w:rsidTr="002F1B24">
        <w:trPr>
          <w:trHeight w:val="771"/>
          <w:jc w:val="center"/>
        </w:trPr>
        <w:tc>
          <w:tcPr>
            <w:tcW w:w="250" w:type="pct"/>
            <w:tcBorders>
              <w:top w:val="outset" w:sz="6" w:space="0" w:color="414142"/>
              <w:left w:val="outset" w:sz="6" w:space="0" w:color="414142"/>
              <w:bottom w:val="outset" w:sz="6" w:space="0" w:color="414142"/>
              <w:right w:val="outset" w:sz="6" w:space="0" w:color="414142"/>
            </w:tcBorders>
            <w:hideMark/>
          </w:tcPr>
          <w:p w14:paraId="3933788E" w14:textId="77777777"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6A4A2BA" w14:textId="77777777"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335F07E3" w14:textId="6711ADA7" w:rsidR="0000058C" w:rsidRPr="002E2203" w:rsidRDefault="00FF53FD" w:rsidP="00C42BCA">
            <w:pPr>
              <w:spacing w:after="0" w:line="240" w:lineRule="auto"/>
              <w:ind w:left="125" w:right="109"/>
              <w:jc w:val="both"/>
              <w:rPr>
                <w:rFonts w:ascii="Times New Roman" w:eastAsia="Times New Roman" w:hAnsi="Times New Roman" w:cs="Times New Roman"/>
                <w:sz w:val="24"/>
                <w:szCs w:val="24"/>
                <w:lang w:eastAsia="lv-LV"/>
              </w:rPr>
            </w:pPr>
            <w:r w:rsidRPr="00FF53FD">
              <w:rPr>
                <w:rFonts w:ascii="Times New Roman" w:eastAsia="Times New Roman" w:hAnsi="Times New Roman" w:cs="Times New Roman"/>
                <w:sz w:val="24"/>
                <w:szCs w:val="24"/>
                <w:lang w:eastAsia="lv-LV"/>
              </w:rPr>
              <w:t xml:space="preserve">Noteikumu projekta ietverto prasību izpildē tiks iesaistīta </w:t>
            </w:r>
            <w:r w:rsidR="002E2203">
              <w:rPr>
                <w:rFonts w:ascii="Times New Roman" w:eastAsia="Times New Roman" w:hAnsi="Times New Roman" w:cs="Times New Roman"/>
                <w:sz w:val="24"/>
                <w:szCs w:val="24"/>
                <w:lang w:eastAsia="lv-LV"/>
              </w:rPr>
              <w:t>Veselības ministrija, Rīgas Stradiņa unive</w:t>
            </w:r>
            <w:r w:rsidR="00B6136E">
              <w:rPr>
                <w:rFonts w:ascii="Times New Roman" w:eastAsia="Times New Roman" w:hAnsi="Times New Roman" w:cs="Times New Roman"/>
                <w:sz w:val="24"/>
                <w:szCs w:val="24"/>
                <w:lang w:eastAsia="lv-LV"/>
              </w:rPr>
              <w:t>rsitāte, Latvijas Universitāte.</w:t>
            </w:r>
          </w:p>
        </w:tc>
      </w:tr>
      <w:tr w:rsidR="008B7E22" w14:paraId="7CD4E30B" w14:textId="77777777" w:rsidTr="00D97FC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1C61571" w14:textId="77777777"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5CA14E0B" w14:textId="774EA2A8" w:rsidR="00894C55" w:rsidRPr="006E52FA" w:rsidRDefault="006572D7" w:rsidP="00810241">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810241">
              <w:rPr>
                <w:rFonts w:ascii="Times New Roman" w:eastAsia="Times New Roman" w:hAnsi="Times New Roman" w:cs="Times New Roman"/>
                <w:sz w:val="24"/>
                <w:szCs w:val="24"/>
                <w:lang w:eastAsia="lv-LV"/>
              </w:rPr>
              <w:t xml:space="preserve"> </w:t>
            </w:r>
            <w:r w:rsidRPr="005B00C1">
              <w:rPr>
                <w:rFonts w:ascii="Times New Roman" w:eastAsia="Times New Roman" w:hAnsi="Times New Roman" w:cs="Times New Roman"/>
                <w:sz w:val="24"/>
                <w:szCs w:val="24"/>
                <w:lang w:eastAsia="lv-LV"/>
              </w:rPr>
              <w:t>Jaunu institūciju izveide</w:t>
            </w:r>
            <w:r w:rsidRPr="006E52FA">
              <w:rPr>
                <w:rFonts w:ascii="Times New Roman" w:eastAsia="Times New Roman" w:hAnsi="Times New Roman" w:cs="Times New Roman"/>
                <w:sz w:val="24"/>
                <w:szCs w:val="24"/>
                <w:lang w:eastAsia="lv-LV"/>
              </w:rPr>
              <w:t>,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1BE00963" w14:textId="50C3DA13" w:rsidR="007D300F" w:rsidRPr="006E52FA" w:rsidRDefault="002F1B24" w:rsidP="004449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B7E22" w14:paraId="54CE1451" w14:textId="77777777" w:rsidTr="00D97FC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171329" w14:textId="77777777"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2646D09B" w14:textId="77777777"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05BD9371" w14:textId="77777777" w:rsidR="00894C55" w:rsidRPr="006E52FA" w:rsidRDefault="006572D7"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A1EE460" w14:textId="2F3CF504" w:rsidR="00810241" w:rsidRDefault="00810241" w:rsidP="00FF53FD">
      <w:pPr>
        <w:pStyle w:val="BodyTextIndent"/>
        <w:tabs>
          <w:tab w:val="left" w:pos="7088"/>
          <w:tab w:val="right" w:pos="8931"/>
        </w:tabs>
        <w:ind w:left="0" w:firstLine="0"/>
        <w:rPr>
          <w:szCs w:val="28"/>
        </w:rPr>
      </w:pPr>
    </w:p>
    <w:p w14:paraId="365D665C" w14:textId="24AD810F" w:rsidR="002F1B24" w:rsidRPr="00DC755F" w:rsidRDefault="00FF53FD" w:rsidP="00DC755F">
      <w:pPr>
        <w:pStyle w:val="BodyTextIndent"/>
        <w:tabs>
          <w:tab w:val="left" w:pos="7088"/>
          <w:tab w:val="right" w:pos="8931"/>
        </w:tabs>
        <w:ind w:left="0" w:firstLine="0"/>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p w14:paraId="4F0F86D5" w14:textId="77777777" w:rsidR="00DC755F" w:rsidRDefault="00DC755F" w:rsidP="002F1B24">
      <w:pPr>
        <w:spacing w:after="0" w:line="240" w:lineRule="auto"/>
        <w:ind w:right="-765"/>
        <w:rPr>
          <w:rFonts w:ascii="Times New Roman" w:eastAsia="Times New Roman" w:hAnsi="Times New Roman" w:cs="Times New Roman"/>
          <w:lang w:eastAsia="lv-LV"/>
        </w:rPr>
      </w:pPr>
    </w:p>
    <w:p w14:paraId="68780C48" w14:textId="509068C1" w:rsidR="002F1B24" w:rsidRPr="002F1B24" w:rsidRDefault="002F1B24" w:rsidP="002F1B24">
      <w:pPr>
        <w:spacing w:after="0" w:line="240" w:lineRule="auto"/>
        <w:ind w:right="-765"/>
        <w:rPr>
          <w:rFonts w:ascii="Times New Roman" w:eastAsia="Times New Roman" w:hAnsi="Times New Roman" w:cs="Times New Roman"/>
          <w:lang w:eastAsia="lv-LV"/>
        </w:rPr>
      </w:pPr>
      <w:r>
        <w:rPr>
          <w:rFonts w:ascii="Times New Roman" w:eastAsia="Times New Roman" w:hAnsi="Times New Roman" w:cs="Times New Roman"/>
          <w:lang w:eastAsia="lv-LV"/>
        </w:rPr>
        <w:t>Lazdiņa 67876169</w:t>
      </w:r>
    </w:p>
    <w:p w14:paraId="3D7F6B3D" w14:textId="21B4879A" w:rsidR="00F50D7D" w:rsidRDefault="008F1634" w:rsidP="00DC755F">
      <w:pPr>
        <w:spacing w:after="0" w:line="240" w:lineRule="auto"/>
        <w:ind w:right="-765"/>
        <w:rPr>
          <w:rFonts w:ascii="Times New Roman" w:eastAsia="Calibri" w:hAnsi="Times New Roman" w:cs="Times New Roman"/>
        </w:rPr>
      </w:pPr>
      <w:hyperlink r:id="rId8" w:history="1">
        <w:r w:rsidR="00CE5F59" w:rsidRPr="002C1C7E">
          <w:rPr>
            <w:rStyle w:val="Hyperlink"/>
            <w:rFonts w:ascii="Times New Roman" w:eastAsia="Times New Roman" w:hAnsi="Times New Roman" w:cs="Times New Roman"/>
            <w:lang w:eastAsia="lv-LV"/>
          </w:rPr>
          <w:t>Ivita.Lazdiņa@vm.gov.lv</w:t>
        </w:r>
      </w:hyperlink>
    </w:p>
    <w:sectPr w:rsidR="00F50D7D" w:rsidSect="00B90F29">
      <w:headerReference w:type="default" r:id="rId9"/>
      <w:footerReference w:type="default" r:id="rId10"/>
      <w:footerReference w:type="first" r:id="rId11"/>
      <w:pgSz w:w="11906" w:h="16838"/>
      <w:pgMar w:top="993"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6163" w14:textId="77777777" w:rsidR="006D70F1" w:rsidRDefault="006D70F1">
      <w:pPr>
        <w:spacing w:after="0" w:line="240" w:lineRule="auto"/>
      </w:pPr>
      <w:r>
        <w:separator/>
      </w:r>
    </w:p>
  </w:endnote>
  <w:endnote w:type="continuationSeparator" w:id="0">
    <w:p w14:paraId="6137EE0F" w14:textId="77777777" w:rsidR="006D70F1" w:rsidRDefault="006D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7AED" w14:textId="6C7BB0C7" w:rsidR="006572D7" w:rsidRPr="00894C55" w:rsidRDefault="00A11E3A">
    <w:pPr>
      <w:pStyle w:val="Footer"/>
      <w:rPr>
        <w:rFonts w:ascii="Times New Roman" w:hAnsi="Times New Roman" w:cs="Times New Roman"/>
        <w:sz w:val="20"/>
        <w:szCs w:val="20"/>
      </w:rPr>
    </w:pPr>
    <w:r>
      <w:rPr>
        <w:rFonts w:ascii="Times New Roman" w:hAnsi="Times New Roman" w:cs="Times New Roman"/>
        <w:sz w:val="20"/>
        <w:szCs w:val="20"/>
      </w:rPr>
      <w:t>VManot</w:t>
    </w:r>
    <w:r w:rsidR="008F1634">
      <w:rPr>
        <w:rFonts w:ascii="Times New Roman" w:hAnsi="Times New Roman" w:cs="Times New Roman"/>
        <w:sz w:val="20"/>
        <w:szCs w:val="20"/>
      </w:rPr>
      <w:t>_10</w:t>
    </w:r>
    <w:r w:rsidR="002832B2">
      <w:rPr>
        <w:rFonts w:ascii="Times New Roman" w:hAnsi="Times New Roman" w:cs="Times New Roman"/>
        <w:sz w:val="20"/>
        <w:szCs w:val="20"/>
      </w:rPr>
      <w:t>0119</w:t>
    </w:r>
    <w:r w:rsidR="006572D7">
      <w:rPr>
        <w:rFonts w:ascii="Times New Roman" w:hAnsi="Times New Roman" w:cs="Times New Roman"/>
        <w:sz w:val="20"/>
        <w:szCs w:val="20"/>
      </w:rPr>
      <w:t>_groz_685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0AEE" w14:textId="2964E70C" w:rsidR="006572D7" w:rsidRPr="009A2654" w:rsidRDefault="00A11E3A">
    <w:pPr>
      <w:pStyle w:val="Footer"/>
      <w:rPr>
        <w:rFonts w:ascii="Times New Roman" w:hAnsi="Times New Roman" w:cs="Times New Roman"/>
        <w:sz w:val="20"/>
        <w:szCs w:val="20"/>
      </w:rPr>
    </w:pPr>
    <w:r>
      <w:rPr>
        <w:rFonts w:ascii="Times New Roman" w:hAnsi="Times New Roman" w:cs="Times New Roman"/>
        <w:sz w:val="20"/>
        <w:szCs w:val="20"/>
      </w:rPr>
      <w:t>VManot_</w:t>
    </w:r>
    <w:r w:rsidR="008F1634">
      <w:rPr>
        <w:rFonts w:ascii="Times New Roman" w:hAnsi="Times New Roman" w:cs="Times New Roman"/>
        <w:sz w:val="20"/>
        <w:szCs w:val="20"/>
      </w:rPr>
      <w:t>10</w:t>
    </w:r>
    <w:r w:rsidR="002832B2">
      <w:rPr>
        <w:rFonts w:ascii="Times New Roman" w:hAnsi="Times New Roman" w:cs="Times New Roman"/>
        <w:sz w:val="20"/>
        <w:szCs w:val="20"/>
      </w:rPr>
      <w:t>0119</w:t>
    </w:r>
    <w:r w:rsidR="006572D7">
      <w:rPr>
        <w:rFonts w:ascii="Times New Roman" w:hAnsi="Times New Roman" w:cs="Times New Roman"/>
        <w:sz w:val="20"/>
        <w:szCs w:val="20"/>
      </w:rPr>
      <w:t>_groz_685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E29F" w14:textId="77777777" w:rsidR="006D70F1" w:rsidRDefault="006D70F1" w:rsidP="00894C55">
      <w:pPr>
        <w:spacing w:after="0" w:line="240" w:lineRule="auto"/>
      </w:pPr>
      <w:r>
        <w:separator/>
      </w:r>
    </w:p>
  </w:footnote>
  <w:footnote w:type="continuationSeparator" w:id="0">
    <w:p w14:paraId="43373AF7" w14:textId="77777777" w:rsidR="006D70F1" w:rsidRDefault="006D70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329413"/>
      <w:docPartObj>
        <w:docPartGallery w:val="Page Numbers (Top of Page)"/>
        <w:docPartUnique/>
      </w:docPartObj>
    </w:sdtPr>
    <w:sdtEndPr>
      <w:rPr>
        <w:rFonts w:ascii="Times New Roman" w:hAnsi="Times New Roman" w:cs="Times New Roman"/>
        <w:noProof/>
        <w:sz w:val="24"/>
        <w:szCs w:val="20"/>
      </w:rPr>
    </w:sdtEndPr>
    <w:sdtContent>
      <w:p w14:paraId="1281029E" w14:textId="3FBEE78E" w:rsidR="006572D7" w:rsidRPr="00C25B49" w:rsidRDefault="006572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316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10456E"/>
    <w:multiLevelType w:val="hybridMultilevel"/>
    <w:tmpl w:val="F8E05CBA"/>
    <w:lvl w:ilvl="0" w:tplc="5666E95A">
      <w:start w:val="1"/>
      <w:numFmt w:val="decimal"/>
      <w:lvlText w:val="%1)"/>
      <w:lvlJc w:val="left"/>
      <w:pPr>
        <w:ind w:left="720" w:hanging="360"/>
      </w:pPr>
      <w:rPr>
        <w:rFonts w:hint="default"/>
        <w:color w:val="auto"/>
      </w:rPr>
    </w:lvl>
    <w:lvl w:ilvl="1" w:tplc="BB76408C">
      <w:start w:val="1"/>
      <w:numFmt w:val="lowerLetter"/>
      <w:lvlText w:val="%2."/>
      <w:lvlJc w:val="left"/>
      <w:pPr>
        <w:ind w:left="1440" w:hanging="360"/>
      </w:pPr>
    </w:lvl>
    <w:lvl w:ilvl="2" w:tplc="85F451DE" w:tentative="1">
      <w:start w:val="1"/>
      <w:numFmt w:val="lowerRoman"/>
      <w:lvlText w:val="%3."/>
      <w:lvlJc w:val="right"/>
      <w:pPr>
        <w:ind w:left="2160" w:hanging="180"/>
      </w:pPr>
    </w:lvl>
    <w:lvl w:ilvl="3" w:tplc="1BFCDE54" w:tentative="1">
      <w:start w:val="1"/>
      <w:numFmt w:val="decimal"/>
      <w:lvlText w:val="%4."/>
      <w:lvlJc w:val="left"/>
      <w:pPr>
        <w:ind w:left="2880" w:hanging="360"/>
      </w:pPr>
    </w:lvl>
    <w:lvl w:ilvl="4" w:tplc="BEFA1370" w:tentative="1">
      <w:start w:val="1"/>
      <w:numFmt w:val="lowerLetter"/>
      <w:lvlText w:val="%5."/>
      <w:lvlJc w:val="left"/>
      <w:pPr>
        <w:ind w:left="3600" w:hanging="360"/>
      </w:pPr>
    </w:lvl>
    <w:lvl w:ilvl="5" w:tplc="F4483176" w:tentative="1">
      <w:start w:val="1"/>
      <w:numFmt w:val="lowerRoman"/>
      <w:lvlText w:val="%6."/>
      <w:lvlJc w:val="right"/>
      <w:pPr>
        <w:ind w:left="4320" w:hanging="180"/>
      </w:pPr>
    </w:lvl>
    <w:lvl w:ilvl="6" w:tplc="F2683DFE" w:tentative="1">
      <w:start w:val="1"/>
      <w:numFmt w:val="decimal"/>
      <w:lvlText w:val="%7."/>
      <w:lvlJc w:val="left"/>
      <w:pPr>
        <w:ind w:left="5040" w:hanging="360"/>
      </w:pPr>
    </w:lvl>
    <w:lvl w:ilvl="7" w:tplc="85BE5BBE" w:tentative="1">
      <w:start w:val="1"/>
      <w:numFmt w:val="lowerLetter"/>
      <w:lvlText w:val="%8."/>
      <w:lvlJc w:val="left"/>
      <w:pPr>
        <w:ind w:left="5760" w:hanging="360"/>
      </w:pPr>
    </w:lvl>
    <w:lvl w:ilvl="8" w:tplc="E692F80E" w:tentative="1">
      <w:start w:val="1"/>
      <w:numFmt w:val="lowerRoman"/>
      <w:lvlText w:val="%9."/>
      <w:lvlJc w:val="right"/>
      <w:pPr>
        <w:ind w:left="6480" w:hanging="180"/>
      </w:pPr>
    </w:lvl>
  </w:abstractNum>
  <w:abstractNum w:abstractNumId="1" w15:restartNumberingAfterBreak="0">
    <w:nsid w:val="10E14CC8"/>
    <w:multiLevelType w:val="hybridMultilevel"/>
    <w:tmpl w:val="EF1CB92E"/>
    <w:lvl w:ilvl="0" w:tplc="924836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12E3970"/>
    <w:multiLevelType w:val="hybridMultilevel"/>
    <w:tmpl w:val="30382EEC"/>
    <w:lvl w:ilvl="0" w:tplc="471A06F0">
      <w:start w:val="1"/>
      <w:numFmt w:val="decimal"/>
      <w:lvlText w:val="%1)"/>
      <w:lvlJc w:val="left"/>
      <w:pPr>
        <w:ind w:left="720" w:hanging="360"/>
      </w:pPr>
      <w:rPr>
        <w:rFonts w:hint="default"/>
      </w:rPr>
    </w:lvl>
    <w:lvl w:ilvl="1" w:tplc="A454937C" w:tentative="1">
      <w:start w:val="1"/>
      <w:numFmt w:val="lowerLetter"/>
      <w:lvlText w:val="%2."/>
      <w:lvlJc w:val="left"/>
      <w:pPr>
        <w:ind w:left="1440" w:hanging="360"/>
      </w:pPr>
    </w:lvl>
    <w:lvl w:ilvl="2" w:tplc="8E444B3E" w:tentative="1">
      <w:start w:val="1"/>
      <w:numFmt w:val="lowerRoman"/>
      <w:lvlText w:val="%3."/>
      <w:lvlJc w:val="right"/>
      <w:pPr>
        <w:ind w:left="2160" w:hanging="180"/>
      </w:pPr>
    </w:lvl>
    <w:lvl w:ilvl="3" w:tplc="E6F0406C" w:tentative="1">
      <w:start w:val="1"/>
      <w:numFmt w:val="decimal"/>
      <w:lvlText w:val="%4."/>
      <w:lvlJc w:val="left"/>
      <w:pPr>
        <w:ind w:left="2880" w:hanging="360"/>
      </w:pPr>
    </w:lvl>
    <w:lvl w:ilvl="4" w:tplc="F4B0CB2A" w:tentative="1">
      <w:start w:val="1"/>
      <w:numFmt w:val="lowerLetter"/>
      <w:lvlText w:val="%5."/>
      <w:lvlJc w:val="left"/>
      <w:pPr>
        <w:ind w:left="3600" w:hanging="360"/>
      </w:pPr>
    </w:lvl>
    <w:lvl w:ilvl="5" w:tplc="BFFCD1DA" w:tentative="1">
      <w:start w:val="1"/>
      <w:numFmt w:val="lowerRoman"/>
      <w:lvlText w:val="%6."/>
      <w:lvlJc w:val="right"/>
      <w:pPr>
        <w:ind w:left="4320" w:hanging="180"/>
      </w:pPr>
    </w:lvl>
    <w:lvl w:ilvl="6" w:tplc="23F85E74" w:tentative="1">
      <w:start w:val="1"/>
      <w:numFmt w:val="decimal"/>
      <w:lvlText w:val="%7."/>
      <w:lvlJc w:val="left"/>
      <w:pPr>
        <w:ind w:left="5040" w:hanging="360"/>
      </w:pPr>
    </w:lvl>
    <w:lvl w:ilvl="7" w:tplc="E43A2134" w:tentative="1">
      <w:start w:val="1"/>
      <w:numFmt w:val="lowerLetter"/>
      <w:lvlText w:val="%8."/>
      <w:lvlJc w:val="left"/>
      <w:pPr>
        <w:ind w:left="5760" w:hanging="360"/>
      </w:pPr>
    </w:lvl>
    <w:lvl w:ilvl="8" w:tplc="4CE2D3DC" w:tentative="1">
      <w:start w:val="1"/>
      <w:numFmt w:val="lowerRoman"/>
      <w:lvlText w:val="%9."/>
      <w:lvlJc w:val="right"/>
      <w:pPr>
        <w:ind w:left="6480" w:hanging="180"/>
      </w:pPr>
    </w:lvl>
  </w:abstractNum>
  <w:abstractNum w:abstractNumId="3" w15:restartNumberingAfterBreak="0">
    <w:nsid w:val="134A3146"/>
    <w:multiLevelType w:val="hybridMultilevel"/>
    <w:tmpl w:val="B35A0E84"/>
    <w:lvl w:ilvl="0" w:tplc="04260001">
      <w:start w:val="1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4CC0BF1"/>
    <w:multiLevelType w:val="hybridMultilevel"/>
    <w:tmpl w:val="F8E05CBA"/>
    <w:lvl w:ilvl="0" w:tplc="34B42668">
      <w:start w:val="1"/>
      <w:numFmt w:val="decimal"/>
      <w:lvlText w:val="%1)"/>
      <w:lvlJc w:val="left"/>
      <w:pPr>
        <w:ind w:left="720" w:hanging="360"/>
      </w:pPr>
      <w:rPr>
        <w:rFonts w:hint="default"/>
        <w:color w:val="auto"/>
      </w:rPr>
    </w:lvl>
    <w:lvl w:ilvl="1" w:tplc="EB8857A8" w:tentative="1">
      <w:start w:val="1"/>
      <w:numFmt w:val="lowerLetter"/>
      <w:lvlText w:val="%2."/>
      <w:lvlJc w:val="left"/>
      <w:pPr>
        <w:ind w:left="1440" w:hanging="360"/>
      </w:pPr>
    </w:lvl>
    <w:lvl w:ilvl="2" w:tplc="61E4C3AA" w:tentative="1">
      <w:start w:val="1"/>
      <w:numFmt w:val="lowerRoman"/>
      <w:lvlText w:val="%3."/>
      <w:lvlJc w:val="right"/>
      <w:pPr>
        <w:ind w:left="2160" w:hanging="180"/>
      </w:pPr>
    </w:lvl>
    <w:lvl w:ilvl="3" w:tplc="FC36298C" w:tentative="1">
      <w:start w:val="1"/>
      <w:numFmt w:val="decimal"/>
      <w:lvlText w:val="%4."/>
      <w:lvlJc w:val="left"/>
      <w:pPr>
        <w:ind w:left="2880" w:hanging="360"/>
      </w:pPr>
    </w:lvl>
    <w:lvl w:ilvl="4" w:tplc="33FCD470" w:tentative="1">
      <w:start w:val="1"/>
      <w:numFmt w:val="lowerLetter"/>
      <w:lvlText w:val="%5."/>
      <w:lvlJc w:val="left"/>
      <w:pPr>
        <w:ind w:left="3600" w:hanging="360"/>
      </w:pPr>
    </w:lvl>
    <w:lvl w:ilvl="5" w:tplc="60FC3ED8" w:tentative="1">
      <w:start w:val="1"/>
      <w:numFmt w:val="lowerRoman"/>
      <w:lvlText w:val="%6."/>
      <w:lvlJc w:val="right"/>
      <w:pPr>
        <w:ind w:left="4320" w:hanging="180"/>
      </w:pPr>
    </w:lvl>
    <w:lvl w:ilvl="6" w:tplc="2E96777C" w:tentative="1">
      <w:start w:val="1"/>
      <w:numFmt w:val="decimal"/>
      <w:lvlText w:val="%7."/>
      <w:lvlJc w:val="left"/>
      <w:pPr>
        <w:ind w:left="5040" w:hanging="360"/>
      </w:pPr>
    </w:lvl>
    <w:lvl w:ilvl="7" w:tplc="64BA90AC" w:tentative="1">
      <w:start w:val="1"/>
      <w:numFmt w:val="lowerLetter"/>
      <w:lvlText w:val="%8."/>
      <w:lvlJc w:val="left"/>
      <w:pPr>
        <w:ind w:left="5760" w:hanging="360"/>
      </w:pPr>
    </w:lvl>
    <w:lvl w:ilvl="8" w:tplc="798EB0A4" w:tentative="1">
      <w:start w:val="1"/>
      <w:numFmt w:val="lowerRoman"/>
      <w:lvlText w:val="%9."/>
      <w:lvlJc w:val="right"/>
      <w:pPr>
        <w:ind w:left="6480" w:hanging="180"/>
      </w:pPr>
    </w:lvl>
  </w:abstractNum>
  <w:abstractNum w:abstractNumId="5" w15:restartNumberingAfterBreak="0">
    <w:nsid w:val="15FB7E03"/>
    <w:multiLevelType w:val="hybridMultilevel"/>
    <w:tmpl w:val="BE96F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BEF5810"/>
    <w:multiLevelType w:val="hybridMultilevel"/>
    <w:tmpl w:val="30382EEC"/>
    <w:lvl w:ilvl="0" w:tplc="68A63644">
      <w:start w:val="1"/>
      <w:numFmt w:val="decimal"/>
      <w:lvlText w:val="%1)"/>
      <w:lvlJc w:val="left"/>
      <w:pPr>
        <w:ind w:left="720" w:hanging="360"/>
      </w:pPr>
      <w:rPr>
        <w:rFonts w:hint="default"/>
      </w:rPr>
    </w:lvl>
    <w:lvl w:ilvl="1" w:tplc="3F54CC9C" w:tentative="1">
      <w:start w:val="1"/>
      <w:numFmt w:val="lowerLetter"/>
      <w:lvlText w:val="%2."/>
      <w:lvlJc w:val="left"/>
      <w:pPr>
        <w:ind w:left="1440" w:hanging="360"/>
      </w:pPr>
    </w:lvl>
    <w:lvl w:ilvl="2" w:tplc="14F2ECDE" w:tentative="1">
      <w:start w:val="1"/>
      <w:numFmt w:val="lowerRoman"/>
      <w:lvlText w:val="%3."/>
      <w:lvlJc w:val="right"/>
      <w:pPr>
        <w:ind w:left="2160" w:hanging="180"/>
      </w:pPr>
    </w:lvl>
    <w:lvl w:ilvl="3" w:tplc="92F07A0A" w:tentative="1">
      <w:start w:val="1"/>
      <w:numFmt w:val="decimal"/>
      <w:lvlText w:val="%4."/>
      <w:lvlJc w:val="left"/>
      <w:pPr>
        <w:ind w:left="2880" w:hanging="360"/>
      </w:pPr>
    </w:lvl>
    <w:lvl w:ilvl="4" w:tplc="370E6870" w:tentative="1">
      <w:start w:val="1"/>
      <w:numFmt w:val="lowerLetter"/>
      <w:lvlText w:val="%5."/>
      <w:lvlJc w:val="left"/>
      <w:pPr>
        <w:ind w:left="3600" w:hanging="360"/>
      </w:pPr>
    </w:lvl>
    <w:lvl w:ilvl="5" w:tplc="0FF4596E" w:tentative="1">
      <w:start w:val="1"/>
      <w:numFmt w:val="lowerRoman"/>
      <w:lvlText w:val="%6."/>
      <w:lvlJc w:val="right"/>
      <w:pPr>
        <w:ind w:left="4320" w:hanging="180"/>
      </w:pPr>
    </w:lvl>
    <w:lvl w:ilvl="6" w:tplc="59D46C0A" w:tentative="1">
      <w:start w:val="1"/>
      <w:numFmt w:val="decimal"/>
      <w:lvlText w:val="%7."/>
      <w:lvlJc w:val="left"/>
      <w:pPr>
        <w:ind w:left="5040" w:hanging="360"/>
      </w:pPr>
    </w:lvl>
    <w:lvl w:ilvl="7" w:tplc="24C63022" w:tentative="1">
      <w:start w:val="1"/>
      <w:numFmt w:val="lowerLetter"/>
      <w:lvlText w:val="%8."/>
      <w:lvlJc w:val="left"/>
      <w:pPr>
        <w:ind w:left="5760" w:hanging="360"/>
      </w:pPr>
    </w:lvl>
    <w:lvl w:ilvl="8" w:tplc="0B6ED00E" w:tentative="1">
      <w:start w:val="1"/>
      <w:numFmt w:val="lowerRoman"/>
      <w:lvlText w:val="%9."/>
      <w:lvlJc w:val="right"/>
      <w:pPr>
        <w:ind w:left="6480" w:hanging="180"/>
      </w:pPr>
    </w:lvl>
  </w:abstractNum>
  <w:abstractNum w:abstractNumId="7"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1">
    <w:nsid w:val="3BB84EA9"/>
    <w:multiLevelType w:val="hybridMultilevel"/>
    <w:tmpl w:val="C418706C"/>
    <w:lvl w:ilvl="0" w:tplc="CA42DA90">
      <w:start w:val="1"/>
      <w:numFmt w:val="decimal"/>
      <w:lvlText w:val="%1)"/>
      <w:lvlJc w:val="left"/>
      <w:pPr>
        <w:ind w:left="720" w:hanging="360"/>
      </w:pPr>
      <w:rPr>
        <w:rFonts w:hint="default"/>
      </w:rPr>
    </w:lvl>
    <w:lvl w:ilvl="1" w:tplc="6EFC30B6" w:tentative="1">
      <w:start w:val="1"/>
      <w:numFmt w:val="lowerLetter"/>
      <w:lvlText w:val="%2."/>
      <w:lvlJc w:val="left"/>
      <w:pPr>
        <w:ind w:left="1440" w:hanging="360"/>
      </w:pPr>
    </w:lvl>
    <w:lvl w:ilvl="2" w:tplc="3D08EE84" w:tentative="1">
      <w:start w:val="1"/>
      <w:numFmt w:val="lowerRoman"/>
      <w:lvlText w:val="%3."/>
      <w:lvlJc w:val="right"/>
      <w:pPr>
        <w:ind w:left="2160" w:hanging="180"/>
      </w:pPr>
    </w:lvl>
    <w:lvl w:ilvl="3" w:tplc="BDCAA666" w:tentative="1">
      <w:start w:val="1"/>
      <w:numFmt w:val="decimal"/>
      <w:lvlText w:val="%4."/>
      <w:lvlJc w:val="left"/>
      <w:pPr>
        <w:ind w:left="2880" w:hanging="360"/>
      </w:pPr>
    </w:lvl>
    <w:lvl w:ilvl="4" w:tplc="498C14F8" w:tentative="1">
      <w:start w:val="1"/>
      <w:numFmt w:val="lowerLetter"/>
      <w:lvlText w:val="%5."/>
      <w:lvlJc w:val="left"/>
      <w:pPr>
        <w:ind w:left="3600" w:hanging="360"/>
      </w:pPr>
    </w:lvl>
    <w:lvl w:ilvl="5" w:tplc="E1CE29FE" w:tentative="1">
      <w:start w:val="1"/>
      <w:numFmt w:val="lowerRoman"/>
      <w:lvlText w:val="%6."/>
      <w:lvlJc w:val="right"/>
      <w:pPr>
        <w:ind w:left="4320" w:hanging="180"/>
      </w:pPr>
    </w:lvl>
    <w:lvl w:ilvl="6" w:tplc="695A267C" w:tentative="1">
      <w:start w:val="1"/>
      <w:numFmt w:val="decimal"/>
      <w:lvlText w:val="%7."/>
      <w:lvlJc w:val="left"/>
      <w:pPr>
        <w:ind w:left="5040" w:hanging="360"/>
      </w:pPr>
    </w:lvl>
    <w:lvl w:ilvl="7" w:tplc="C12E8D26" w:tentative="1">
      <w:start w:val="1"/>
      <w:numFmt w:val="lowerLetter"/>
      <w:lvlText w:val="%8."/>
      <w:lvlJc w:val="left"/>
      <w:pPr>
        <w:ind w:left="5760" w:hanging="360"/>
      </w:pPr>
    </w:lvl>
    <w:lvl w:ilvl="8" w:tplc="8F9CF90E" w:tentative="1">
      <w:start w:val="1"/>
      <w:numFmt w:val="lowerRoman"/>
      <w:lvlText w:val="%9."/>
      <w:lvlJc w:val="right"/>
      <w:pPr>
        <w:ind w:left="6480" w:hanging="180"/>
      </w:pPr>
    </w:lvl>
  </w:abstractNum>
  <w:abstractNum w:abstractNumId="9" w15:restartNumberingAfterBreak="1">
    <w:nsid w:val="422C5C33"/>
    <w:multiLevelType w:val="hybridMultilevel"/>
    <w:tmpl w:val="2DA2290A"/>
    <w:lvl w:ilvl="0" w:tplc="A2AC4F8C">
      <w:start w:val="1"/>
      <w:numFmt w:val="decimal"/>
      <w:lvlText w:val="%1)"/>
      <w:lvlJc w:val="left"/>
      <w:pPr>
        <w:ind w:left="720" w:hanging="360"/>
      </w:pPr>
      <w:rPr>
        <w:rFonts w:hint="default"/>
      </w:rPr>
    </w:lvl>
    <w:lvl w:ilvl="1" w:tplc="38626DE6" w:tentative="1">
      <w:start w:val="1"/>
      <w:numFmt w:val="lowerLetter"/>
      <w:lvlText w:val="%2."/>
      <w:lvlJc w:val="left"/>
      <w:pPr>
        <w:ind w:left="1440" w:hanging="360"/>
      </w:pPr>
    </w:lvl>
    <w:lvl w:ilvl="2" w:tplc="70B68C3C" w:tentative="1">
      <w:start w:val="1"/>
      <w:numFmt w:val="lowerRoman"/>
      <w:lvlText w:val="%3."/>
      <w:lvlJc w:val="right"/>
      <w:pPr>
        <w:ind w:left="2160" w:hanging="180"/>
      </w:pPr>
    </w:lvl>
    <w:lvl w:ilvl="3" w:tplc="7340D90A" w:tentative="1">
      <w:start w:val="1"/>
      <w:numFmt w:val="decimal"/>
      <w:lvlText w:val="%4."/>
      <w:lvlJc w:val="left"/>
      <w:pPr>
        <w:ind w:left="2880" w:hanging="360"/>
      </w:pPr>
    </w:lvl>
    <w:lvl w:ilvl="4" w:tplc="E79267AE" w:tentative="1">
      <w:start w:val="1"/>
      <w:numFmt w:val="lowerLetter"/>
      <w:lvlText w:val="%5."/>
      <w:lvlJc w:val="left"/>
      <w:pPr>
        <w:ind w:left="3600" w:hanging="360"/>
      </w:pPr>
    </w:lvl>
    <w:lvl w:ilvl="5" w:tplc="EA1CC1DC" w:tentative="1">
      <w:start w:val="1"/>
      <w:numFmt w:val="lowerRoman"/>
      <w:lvlText w:val="%6."/>
      <w:lvlJc w:val="right"/>
      <w:pPr>
        <w:ind w:left="4320" w:hanging="180"/>
      </w:pPr>
    </w:lvl>
    <w:lvl w:ilvl="6" w:tplc="B964E3DE" w:tentative="1">
      <w:start w:val="1"/>
      <w:numFmt w:val="decimal"/>
      <w:lvlText w:val="%7."/>
      <w:lvlJc w:val="left"/>
      <w:pPr>
        <w:ind w:left="5040" w:hanging="360"/>
      </w:pPr>
    </w:lvl>
    <w:lvl w:ilvl="7" w:tplc="4C18BB86" w:tentative="1">
      <w:start w:val="1"/>
      <w:numFmt w:val="lowerLetter"/>
      <w:lvlText w:val="%8."/>
      <w:lvlJc w:val="left"/>
      <w:pPr>
        <w:ind w:left="5760" w:hanging="360"/>
      </w:pPr>
    </w:lvl>
    <w:lvl w:ilvl="8" w:tplc="B76C2D6C" w:tentative="1">
      <w:start w:val="1"/>
      <w:numFmt w:val="lowerRoman"/>
      <w:lvlText w:val="%9."/>
      <w:lvlJc w:val="right"/>
      <w:pPr>
        <w:ind w:left="6480" w:hanging="180"/>
      </w:pPr>
    </w:lvl>
  </w:abstractNum>
  <w:abstractNum w:abstractNumId="10" w15:restartNumberingAfterBreak="1">
    <w:nsid w:val="47F65964"/>
    <w:multiLevelType w:val="hybridMultilevel"/>
    <w:tmpl w:val="BE3209E2"/>
    <w:lvl w:ilvl="0" w:tplc="E626D5BE">
      <w:start w:val="1"/>
      <w:numFmt w:val="decimal"/>
      <w:lvlText w:val="%1)"/>
      <w:lvlJc w:val="left"/>
      <w:pPr>
        <w:ind w:left="720" w:hanging="360"/>
      </w:pPr>
    </w:lvl>
    <w:lvl w:ilvl="1" w:tplc="7414A29C" w:tentative="1">
      <w:start w:val="1"/>
      <w:numFmt w:val="lowerLetter"/>
      <w:lvlText w:val="%2."/>
      <w:lvlJc w:val="left"/>
      <w:pPr>
        <w:ind w:left="1440" w:hanging="360"/>
      </w:pPr>
    </w:lvl>
    <w:lvl w:ilvl="2" w:tplc="C3BA62DC" w:tentative="1">
      <w:start w:val="1"/>
      <w:numFmt w:val="lowerRoman"/>
      <w:lvlText w:val="%3."/>
      <w:lvlJc w:val="right"/>
      <w:pPr>
        <w:ind w:left="2160" w:hanging="180"/>
      </w:pPr>
    </w:lvl>
    <w:lvl w:ilvl="3" w:tplc="11BCD068" w:tentative="1">
      <w:start w:val="1"/>
      <w:numFmt w:val="decimal"/>
      <w:lvlText w:val="%4."/>
      <w:lvlJc w:val="left"/>
      <w:pPr>
        <w:ind w:left="2880" w:hanging="360"/>
      </w:pPr>
    </w:lvl>
    <w:lvl w:ilvl="4" w:tplc="E2DEE6C6" w:tentative="1">
      <w:start w:val="1"/>
      <w:numFmt w:val="lowerLetter"/>
      <w:lvlText w:val="%5."/>
      <w:lvlJc w:val="left"/>
      <w:pPr>
        <w:ind w:left="3600" w:hanging="360"/>
      </w:pPr>
    </w:lvl>
    <w:lvl w:ilvl="5" w:tplc="C7E8C4D6" w:tentative="1">
      <w:start w:val="1"/>
      <w:numFmt w:val="lowerRoman"/>
      <w:lvlText w:val="%6."/>
      <w:lvlJc w:val="right"/>
      <w:pPr>
        <w:ind w:left="4320" w:hanging="180"/>
      </w:pPr>
    </w:lvl>
    <w:lvl w:ilvl="6" w:tplc="EEF6F3C2" w:tentative="1">
      <w:start w:val="1"/>
      <w:numFmt w:val="decimal"/>
      <w:lvlText w:val="%7."/>
      <w:lvlJc w:val="left"/>
      <w:pPr>
        <w:ind w:left="5040" w:hanging="360"/>
      </w:pPr>
    </w:lvl>
    <w:lvl w:ilvl="7" w:tplc="06EE4904" w:tentative="1">
      <w:start w:val="1"/>
      <w:numFmt w:val="lowerLetter"/>
      <w:lvlText w:val="%8."/>
      <w:lvlJc w:val="left"/>
      <w:pPr>
        <w:ind w:left="5760" w:hanging="360"/>
      </w:pPr>
    </w:lvl>
    <w:lvl w:ilvl="8" w:tplc="8F72A93A" w:tentative="1">
      <w:start w:val="1"/>
      <w:numFmt w:val="lowerRoman"/>
      <w:lvlText w:val="%9."/>
      <w:lvlJc w:val="right"/>
      <w:pPr>
        <w:ind w:left="6480" w:hanging="180"/>
      </w:pPr>
    </w:lvl>
  </w:abstractNum>
  <w:abstractNum w:abstractNumId="11" w15:restartNumberingAfterBreak="1">
    <w:nsid w:val="4C2445BD"/>
    <w:multiLevelType w:val="hybridMultilevel"/>
    <w:tmpl w:val="59E89120"/>
    <w:lvl w:ilvl="0" w:tplc="8C1A4DE6">
      <w:start w:val="1"/>
      <w:numFmt w:val="decimal"/>
      <w:lvlText w:val="%1)"/>
      <w:lvlJc w:val="left"/>
      <w:pPr>
        <w:ind w:left="720" w:hanging="360"/>
      </w:pPr>
      <w:rPr>
        <w:rFonts w:hint="default"/>
      </w:rPr>
    </w:lvl>
    <w:lvl w:ilvl="1" w:tplc="082495DE" w:tentative="1">
      <w:start w:val="1"/>
      <w:numFmt w:val="lowerLetter"/>
      <w:lvlText w:val="%2."/>
      <w:lvlJc w:val="left"/>
      <w:pPr>
        <w:ind w:left="1440" w:hanging="360"/>
      </w:pPr>
    </w:lvl>
    <w:lvl w:ilvl="2" w:tplc="EFF88A74" w:tentative="1">
      <w:start w:val="1"/>
      <w:numFmt w:val="lowerRoman"/>
      <w:lvlText w:val="%3."/>
      <w:lvlJc w:val="right"/>
      <w:pPr>
        <w:ind w:left="2160" w:hanging="180"/>
      </w:pPr>
    </w:lvl>
    <w:lvl w:ilvl="3" w:tplc="0A70E72A" w:tentative="1">
      <w:start w:val="1"/>
      <w:numFmt w:val="decimal"/>
      <w:lvlText w:val="%4."/>
      <w:lvlJc w:val="left"/>
      <w:pPr>
        <w:ind w:left="2880" w:hanging="360"/>
      </w:pPr>
    </w:lvl>
    <w:lvl w:ilvl="4" w:tplc="B44C5262" w:tentative="1">
      <w:start w:val="1"/>
      <w:numFmt w:val="lowerLetter"/>
      <w:lvlText w:val="%5."/>
      <w:lvlJc w:val="left"/>
      <w:pPr>
        <w:ind w:left="3600" w:hanging="360"/>
      </w:pPr>
    </w:lvl>
    <w:lvl w:ilvl="5" w:tplc="E8BC1CE8" w:tentative="1">
      <w:start w:val="1"/>
      <w:numFmt w:val="lowerRoman"/>
      <w:lvlText w:val="%6."/>
      <w:lvlJc w:val="right"/>
      <w:pPr>
        <w:ind w:left="4320" w:hanging="180"/>
      </w:pPr>
    </w:lvl>
    <w:lvl w:ilvl="6" w:tplc="44C4AA72" w:tentative="1">
      <w:start w:val="1"/>
      <w:numFmt w:val="decimal"/>
      <w:lvlText w:val="%7."/>
      <w:lvlJc w:val="left"/>
      <w:pPr>
        <w:ind w:left="5040" w:hanging="360"/>
      </w:pPr>
    </w:lvl>
    <w:lvl w:ilvl="7" w:tplc="497ECBE2" w:tentative="1">
      <w:start w:val="1"/>
      <w:numFmt w:val="lowerLetter"/>
      <w:lvlText w:val="%8."/>
      <w:lvlJc w:val="left"/>
      <w:pPr>
        <w:ind w:left="5760" w:hanging="360"/>
      </w:pPr>
    </w:lvl>
    <w:lvl w:ilvl="8" w:tplc="4D202EFE" w:tentative="1">
      <w:start w:val="1"/>
      <w:numFmt w:val="lowerRoman"/>
      <w:lvlText w:val="%9."/>
      <w:lvlJc w:val="right"/>
      <w:pPr>
        <w:ind w:left="6480" w:hanging="180"/>
      </w:pPr>
    </w:lvl>
  </w:abstractNum>
  <w:abstractNum w:abstractNumId="12" w15:restartNumberingAfterBreak="1">
    <w:nsid w:val="4EAE3CE4"/>
    <w:multiLevelType w:val="hybridMultilevel"/>
    <w:tmpl w:val="85FCAC62"/>
    <w:lvl w:ilvl="0" w:tplc="CC60FBE0">
      <w:start w:val="1"/>
      <w:numFmt w:val="bullet"/>
      <w:lvlText w:val=""/>
      <w:lvlJc w:val="left"/>
      <w:pPr>
        <w:ind w:left="360" w:hanging="360"/>
      </w:pPr>
      <w:rPr>
        <w:rFonts w:ascii="Symbol" w:hAnsi="Symbol" w:hint="default"/>
      </w:rPr>
    </w:lvl>
    <w:lvl w:ilvl="1" w:tplc="577A37FA" w:tentative="1">
      <w:start w:val="1"/>
      <w:numFmt w:val="bullet"/>
      <w:lvlText w:val="o"/>
      <w:lvlJc w:val="left"/>
      <w:pPr>
        <w:ind w:left="1080" w:hanging="360"/>
      </w:pPr>
      <w:rPr>
        <w:rFonts w:ascii="Courier New" w:hAnsi="Courier New" w:cs="Courier New" w:hint="default"/>
      </w:rPr>
    </w:lvl>
    <w:lvl w:ilvl="2" w:tplc="CBD08EF4" w:tentative="1">
      <w:start w:val="1"/>
      <w:numFmt w:val="bullet"/>
      <w:lvlText w:val=""/>
      <w:lvlJc w:val="left"/>
      <w:pPr>
        <w:ind w:left="1800" w:hanging="360"/>
      </w:pPr>
      <w:rPr>
        <w:rFonts w:ascii="Wingdings" w:hAnsi="Wingdings" w:hint="default"/>
      </w:rPr>
    </w:lvl>
    <w:lvl w:ilvl="3" w:tplc="D272D5E2" w:tentative="1">
      <w:start w:val="1"/>
      <w:numFmt w:val="bullet"/>
      <w:lvlText w:val=""/>
      <w:lvlJc w:val="left"/>
      <w:pPr>
        <w:ind w:left="2520" w:hanging="360"/>
      </w:pPr>
      <w:rPr>
        <w:rFonts w:ascii="Symbol" w:hAnsi="Symbol" w:hint="default"/>
      </w:rPr>
    </w:lvl>
    <w:lvl w:ilvl="4" w:tplc="F72E5944" w:tentative="1">
      <w:start w:val="1"/>
      <w:numFmt w:val="bullet"/>
      <w:lvlText w:val="o"/>
      <w:lvlJc w:val="left"/>
      <w:pPr>
        <w:ind w:left="3240" w:hanging="360"/>
      </w:pPr>
      <w:rPr>
        <w:rFonts w:ascii="Courier New" w:hAnsi="Courier New" w:cs="Courier New" w:hint="default"/>
      </w:rPr>
    </w:lvl>
    <w:lvl w:ilvl="5" w:tplc="DA464B9A" w:tentative="1">
      <w:start w:val="1"/>
      <w:numFmt w:val="bullet"/>
      <w:lvlText w:val=""/>
      <w:lvlJc w:val="left"/>
      <w:pPr>
        <w:ind w:left="3960" w:hanging="360"/>
      </w:pPr>
      <w:rPr>
        <w:rFonts w:ascii="Wingdings" w:hAnsi="Wingdings" w:hint="default"/>
      </w:rPr>
    </w:lvl>
    <w:lvl w:ilvl="6" w:tplc="AA6A1C82" w:tentative="1">
      <w:start w:val="1"/>
      <w:numFmt w:val="bullet"/>
      <w:lvlText w:val=""/>
      <w:lvlJc w:val="left"/>
      <w:pPr>
        <w:ind w:left="4680" w:hanging="360"/>
      </w:pPr>
      <w:rPr>
        <w:rFonts w:ascii="Symbol" w:hAnsi="Symbol" w:hint="default"/>
      </w:rPr>
    </w:lvl>
    <w:lvl w:ilvl="7" w:tplc="FC5879D2" w:tentative="1">
      <w:start w:val="1"/>
      <w:numFmt w:val="bullet"/>
      <w:lvlText w:val="o"/>
      <w:lvlJc w:val="left"/>
      <w:pPr>
        <w:ind w:left="5400" w:hanging="360"/>
      </w:pPr>
      <w:rPr>
        <w:rFonts w:ascii="Courier New" w:hAnsi="Courier New" w:cs="Courier New" w:hint="default"/>
      </w:rPr>
    </w:lvl>
    <w:lvl w:ilvl="8" w:tplc="F85C722E" w:tentative="1">
      <w:start w:val="1"/>
      <w:numFmt w:val="bullet"/>
      <w:lvlText w:val=""/>
      <w:lvlJc w:val="left"/>
      <w:pPr>
        <w:ind w:left="6120" w:hanging="360"/>
      </w:pPr>
      <w:rPr>
        <w:rFonts w:ascii="Wingdings" w:hAnsi="Wingdings" w:hint="default"/>
      </w:rPr>
    </w:lvl>
  </w:abstractNum>
  <w:abstractNum w:abstractNumId="13"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1">
    <w:nsid w:val="5E7E4074"/>
    <w:multiLevelType w:val="hybridMultilevel"/>
    <w:tmpl w:val="BE3209E2"/>
    <w:lvl w:ilvl="0" w:tplc="47BC7C6A">
      <w:start w:val="1"/>
      <w:numFmt w:val="decimal"/>
      <w:lvlText w:val="%1)"/>
      <w:lvlJc w:val="left"/>
      <w:pPr>
        <w:ind w:left="720" w:hanging="360"/>
      </w:pPr>
    </w:lvl>
    <w:lvl w:ilvl="1" w:tplc="51048AF8" w:tentative="1">
      <w:start w:val="1"/>
      <w:numFmt w:val="lowerLetter"/>
      <w:lvlText w:val="%2."/>
      <w:lvlJc w:val="left"/>
      <w:pPr>
        <w:ind w:left="1440" w:hanging="360"/>
      </w:pPr>
    </w:lvl>
    <w:lvl w:ilvl="2" w:tplc="F872B134" w:tentative="1">
      <w:start w:val="1"/>
      <w:numFmt w:val="lowerRoman"/>
      <w:lvlText w:val="%3."/>
      <w:lvlJc w:val="right"/>
      <w:pPr>
        <w:ind w:left="2160" w:hanging="180"/>
      </w:pPr>
    </w:lvl>
    <w:lvl w:ilvl="3" w:tplc="AA0E53EE" w:tentative="1">
      <w:start w:val="1"/>
      <w:numFmt w:val="decimal"/>
      <w:lvlText w:val="%4."/>
      <w:lvlJc w:val="left"/>
      <w:pPr>
        <w:ind w:left="2880" w:hanging="360"/>
      </w:pPr>
    </w:lvl>
    <w:lvl w:ilvl="4" w:tplc="2C96E45C" w:tentative="1">
      <w:start w:val="1"/>
      <w:numFmt w:val="lowerLetter"/>
      <w:lvlText w:val="%5."/>
      <w:lvlJc w:val="left"/>
      <w:pPr>
        <w:ind w:left="3600" w:hanging="360"/>
      </w:pPr>
    </w:lvl>
    <w:lvl w:ilvl="5" w:tplc="292E1EFC" w:tentative="1">
      <w:start w:val="1"/>
      <w:numFmt w:val="lowerRoman"/>
      <w:lvlText w:val="%6."/>
      <w:lvlJc w:val="right"/>
      <w:pPr>
        <w:ind w:left="4320" w:hanging="180"/>
      </w:pPr>
    </w:lvl>
    <w:lvl w:ilvl="6" w:tplc="33FA59DC" w:tentative="1">
      <w:start w:val="1"/>
      <w:numFmt w:val="decimal"/>
      <w:lvlText w:val="%7."/>
      <w:lvlJc w:val="left"/>
      <w:pPr>
        <w:ind w:left="5040" w:hanging="360"/>
      </w:pPr>
    </w:lvl>
    <w:lvl w:ilvl="7" w:tplc="A8AECAB4" w:tentative="1">
      <w:start w:val="1"/>
      <w:numFmt w:val="lowerLetter"/>
      <w:lvlText w:val="%8."/>
      <w:lvlJc w:val="left"/>
      <w:pPr>
        <w:ind w:left="5760" w:hanging="360"/>
      </w:pPr>
    </w:lvl>
    <w:lvl w:ilvl="8" w:tplc="0178BB14" w:tentative="1">
      <w:start w:val="1"/>
      <w:numFmt w:val="lowerRoman"/>
      <w:lvlText w:val="%9."/>
      <w:lvlJc w:val="right"/>
      <w:pPr>
        <w:ind w:left="6480" w:hanging="180"/>
      </w:pPr>
    </w:lvl>
  </w:abstractNum>
  <w:abstractNum w:abstractNumId="15"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1">
    <w:nsid w:val="78DD7A03"/>
    <w:multiLevelType w:val="hybridMultilevel"/>
    <w:tmpl w:val="7BF8695E"/>
    <w:lvl w:ilvl="0" w:tplc="030C4640">
      <w:start w:val="7"/>
      <w:numFmt w:val="bullet"/>
      <w:lvlText w:val="-"/>
      <w:lvlJc w:val="left"/>
      <w:pPr>
        <w:ind w:left="720" w:hanging="360"/>
      </w:pPr>
      <w:rPr>
        <w:rFonts w:ascii="Times New Roman" w:eastAsia="Calibri" w:hAnsi="Times New Roman" w:cs="Times New Roman" w:hint="default"/>
      </w:rPr>
    </w:lvl>
    <w:lvl w:ilvl="1" w:tplc="82BCCC68" w:tentative="1">
      <w:start w:val="1"/>
      <w:numFmt w:val="bullet"/>
      <w:lvlText w:val="o"/>
      <w:lvlJc w:val="left"/>
      <w:pPr>
        <w:ind w:left="1440" w:hanging="360"/>
      </w:pPr>
      <w:rPr>
        <w:rFonts w:ascii="Courier New" w:hAnsi="Courier New" w:cs="Courier New" w:hint="default"/>
      </w:rPr>
    </w:lvl>
    <w:lvl w:ilvl="2" w:tplc="5D8889C2" w:tentative="1">
      <w:start w:val="1"/>
      <w:numFmt w:val="bullet"/>
      <w:lvlText w:val=""/>
      <w:lvlJc w:val="left"/>
      <w:pPr>
        <w:ind w:left="2160" w:hanging="360"/>
      </w:pPr>
      <w:rPr>
        <w:rFonts w:ascii="Wingdings" w:hAnsi="Wingdings" w:hint="default"/>
      </w:rPr>
    </w:lvl>
    <w:lvl w:ilvl="3" w:tplc="377E6C38" w:tentative="1">
      <w:start w:val="1"/>
      <w:numFmt w:val="bullet"/>
      <w:lvlText w:val=""/>
      <w:lvlJc w:val="left"/>
      <w:pPr>
        <w:ind w:left="2880" w:hanging="360"/>
      </w:pPr>
      <w:rPr>
        <w:rFonts w:ascii="Symbol" w:hAnsi="Symbol" w:hint="default"/>
      </w:rPr>
    </w:lvl>
    <w:lvl w:ilvl="4" w:tplc="242AD906" w:tentative="1">
      <w:start w:val="1"/>
      <w:numFmt w:val="bullet"/>
      <w:lvlText w:val="o"/>
      <w:lvlJc w:val="left"/>
      <w:pPr>
        <w:ind w:left="3600" w:hanging="360"/>
      </w:pPr>
      <w:rPr>
        <w:rFonts w:ascii="Courier New" w:hAnsi="Courier New" w:cs="Courier New" w:hint="default"/>
      </w:rPr>
    </w:lvl>
    <w:lvl w:ilvl="5" w:tplc="3F18C64C" w:tentative="1">
      <w:start w:val="1"/>
      <w:numFmt w:val="bullet"/>
      <w:lvlText w:val=""/>
      <w:lvlJc w:val="left"/>
      <w:pPr>
        <w:ind w:left="4320" w:hanging="360"/>
      </w:pPr>
      <w:rPr>
        <w:rFonts w:ascii="Wingdings" w:hAnsi="Wingdings" w:hint="default"/>
      </w:rPr>
    </w:lvl>
    <w:lvl w:ilvl="6" w:tplc="DD26BF5E" w:tentative="1">
      <w:start w:val="1"/>
      <w:numFmt w:val="bullet"/>
      <w:lvlText w:val=""/>
      <w:lvlJc w:val="left"/>
      <w:pPr>
        <w:ind w:left="5040" w:hanging="360"/>
      </w:pPr>
      <w:rPr>
        <w:rFonts w:ascii="Symbol" w:hAnsi="Symbol" w:hint="default"/>
      </w:rPr>
    </w:lvl>
    <w:lvl w:ilvl="7" w:tplc="260843C8" w:tentative="1">
      <w:start w:val="1"/>
      <w:numFmt w:val="bullet"/>
      <w:lvlText w:val="o"/>
      <w:lvlJc w:val="left"/>
      <w:pPr>
        <w:ind w:left="5760" w:hanging="360"/>
      </w:pPr>
      <w:rPr>
        <w:rFonts w:ascii="Courier New" w:hAnsi="Courier New" w:cs="Courier New" w:hint="default"/>
      </w:rPr>
    </w:lvl>
    <w:lvl w:ilvl="8" w:tplc="AF62EF88" w:tentative="1">
      <w:start w:val="1"/>
      <w:numFmt w:val="bullet"/>
      <w:lvlText w:val=""/>
      <w:lvlJc w:val="left"/>
      <w:pPr>
        <w:ind w:left="6480" w:hanging="360"/>
      </w:pPr>
      <w:rPr>
        <w:rFonts w:ascii="Wingdings" w:hAnsi="Wingdings" w:hint="default"/>
      </w:rPr>
    </w:lvl>
  </w:abstractNum>
  <w:abstractNum w:abstractNumId="17" w15:restartNumberingAfterBreak="1">
    <w:nsid w:val="7DF57381"/>
    <w:multiLevelType w:val="hybridMultilevel"/>
    <w:tmpl w:val="A8C400A2"/>
    <w:lvl w:ilvl="0" w:tplc="B42EF428">
      <w:start w:val="1"/>
      <w:numFmt w:val="decimal"/>
      <w:lvlText w:val="%1)"/>
      <w:lvlJc w:val="left"/>
      <w:pPr>
        <w:ind w:left="720" w:hanging="360"/>
      </w:pPr>
      <w:rPr>
        <w:rFonts w:hint="default"/>
      </w:rPr>
    </w:lvl>
    <w:lvl w:ilvl="1" w:tplc="6628AA8A" w:tentative="1">
      <w:start w:val="1"/>
      <w:numFmt w:val="lowerLetter"/>
      <w:lvlText w:val="%2."/>
      <w:lvlJc w:val="left"/>
      <w:pPr>
        <w:ind w:left="1440" w:hanging="360"/>
      </w:pPr>
    </w:lvl>
    <w:lvl w:ilvl="2" w:tplc="0F603318" w:tentative="1">
      <w:start w:val="1"/>
      <w:numFmt w:val="lowerRoman"/>
      <w:lvlText w:val="%3."/>
      <w:lvlJc w:val="right"/>
      <w:pPr>
        <w:ind w:left="2160" w:hanging="180"/>
      </w:pPr>
    </w:lvl>
    <w:lvl w:ilvl="3" w:tplc="9BDA6836" w:tentative="1">
      <w:start w:val="1"/>
      <w:numFmt w:val="decimal"/>
      <w:lvlText w:val="%4."/>
      <w:lvlJc w:val="left"/>
      <w:pPr>
        <w:ind w:left="2880" w:hanging="360"/>
      </w:pPr>
    </w:lvl>
    <w:lvl w:ilvl="4" w:tplc="5B60D5CC" w:tentative="1">
      <w:start w:val="1"/>
      <w:numFmt w:val="lowerLetter"/>
      <w:lvlText w:val="%5."/>
      <w:lvlJc w:val="left"/>
      <w:pPr>
        <w:ind w:left="3600" w:hanging="360"/>
      </w:pPr>
    </w:lvl>
    <w:lvl w:ilvl="5" w:tplc="AE2416FE" w:tentative="1">
      <w:start w:val="1"/>
      <w:numFmt w:val="lowerRoman"/>
      <w:lvlText w:val="%6."/>
      <w:lvlJc w:val="right"/>
      <w:pPr>
        <w:ind w:left="4320" w:hanging="180"/>
      </w:pPr>
    </w:lvl>
    <w:lvl w:ilvl="6" w:tplc="4C96943E" w:tentative="1">
      <w:start w:val="1"/>
      <w:numFmt w:val="decimal"/>
      <w:lvlText w:val="%7."/>
      <w:lvlJc w:val="left"/>
      <w:pPr>
        <w:ind w:left="5040" w:hanging="360"/>
      </w:pPr>
    </w:lvl>
    <w:lvl w:ilvl="7" w:tplc="73088D46" w:tentative="1">
      <w:start w:val="1"/>
      <w:numFmt w:val="lowerLetter"/>
      <w:lvlText w:val="%8."/>
      <w:lvlJc w:val="left"/>
      <w:pPr>
        <w:ind w:left="5760" w:hanging="360"/>
      </w:pPr>
    </w:lvl>
    <w:lvl w:ilvl="8" w:tplc="5DE20D9A" w:tentative="1">
      <w:start w:val="1"/>
      <w:numFmt w:val="lowerRoman"/>
      <w:lvlText w:val="%9."/>
      <w:lvlJc w:val="right"/>
      <w:pPr>
        <w:ind w:left="6480" w:hanging="180"/>
      </w:pPr>
    </w:lvl>
  </w:abstractNum>
  <w:abstractNum w:abstractNumId="18" w15:restartNumberingAfterBreak="0">
    <w:nsid w:val="7F3A297C"/>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2"/>
  </w:num>
  <w:num w:numId="5">
    <w:abstractNumId w:val="4"/>
  </w:num>
  <w:num w:numId="6">
    <w:abstractNumId w:val="6"/>
  </w:num>
  <w:num w:numId="7">
    <w:abstractNumId w:val="8"/>
  </w:num>
  <w:num w:numId="8">
    <w:abstractNumId w:val="11"/>
  </w:num>
  <w:num w:numId="9">
    <w:abstractNumId w:val="2"/>
  </w:num>
  <w:num w:numId="10">
    <w:abstractNumId w:val="14"/>
  </w:num>
  <w:num w:numId="11">
    <w:abstractNumId w:val="10"/>
  </w:num>
  <w:num w:numId="12">
    <w:abstractNumId w:val="15"/>
  </w:num>
  <w:num w:numId="13">
    <w:abstractNumId w:val="16"/>
  </w:num>
  <w:num w:numId="14">
    <w:abstractNumId w:val="3"/>
  </w:num>
  <w:num w:numId="15">
    <w:abstractNumId w:val="5"/>
  </w:num>
  <w:num w:numId="16">
    <w:abstractNumId w:val="1"/>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988"/>
    <w:rsid w:val="00005F52"/>
    <w:rsid w:val="00006587"/>
    <w:rsid w:val="00007FDE"/>
    <w:rsid w:val="000128DA"/>
    <w:rsid w:val="00014F01"/>
    <w:rsid w:val="00022406"/>
    <w:rsid w:val="00023A15"/>
    <w:rsid w:val="00030CFB"/>
    <w:rsid w:val="000319E6"/>
    <w:rsid w:val="0004068C"/>
    <w:rsid w:val="00045286"/>
    <w:rsid w:val="000464EC"/>
    <w:rsid w:val="00053177"/>
    <w:rsid w:val="000533B4"/>
    <w:rsid w:val="0005421D"/>
    <w:rsid w:val="00063099"/>
    <w:rsid w:val="0007216E"/>
    <w:rsid w:val="000769CF"/>
    <w:rsid w:val="000817C9"/>
    <w:rsid w:val="0008612A"/>
    <w:rsid w:val="00092EEB"/>
    <w:rsid w:val="00096160"/>
    <w:rsid w:val="00097626"/>
    <w:rsid w:val="00097FC9"/>
    <w:rsid w:val="000A0240"/>
    <w:rsid w:val="000A1213"/>
    <w:rsid w:val="000A516D"/>
    <w:rsid w:val="000A7605"/>
    <w:rsid w:val="000B1774"/>
    <w:rsid w:val="000B235C"/>
    <w:rsid w:val="000B42BE"/>
    <w:rsid w:val="000B7D84"/>
    <w:rsid w:val="000C2119"/>
    <w:rsid w:val="000C311E"/>
    <w:rsid w:val="000C48C6"/>
    <w:rsid w:val="000C57B7"/>
    <w:rsid w:val="000D4878"/>
    <w:rsid w:val="000D7296"/>
    <w:rsid w:val="000E14BC"/>
    <w:rsid w:val="000E15C0"/>
    <w:rsid w:val="000E4559"/>
    <w:rsid w:val="000F0030"/>
    <w:rsid w:val="000F37B1"/>
    <w:rsid w:val="00106FEE"/>
    <w:rsid w:val="00111F87"/>
    <w:rsid w:val="00112B03"/>
    <w:rsid w:val="001260E3"/>
    <w:rsid w:val="00126C38"/>
    <w:rsid w:val="001277DC"/>
    <w:rsid w:val="00132A1C"/>
    <w:rsid w:val="00140C22"/>
    <w:rsid w:val="00152DE2"/>
    <w:rsid w:val="00155FDC"/>
    <w:rsid w:val="001572B4"/>
    <w:rsid w:val="00175CE3"/>
    <w:rsid w:val="00177C94"/>
    <w:rsid w:val="00180575"/>
    <w:rsid w:val="00181814"/>
    <w:rsid w:val="0018200F"/>
    <w:rsid w:val="001832BC"/>
    <w:rsid w:val="00183508"/>
    <w:rsid w:val="00183CAC"/>
    <w:rsid w:val="00186F16"/>
    <w:rsid w:val="00187F72"/>
    <w:rsid w:val="00190702"/>
    <w:rsid w:val="00197A15"/>
    <w:rsid w:val="001A242D"/>
    <w:rsid w:val="001A4346"/>
    <w:rsid w:val="001A4923"/>
    <w:rsid w:val="001A76CC"/>
    <w:rsid w:val="001B33AF"/>
    <w:rsid w:val="001B4C77"/>
    <w:rsid w:val="001B67B8"/>
    <w:rsid w:val="001C095C"/>
    <w:rsid w:val="001E2CFD"/>
    <w:rsid w:val="001E4571"/>
    <w:rsid w:val="001E64A8"/>
    <w:rsid w:val="001E7B3E"/>
    <w:rsid w:val="001F3174"/>
    <w:rsid w:val="001F4C6F"/>
    <w:rsid w:val="001F50A4"/>
    <w:rsid w:val="001F653D"/>
    <w:rsid w:val="001F6B5C"/>
    <w:rsid w:val="0020342A"/>
    <w:rsid w:val="00215952"/>
    <w:rsid w:val="00215D85"/>
    <w:rsid w:val="002227FC"/>
    <w:rsid w:val="00231F9D"/>
    <w:rsid w:val="00234608"/>
    <w:rsid w:val="00235997"/>
    <w:rsid w:val="00243426"/>
    <w:rsid w:val="00246861"/>
    <w:rsid w:val="00257AA9"/>
    <w:rsid w:val="002621F3"/>
    <w:rsid w:val="00262696"/>
    <w:rsid w:val="00266D3B"/>
    <w:rsid w:val="00271879"/>
    <w:rsid w:val="002721C6"/>
    <w:rsid w:val="00272903"/>
    <w:rsid w:val="002734A0"/>
    <w:rsid w:val="00275094"/>
    <w:rsid w:val="0027634B"/>
    <w:rsid w:val="00277B97"/>
    <w:rsid w:val="0028106D"/>
    <w:rsid w:val="002832B2"/>
    <w:rsid w:val="0029200E"/>
    <w:rsid w:val="0029498B"/>
    <w:rsid w:val="00294FD0"/>
    <w:rsid w:val="002B1945"/>
    <w:rsid w:val="002B556C"/>
    <w:rsid w:val="002D5978"/>
    <w:rsid w:val="002E1C05"/>
    <w:rsid w:val="002E2203"/>
    <w:rsid w:val="002E7EAD"/>
    <w:rsid w:val="002F1B03"/>
    <w:rsid w:val="002F1B24"/>
    <w:rsid w:val="002F438A"/>
    <w:rsid w:val="002F58DF"/>
    <w:rsid w:val="002F77A9"/>
    <w:rsid w:val="00302CD1"/>
    <w:rsid w:val="00310BA0"/>
    <w:rsid w:val="00330021"/>
    <w:rsid w:val="00330687"/>
    <w:rsid w:val="003310CB"/>
    <w:rsid w:val="00331A4C"/>
    <w:rsid w:val="003429ED"/>
    <w:rsid w:val="00342D89"/>
    <w:rsid w:val="00344955"/>
    <w:rsid w:val="00344B1F"/>
    <w:rsid w:val="00352094"/>
    <w:rsid w:val="00355820"/>
    <w:rsid w:val="003647AC"/>
    <w:rsid w:val="003676EF"/>
    <w:rsid w:val="00371243"/>
    <w:rsid w:val="003740EE"/>
    <w:rsid w:val="00375A17"/>
    <w:rsid w:val="003942FB"/>
    <w:rsid w:val="003A1F4A"/>
    <w:rsid w:val="003A554D"/>
    <w:rsid w:val="003B0BF9"/>
    <w:rsid w:val="003B4641"/>
    <w:rsid w:val="003B501B"/>
    <w:rsid w:val="003C20BC"/>
    <w:rsid w:val="003C2338"/>
    <w:rsid w:val="003C3B0F"/>
    <w:rsid w:val="003C4482"/>
    <w:rsid w:val="003C48C3"/>
    <w:rsid w:val="003C7D24"/>
    <w:rsid w:val="003D4DB6"/>
    <w:rsid w:val="003D64A9"/>
    <w:rsid w:val="003D72E4"/>
    <w:rsid w:val="003E0035"/>
    <w:rsid w:val="003E0791"/>
    <w:rsid w:val="003E347E"/>
    <w:rsid w:val="003E3785"/>
    <w:rsid w:val="003F0A00"/>
    <w:rsid w:val="003F0E2C"/>
    <w:rsid w:val="003F28AC"/>
    <w:rsid w:val="0041047D"/>
    <w:rsid w:val="00422E75"/>
    <w:rsid w:val="004301ED"/>
    <w:rsid w:val="004314D7"/>
    <w:rsid w:val="004328DC"/>
    <w:rsid w:val="004449CC"/>
    <w:rsid w:val="004454FE"/>
    <w:rsid w:val="004468D7"/>
    <w:rsid w:val="0044771F"/>
    <w:rsid w:val="00450967"/>
    <w:rsid w:val="004564C0"/>
    <w:rsid w:val="00456D05"/>
    <w:rsid w:val="0046053B"/>
    <w:rsid w:val="004605A2"/>
    <w:rsid w:val="004611FD"/>
    <w:rsid w:val="0046791D"/>
    <w:rsid w:val="00471F27"/>
    <w:rsid w:val="00475239"/>
    <w:rsid w:val="00476879"/>
    <w:rsid w:val="00481A29"/>
    <w:rsid w:val="00487963"/>
    <w:rsid w:val="004936DB"/>
    <w:rsid w:val="00493DF3"/>
    <w:rsid w:val="004A2EDA"/>
    <w:rsid w:val="004A37B5"/>
    <w:rsid w:val="004B1B10"/>
    <w:rsid w:val="004B1E65"/>
    <w:rsid w:val="004B42CA"/>
    <w:rsid w:val="004C67BC"/>
    <w:rsid w:val="004E29B8"/>
    <w:rsid w:val="004E42F5"/>
    <w:rsid w:val="004E6C83"/>
    <w:rsid w:val="004F1617"/>
    <w:rsid w:val="004F5882"/>
    <w:rsid w:val="004F58CB"/>
    <w:rsid w:val="004F6B07"/>
    <w:rsid w:val="004F7FCE"/>
    <w:rsid w:val="005000A3"/>
    <w:rsid w:val="005001B7"/>
    <w:rsid w:val="0050178F"/>
    <w:rsid w:val="005031A3"/>
    <w:rsid w:val="005072FF"/>
    <w:rsid w:val="005113F4"/>
    <w:rsid w:val="00511E1C"/>
    <w:rsid w:val="00512BF1"/>
    <w:rsid w:val="00514B02"/>
    <w:rsid w:val="00524CDF"/>
    <w:rsid w:val="0052538D"/>
    <w:rsid w:val="00526C51"/>
    <w:rsid w:val="0053496C"/>
    <w:rsid w:val="00535F19"/>
    <w:rsid w:val="00542202"/>
    <w:rsid w:val="00542BBA"/>
    <w:rsid w:val="00544EB5"/>
    <w:rsid w:val="00553040"/>
    <w:rsid w:val="00556807"/>
    <w:rsid w:val="00557646"/>
    <w:rsid w:val="00571DF8"/>
    <w:rsid w:val="00573620"/>
    <w:rsid w:val="005742BE"/>
    <w:rsid w:val="00584389"/>
    <w:rsid w:val="0058675B"/>
    <w:rsid w:val="00587F5D"/>
    <w:rsid w:val="005A0593"/>
    <w:rsid w:val="005A37C8"/>
    <w:rsid w:val="005B00C1"/>
    <w:rsid w:val="005B3502"/>
    <w:rsid w:val="005C00B0"/>
    <w:rsid w:val="005C6AB7"/>
    <w:rsid w:val="005D2D1A"/>
    <w:rsid w:val="005D7654"/>
    <w:rsid w:val="005E3079"/>
    <w:rsid w:val="005E3268"/>
    <w:rsid w:val="005F0CC1"/>
    <w:rsid w:val="005F4C54"/>
    <w:rsid w:val="005F4D53"/>
    <w:rsid w:val="005F6017"/>
    <w:rsid w:val="0060364E"/>
    <w:rsid w:val="0060792A"/>
    <w:rsid w:val="00616475"/>
    <w:rsid w:val="0062174C"/>
    <w:rsid w:val="00623A44"/>
    <w:rsid w:val="00625C92"/>
    <w:rsid w:val="00626EBD"/>
    <w:rsid w:val="00627129"/>
    <w:rsid w:val="00631448"/>
    <w:rsid w:val="00642B40"/>
    <w:rsid w:val="00653063"/>
    <w:rsid w:val="00655340"/>
    <w:rsid w:val="00656C27"/>
    <w:rsid w:val="006572D7"/>
    <w:rsid w:val="006621C5"/>
    <w:rsid w:val="006709FD"/>
    <w:rsid w:val="00672FEF"/>
    <w:rsid w:val="00675E3C"/>
    <w:rsid w:val="00681CB8"/>
    <w:rsid w:val="00683F41"/>
    <w:rsid w:val="006938AB"/>
    <w:rsid w:val="006976B3"/>
    <w:rsid w:val="006A6A58"/>
    <w:rsid w:val="006B2B6D"/>
    <w:rsid w:val="006B421C"/>
    <w:rsid w:val="006B4D19"/>
    <w:rsid w:val="006C3BF9"/>
    <w:rsid w:val="006D3F79"/>
    <w:rsid w:val="006D4FAE"/>
    <w:rsid w:val="006D6540"/>
    <w:rsid w:val="006D70F1"/>
    <w:rsid w:val="006E1081"/>
    <w:rsid w:val="006E52FA"/>
    <w:rsid w:val="006F4F1E"/>
    <w:rsid w:val="00701241"/>
    <w:rsid w:val="007054D6"/>
    <w:rsid w:val="007156F2"/>
    <w:rsid w:val="00720585"/>
    <w:rsid w:val="0072275E"/>
    <w:rsid w:val="00723DF8"/>
    <w:rsid w:val="00727BE9"/>
    <w:rsid w:val="0073103E"/>
    <w:rsid w:val="00731B54"/>
    <w:rsid w:val="007341BF"/>
    <w:rsid w:val="00735E06"/>
    <w:rsid w:val="00740517"/>
    <w:rsid w:val="00744533"/>
    <w:rsid w:val="00750D2F"/>
    <w:rsid w:val="00755BAD"/>
    <w:rsid w:val="00762254"/>
    <w:rsid w:val="00762E46"/>
    <w:rsid w:val="007642FB"/>
    <w:rsid w:val="00772635"/>
    <w:rsid w:val="00773AF6"/>
    <w:rsid w:val="007743AC"/>
    <w:rsid w:val="00780EC1"/>
    <w:rsid w:val="00783F5C"/>
    <w:rsid w:val="00785FBC"/>
    <w:rsid w:val="0079154E"/>
    <w:rsid w:val="00792A13"/>
    <w:rsid w:val="00795F71"/>
    <w:rsid w:val="007A0B87"/>
    <w:rsid w:val="007A1F5A"/>
    <w:rsid w:val="007A6EF1"/>
    <w:rsid w:val="007B1772"/>
    <w:rsid w:val="007B1CD7"/>
    <w:rsid w:val="007B637F"/>
    <w:rsid w:val="007C0BD6"/>
    <w:rsid w:val="007C5759"/>
    <w:rsid w:val="007D300F"/>
    <w:rsid w:val="007D6CA2"/>
    <w:rsid w:val="007D779B"/>
    <w:rsid w:val="007E1215"/>
    <w:rsid w:val="007E73AB"/>
    <w:rsid w:val="007F0E38"/>
    <w:rsid w:val="007F3D8F"/>
    <w:rsid w:val="007F3FCD"/>
    <w:rsid w:val="007F68F4"/>
    <w:rsid w:val="007F7AF6"/>
    <w:rsid w:val="0080241C"/>
    <w:rsid w:val="00810241"/>
    <w:rsid w:val="00814046"/>
    <w:rsid w:val="0081423A"/>
    <w:rsid w:val="00814649"/>
    <w:rsid w:val="00816C11"/>
    <w:rsid w:val="00816CDF"/>
    <w:rsid w:val="00822B31"/>
    <w:rsid w:val="00824478"/>
    <w:rsid w:val="00827A71"/>
    <w:rsid w:val="0083222C"/>
    <w:rsid w:val="00832C1B"/>
    <w:rsid w:val="008333AC"/>
    <w:rsid w:val="00836259"/>
    <w:rsid w:val="00844435"/>
    <w:rsid w:val="0085096A"/>
    <w:rsid w:val="00853C0C"/>
    <w:rsid w:val="0085426B"/>
    <w:rsid w:val="00862162"/>
    <w:rsid w:val="008638F5"/>
    <w:rsid w:val="008672DD"/>
    <w:rsid w:val="008824EB"/>
    <w:rsid w:val="008846E0"/>
    <w:rsid w:val="00892950"/>
    <w:rsid w:val="008931F9"/>
    <w:rsid w:val="008934CD"/>
    <w:rsid w:val="00894C55"/>
    <w:rsid w:val="00896072"/>
    <w:rsid w:val="008B0595"/>
    <w:rsid w:val="008B12F3"/>
    <w:rsid w:val="008B795C"/>
    <w:rsid w:val="008B7E22"/>
    <w:rsid w:val="008C2830"/>
    <w:rsid w:val="008D07CD"/>
    <w:rsid w:val="008E40EB"/>
    <w:rsid w:val="008F1634"/>
    <w:rsid w:val="0090417E"/>
    <w:rsid w:val="009126B7"/>
    <w:rsid w:val="00915048"/>
    <w:rsid w:val="009164C5"/>
    <w:rsid w:val="009257F0"/>
    <w:rsid w:val="009274BC"/>
    <w:rsid w:val="00933017"/>
    <w:rsid w:val="00934440"/>
    <w:rsid w:val="00934875"/>
    <w:rsid w:val="00936F39"/>
    <w:rsid w:val="00952B23"/>
    <w:rsid w:val="0095394C"/>
    <w:rsid w:val="00955991"/>
    <w:rsid w:val="0096539B"/>
    <w:rsid w:val="00971562"/>
    <w:rsid w:val="00975E30"/>
    <w:rsid w:val="0098529C"/>
    <w:rsid w:val="009857E6"/>
    <w:rsid w:val="009A2654"/>
    <w:rsid w:val="009A3565"/>
    <w:rsid w:val="009A4807"/>
    <w:rsid w:val="009A4FFE"/>
    <w:rsid w:val="009A6553"/>
    <w:rsid w:val="009B3186"/>
    <w:rsid w:val="009C029B"/>
    <w:rsid w:val="009C1168"/>
    <w:rsid w:val="009C3926"/>
    <w:rsid w:val="009C3B95"/>
    <w:rsid w:val="009C54EC"/>
    <w:rsid w:val="009C763C"/>
    <w:rsid w:val="009D0AEA"/>
    <w:rsid w:val="009D4994"/>
    <w:rsid w:val="009D53EC"/>
    <w:rsid w:val="009E74A8"/>
    <w:rsid w:val="009E7564"/>
    <w:rsid w:val="009F04A9"/>
    <w:rsid w:val="009F460B"/>
    <w:rsid w:val="00A02417"/>
    <w:rsid w:val="00A0243B"/>
    <w:rsid w:val="00A11E3A"/>
    <w:rsid w:val="00A1379F"/>
    <w:rsid w:val="00A16F10"/>
    <w:rsid w:val="00A17354"/>
    <w:rsid w:val="00A17A80"/>
    <w:rsid w:val="00A22D5D"/>
    <w:rsid w:val="00A244A2"/>
    <w:rsid w:val="00A27BB5"/>
    <w:rsid w:val="00A3065C"/>
    <w:rsid w:val="00A3150A"/>
    <w:rsid w:val="00A32DA9"/>
    <w:rsid w:val="00A3584F"/>
    <w:rsid w:val="00A36589"/>
    <w:rsid w:val="00A4141A"/>
    <w:rsid w:val="00A446D1"/>
    <w:rsid w:val="00A44BD4"/>
    <w:rsid w:val="00A44C85"/>
    <w:rsid w:val="00A50430"/>
    <w:rsid w:val="00A5325C"/>
    <w:rsid w:val="00A54C90"/>
    <w:rsid w:val="00A6073E"/>
    <w:rsid w:val="00A62BE9"/>
    <w:rsid w:val="00A631AA"/>
    <w:rsid w:val="00A67DCC"/>
    <w:rsid w:val="00A70256"/>
    <w:rsid w:val="00A73006"/>
    <w:rsid w:val="00A74EBB"/>
    <w:rsid w:val="00A917FC"/>
    <w:rsid w:val="00A92EB5"/>
    <w:rsid w:val="00A93C07"/>
    <w:rsid w:val="00A96D0A"/>
    <w:rsid w:val="00AA1153"/>
    <w:rsid w:val="00AC021A"/>
    <w:rsid w:val="00AC1B80"/>
    <w:rsid w:val="00AC1E0E"/>
    <w:rsid w:val="00AD4DCF"/>
    <w:rsid w:val="00AD7389"/>
    <w:rsid w:val="00AD7C55"/>
    <w:rsid w:val="00AE0135"/>
    <w:rsid w:val="00AE10D3"/>
    <w:rsid w:val="00AE4D2E"/>
    <w:rsid w:val="00AE5567"/>
    <w:rsid w:val="00AE5745"/>
    <w:rsid w:val="00AE7757"/>
    <w:rsid w:val="00AF72F7"/>
    <w:rsid w:val="00AF7679"/>
    <w:rsid w:val="00B02A0D"/>
    <w:rsid w:val="00B11863"/>
    <w:rsid w:val="00B125E7"/>
    <w:rsid w:val="00B14357"/>
    <w:rsid w:val="00B15464"/>
    <w:rsid w:val="00B15BC2"/>
    <w:rsid w:val="00B16480"/>
    <w:rsid w:val="00B2165C"/>
    <w:rsid w:val="00B22839"/>
    <w:rsid w:val="00B24A12"/>
    <w:rsid w:val="00B50F00"/>
    <w:rsid w:val="00B6136E"/>
    <w:rsid w:val="00B672A8"/>
    <w:rsid w:val="00B70453"/>
    <w:rsid w:val="00B70F47"/>
    <w:rsid w:val="00B710EA"/>
    <w:rsid w:val="00B73380"/>
    <w:rsid w:val="00B83C62"/>
    <w:rsid w:val="00B843FB"/>
    <w:rsid w:val="00B84F52"/>
    <w:rsid w:val="00B85744"/>
    <w:rsid w:val="00B90F29"/>
    <w:rsid w:val="00B9495E"/>
    <w:rsid w:val="00B966F8"/>
    <w:rsid w:val="00B975B1"/>
    <w:rsid w:val="00B97A93"/>
    <w:rsid w:val="00BA20AA"/>
    <w:rsid w:val="00BA292D"/>
    <w:rsid w:val="00BA29CE"/>
    <w:rsid w:val="00BA3B17"/>
    <w:rsid w:val="00BB1EAD"/>
    <w:rsid w:val="00BC36DE"/>
    <w:rsid w:val="00BD4425"/>
    <w:rsid w:val="00BE0C48"/>
    <w:rsid w:val="00BE2CC4"/>
    <w:rsid w:val="00BE5633"/>
    <w:rsid w:val="00BE5857"/>
    <w:rsid w:val="00BE6F73"/>
    <w:rsid w:val="00C0331D"/>
    <w:rsid w:val="00C03EAF"/>
    <w:rsid w:val="00C05B3C"/>
    <w:rsid w:val="00C1758D"/>
    <w:rsid w:val="00C23FD3"/>
    <w:rsid w:val="00C24037"/>
    <w:rsid w:val="00C25B49"/>
    <w:rsid w:val="00C2705E"/>
    <w:rsid w:val="00C2752D"/>
    <w:rsid w:val="00C348D1"/>
    <w:rsid w:val="00C42985"/>
    <w:rsid w:val="00C42BCA"/>
    <w:rsid w:val="00C56602"/>
    <w:rsid w:val="00C66371"/>
    <w:rsid w:val="00C81353"/>
    <w:rsid w:val="00C855DA"/>
    <w:rsid w:val="00C85E98"/>
    <w:rsid w:val="00C914AB"/>
    <w:rsid w:val="00C918F0"/>
    <w:rsid w:val="00C968E0"/>
    <w:rsid w:val="00C96BEB"/>
    <w:rsid w:val="00CA2FC1"/>
    <w:rsid w:val="00CA4FA6"/>
    <w:rsid w:val="00CA5610"/>
    <w:rsid w:val="00CB5445"/>
    <w:rsid w:val="00CB726A"/>
    <w:rsid w:val="00CC669B"/>
    <w:rsid w:val="00CE1326"/>
    <w:rsid w:val="00CE5657"/>
    <w:rsid w:val="00CE5F59"/>
    <w:rsid w:val="00CF0668"/>
    <w:rsid w:val="00CF2A0F"/>
    <w:rsid w:val="00D00E50"/>
    <w:rsid w:val="00D0161D"/>
    <w:rsid w:val="00D0205A"/>
    <w:rsid w:val="00D03684"/>
    <w:rsid w:val="00D062A9"/>
    <w:rsid w:val="00D133F8"/>
    <w:rsid w:val="00D14A3E"/>
    <w:rsid w:val="00D22E76"/>
    <w:rsid w:val="00D2325E"/>
    <w:rsid w:val="00D30591"/>
    <w:rsid w:val="00D33EE1"/>
    <w:rsid w:val="00D35943"/>
    <w:rsid w:val="00D5003C"/>
    <w:rsid w:val="00D51E8A"/>
    <w:rsid w:val="00D56C6D"/>
    <w:rsid w:val="00D6475C"/>
    <w:rsid w:val="00D730E6"/>
    <w:rsid w:val="00D7393C"/>
    <w:rsid w:val="00D80554"/>
    <w:rsid w:val="00D85BFB"/>
    <w:rsid w:val="00D86398"/>
    <w:rsid w:val="00D87EC6"/>
    <w:rsid w:val="00D93B2A"/>
    <w:rsid w:val="00D949A8"/>
    <w:rsid w:val="00D97FCF"/>
    <w:rsid w:val="00DB35F7"/>
    <w:rsid w:val="00DB6534"/>
    <w:rsid w:val="00DC01DA"/>
    <w:rsid w:val="00DC39A0"/>
    <w:rsid w:val="00DC45E2"/>
    <w:rsid w:val="00DC4A09"/>
    <w:rsid w:val="00DC755F"/>
    <w:rsid w:val="00DD327A"/>
    <w:rsid w:val="00DE01AF"/>
    <w:rsid w:val="00E01D5B"/>
    <w:rsid w:val="00E037CA"/>
    <w:rsid w:val="00E07549"/>
    <w:rsid w:val="00E11475"/>
    <w:rsid w:val="00E13B97"/>
    <w:rsid w:val="00E14C2F"/>
    <w:rsid w:val="00E2231C"/>
    <w:rsid w:val="00E22F05"/>
    <w:rsid w:val="00E31F73"/>
    <w:rsid w:val="00E32C94"/>
    <w:rsid w:val="00E3353C"/>
    <w:rsid w:val="00E34611"/>
    <w:rsid w:val="00E3716B"/>
    <w:rsid w:val="00E513A0"/>
    <w:rsid w:val="00E52B5F"/>
    <w:rsid w:val="00E576F6"/>
    <w:rsid w:val="00E61FEA"/>
    <w:rsid w:val="00E750E8"/>
    <w:rsid w:val="00E77397"/>
    <w:rsid w:val="00E776E6"/>
    <w:rsid w:val="00E77DE4"/>
    <w:rsid w:val="00E8202A"/>
    <w:rsid w:val="00E83DF7"/>
    <w:rsid w:val="00E84DC7"/>
    <w:rsid w:val="00E8749E"/>
    <w:rsid w:val="00E87E00"/>
    <w:rsid w:val="00E90C01"/>
    <w:rsid w:val="00E91032"/>
    <w:rsid w:val="00E93161"/>
    <w:rsid w:val="00E93312"/>
    <w:rsid w:val="00E9557E"/>
    <w:rsid w:val="00E97188"/>
    <w:rsid w:val="00EA3F7C"/>
    <w:rsid w:val="00EA486E"/>
    <w:rsid w:val="00EA5DD4"/>
    <w:rsid w:val="00EB2C23"/>
    <w:rsid w:val="00EC1A10"/>
    <w:rsid w:val="00EC2D5F"/>
    <w:rsid w:val="00EC37E3"/>
    <w:rsid w:val="00ED049F"/>
    <w:rsid w:val="00ED7434"/>
    <w:rsid w:val="00EE24F5"/>
    <w:rsid w:val="00EF0BD5"/>
    <w:rsid w:val="00EF1BD0"/>
    <w:rsid w:val="00EF4EC6"/>
    <w:rsid w:val="00EF4F7D"/>
    <w:rsid w:val="00EF6C2F"/>
    <w:rsid w:val="00EF76C9"/>
    <w:rsid w:val="00F04BD4"/>
    <w:rsid w:val="00F07C13"/>
    <w:rsid w:val="00F10886"/>
    <w:rsid w:val="00F200E4"/>
    <w:rsid w:val="00F3256E"/>
    <w:rsid w:val="00F34F6A"/>
    <w:rsid w:val="00F40CE6"/>
    <w:rsid w:val="00F50D7D"/>
    <w:rsid w:val="00F57B0C"/>
    <w:rsid w:val="00F62A58"/>
    <w:rsid w:val="00F6490A"/>
    <w:rsid w:val="00F660CB"/>
    <w:rsid w:val="00F72534"/>
    <w:rsid w:val="00F72B6D"/>
    <w:rsid w:val="00F80443"/>
    <w:rsid w:val="00F8319C"/>
    <w:rsid w:val="00F83EB2"/>
    <w:rsid w:val="00F84A1C"/>
    <w:rsid w:val="00F92307"/>
    <w:rsid w:val="00FA0D9F"/>
    <w:rsid w:val="00FA10F4"/>
    <w:rsid w:val="00FA3F9B"/>
    <w:rsid w:val="00FB48A3"/>
    <w:rsid w:val="00FD087A"/>
    <w:rsid w:val="00FD1672"/>
    <w:rsid w:val="00FD2493"/>
    <w:rsid w:val="00FE112F"/>
    <w:rsid w:val="00FE3258"/>
    <w:rsid w:val="00FE7912"/>
    <w:rsid w:val="00FF0FD6"/>
    <w:rsid w:val="00FF4EDE"/>
    <w:rsid w:val="00FF5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4B3F"/>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EndnoteText">
    <w:name w:val="endnote text"/>
    <w:basedOn w:val="Normal"/>
    <w:link w:val="EndnoteTextChar"/>
    <w:uiPriority w:val="99"/>
    <w:semiHidden/>
    <w:unhideWhenUsed/>
    <w:rsid w:val="0007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16E"/>
    <w:rPr>
      <w:sz w:val="20"/>
      <w:szCs w:val="20"/>
    </w:rPr>
  </w:style>
  <w:style w:type="character" w:styleId="EndnoteReference">
    <w:name w:val="endnote reference"/>
    <w:basedOn w:val="DefaultParagraphFont"/>
    <w:uiPriority w:val="99"/>
    <w:semiHidden/>
    <w:unhideWhenUsed/>
    <w:rsid w:val="0007216E"/>
    <w:rPr>
      <w:vertAlign w:val="superscript"/>
    </w:rPr>
  </w:style>
  <w:style w:type="character" w:styleId="CommentReference">
    <w:name w:val="annotation reference"/>
    <w:basedOn w:val="DefaultParagraphFont"/>
    <w:uiPriority w:val="99"/>
    <w:semiHidden/>
    <w:unhideWhenUsed/>
    <w:rsid w:val="00B15464"/>
    <w:rPr>
      <w:sz w:val="16"/>
      <w:szCs w:val="16"/>
    </w:rPr>
  </w:style>
  <w:style w:type="paragraph" w:styleId="CommentText">
    <w:name w:val="annotation text"/>
    <w:basedOn w:val="Normal"/>
    <w:link w:val="CommentTextChar"/>
    <w:uiPriority w:val="99"/>
    <w:semiHidden/>
    <w:unhideWhenUsed/>
    <w:rsid w:val="00B15464"/>
    <w:pPr>
      <w:spacing w:line="240" w:lineRule="auto"/>
    </w:pPr>
    <w:rPr>
      <w:sz w:val="20"/>
      <w:szCs w:val="20"/>
    </w:rPr>
  </w:style>
  <w:style w:type="character" w:customStyle="1" w:styleId="CommentTextChar">
    <w:name w:val="Comment Text Char"/>
    <w:basedOn w:val="DefaultParagraphFont"/>
    <w:link w:val="CommentText"/>
    <w:uiPriority w:val="99"/>
    <w:semiHidden/>
    <w:rsid w:val="00B15464"/>
    <w:rPr>
      <w:sz w:val="20"/>
      <w:szCs w:val="20"/>
    </w:rPr>
  </w:style>
  <w:style w:type="paragraph" w:styleId="CommentSubject">
    <w:name w:val="annotation subject"/>
    <w:basedOn w:val="CommentText"/>
    <w:next w:val="CommentText"/>
    <w:link w:val="CommentSubjectChar"/>
    <w:uiPriority w:val="99"/>
    <w:semiHidden/>
    <w:unhideWhenUsed/>
    <w:rsid w:val="00B15464"/>
    <w:rPr>
      <w:b/>
      <w:bCs/>
    </w:rPr>
  </w:style>
  <w:style w:type="character" w:customStyle="1" w:styleId="CommentSubjectChar">
    <w:name w:val="Comment Subject Char"/>
    <w:basedOn w:val="CommentTextChar"/>
    <w:link w:val="CommentSubject"/>
    <w:uiPriority w:val="99"/>
    <w:semiHidden/>
    <w:rsid w:val="00B15464"/>
    <w:rPr>
      <w:b/>
      <w:bCs/>
      <w:sz w:val="20"/>
      <w:szCs w:val="20"/>
    </w:rPr>
  </w:style>
  <w:style w:type="paragraph" w:customStyle="1" w:styleId="Statuti">
    <w:name w:val="Statuti"/>
    <w:basedOn w:val="Normal"/>
    <w:rsid w:val="00D03684"/>
    <w:pPr>
      <w:numPr>
        <w:ilvl w:val="3"/>
        <w:numId w:val="12"/>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D03684"/>
    <w:pPr>
      <w:numPr>
        <w:ilvl w:val="4"/>
        <w:numId w:val="12"/>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D03684"/>
    <w:pPr>
      <w:numPr>
        <w:numId w:val="12"/>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rsid w:val="00D03684"/>
    <w:pPr>
      <w:numPr>
        <w:ilvl w:val="1"/>
        <w:numId w:val="12"/>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rsid w:val="00D03684"/>
    <w:pPr>
      <w:numPr>
        <w:ilvl w:val="2"/>
        <w:numId w:val="12"/>
      </w:numPr>
      <w:spacing w:after="0" w:line="240" w:lineRule="auto"/>
      <w:ind w:left="0" w:firstLine="0"/>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4468D7"/>
    <w:rPr>
      <w:color w:val="808080"/>
      <w:shd w:val="clear" w:color="auto" w:fill="E6E6E6"/>
    </w:rPr>
  </w:style>
  <w:style w:type="table" w:styleId="TableGrid">
    <w:name w:val="Table Grid"/>
    <w:basedOn w:val="TableNormal"/>
    <w:uiPriority w:val="59"/>
    <w:rsid w:val="003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3FD"/>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FF53FD"/>
    <w:rPr>
      <w:rFonts w:ascii="Times New Roman" w:eastAsia="Times New Roman" w:hAnsi="Times New Roman" w:cs="Times New Roman"/>
      <w:sz w:val="28"/>
      <w:szCs w:val="20"/>
    </w:rPr>
  </w:style>
  <w:style w:type="paragraph" w:customStyle="1" w:styleId="naisf">
    <w:name w:val="naisf"/>
    <w:basedOn w:val="Normal"/>
    <w:rsid w:val="00CC669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5F59"/>
    <w:rPr>
      <w:color w:val="808080"/>
      <w:shd w:val="clear" w:color="auto" w:fill="E6E6E6"/>
    </w:rPr>
  </w:style>
  <w:style w:type="paragraph" w:styleId="NormalWeb">
    <w:name w:val="Normal (Web)"/>
    <w:basedOn w:val="Normal"/>
    <w:uiPriority w:val="99"/>
    <w:semiHidden/>
    <w:unhideWhenUsed/>
    <w:rsid w:val="00A1379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24446">
      <w:bodyDiv w:val="1"/>
      <w:marLeft w:val="0"/>
      <w:marRight w:val="0"/>
      <w:marTop w:val="0"/>
      <w:marBottom w:val="0"/>
      <w:divBdr>
        <w:top w:val="none" w:sz="0" w:space="0" w:color="auto"/>
        <w:left w:val="none" w:sz="0" w:space="0" w:color="auto"/>
        <w:bottom w:val="none" w:sz="0" w:space="0" w:color="auto"/>
        <w:right w:val="none" w:sz="0" w:space="0" w:color="auto"/>
      </w:divBdr>
    </w:div>
    <w:div w:id="21372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326;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5FEB-8DC2-4B3F-BBB0-9F49B7CA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6847</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Ivita Lazdiņa</cp:lastModifiedBy>
  <cp:revision>256</cp:revision>
  <cp:lastPrinted>2019-01-08T11:51:00Z</cp:lastPrinted>
  <dcterms:created xsi:type="dcterms:W3CDTF">2018-10-22T09:55:00Z</dcterms:created>
  <dcterms:modified xsi:type="dcterms:W3CDTF">2019-01-10T06:39:00Z</dcterms:modified>
</cp:coreProperties>
</file>